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C77A46">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7B122C">
        <w:rPr>
          <w:rFonts w:ascii="Arial" w:hAnsi="Arial" w:cs="Arial"/>
          <w:b/>
          <w:sz w:val="24"/>
          <w:szCs w:val="24"/>
        </w:rPr>
        <w:t>PODER JUDICIAL DEL ESTADO DE NUEVO LEÓN, H. CONSEJO DE LA JUDICATURA</w:t>
      </w:r>
      <w:r w:rsidRPr="00117EB1">
        <w:rPr>
          <w:rFonts w:ascii="Arial" w:hAnsi="Arial" w:cs="Arial"/>
          <w:sz w:val="24"/>
        </w:rPr>
        <w:t xml:space="preserve"> correspondiente a su Ejercicio Fiscal </w:t>
      </w:r>
      <w:r w:rsidR="00C77A46">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C77A46">
        <w:rPr>
          <w:rFonts w:ascii="Arial" w:hAnsi="Arial" w:cs="Arial"/>
          <w:b/>
          <w:sz w:val="24"/>
        </w:rPr>
        <w:t>10409</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w:t>
      </w:r>
      <w:r w:rsidRPr="00B67BEE">
        <w:rPr>
          <w:rFonts w:ascii="Arial" w:hAnsi="Arial" w:cs="Arial"/>
          <w:sz w:val="24"/>
          <w:szCs w:val="24"/>
        </w:rPr>
        <w:lastRenderedPageBreak/>
        <w:t>poderes del estado, los organismos autónomos, los organismos 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C77A46">
        <w:rPr>
          <w:rFonts w:ascii="Arial" w:hAnsi="Arial" w:cs="Arial"/>
          <w:sz w:val="24"/>
          <w:szCs w:val="24"/>
        </w:rPr>
        <w:t>uenta Pública del ejercicio 2015</w:t>
      </w:r>
      <w:r w:rsidRPr="00B67BEE">
        <w:rPr>
          <w:rFonts w:ascii="Arial" w:hAnsi="Arial" w:cs="Arial"/>
          <w:sz w:val="24"/>
          <w:szCs w:val="24"/>
        </w:rPr>
        <w:t xml:space="preserve"> </w:t>
      </w:r>
      <w:r w:rsidR="00266609">
        <w:rPr>
          <w:rFonts w:ascii="Arial" w:hAnsi="Arial" w:cs="Arial"/>
          <w:sz w:val="24"/>
        </w:rPr>
        <w:t>del</w:t>
      </w:r>
      <w:r w:rsidR="00266609" w:rsidRPr="00117EB1">
        <w:rPr>
          <w:rFonts w:ascii="Arial" w:hAnsi="Arial" w:cs="Arial"/>
          <w:sz w:val="24"/>
        </w:rPr>
        <w:t xml:space="preserve"> </w:t>
      </w:r>
      <w:r w:rsidR="007B122C">
        <w:rPr>
          <w:rFonts w:ascii="Arial" w:hAnsi="Arial" w:cs="Arial"/>
          <w:b/>
          <w:sz w:val="24"/>
          <w:szCs w:val="24"/>
        </w:rPr>
        <w:t>PODER JUDICIAL DEL ESTADO DE NUEVO LEÓN, H. CONSEJO DE LA JUDICATURA</w:t>
      </w:r>
      <w:r w:rsidR="00266609">
        <w:rPr>
          <w:rFonts w:ascii="Arial" w:hAnsi="Arial" w:cs="Arial"/>
          <w:b/>
          <w:sz w:val="24"/>
          <w:szCs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C77A46">
        <w:rPr>
          <w:rFonts w:ascii="Arial" w:hAnsi="Arial" w:cs="Arial"/>
          <w:sz w:val="24"/>
          <w:szCs w:val="24"/>
        </w:rPr>
        <w:t>uenta Pública del ejercicio 2015</w:t>
      </w:r>
      <w:r w:rsidR="009C0345" w:rsidRPr="00B67BEE">
        <w:rPr>
          <w:rFonts w:ascii="Arial" w:hAnsi="Arial" w:cs="Arial"/>
          <w:sz w:val="24"/>
          <w:szCs w:val="24"/>
        </w:rPr>
        <w:t xml:space="preserve"> </w:t>
      </w:r>
      <w:r w:rsidR="00266609">
        <w:rPr>
          <w:rFonts w:ascii="Arial" w:hAnsi="Arial" w:cs="Arial"/>
          <w:sz w:val="24"/>
        </w:rPr>
        <w:t>del</w:t>
      </w:r>
      <w:r w:rsidR="00266609" w:rsidRPr="00117EB1">
        <w:rPr>
          <w:rFonts w:ascii="Arial" w:hAnsi="Arial" w:cs="Arial"/>
          <w:sz w:val="24"/>
        </w:rPr>
        <w:t xml:space="preserve"> </w:t>
      </w:r>
      <w:r w:rsidR="007B122C">
        <w:rPr>
          <w:rFonts w:ascii="Arial" w:hAnsi="Arial" w:cs="Arial"/>
          <w:b/>
          <w:sz w:val="24"/>
          <w:szCs w:val="24"/>
        </w:rPr>
        <w:t>PODER JUDICIAL DEL ESTADO DE NUEVO LEÓN, H. CONSEJO DE LA JUDICATURA</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lastRenderedPageBreak/>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22FAE" w:rsidRDefault="0080593D" w:rsidP="00F072A9">
      <w:pPr>
        <w:tabs>
          <w:tab w:val="left" w:pos="2610"/>
        </w:tabs>
        <w:spacing w:line="360" w:lineRule="auto"/>
        <w:ind w:firstLine="709"/>
        <w:jc w:val="both"/>
        <w:rPr>
          <w:rFonts w:ascii="Arial" w:hAnsi="Arial" w:cs="Arial"/>
          <w:sz w:val="24"/>
        </w:rPr>
      </w:pPr>
      <w:r w:rsidRPr="0080593D">
        <w:rPr>
          <w:rFonts w:ascii="Arial" w:hAnsi="Arial" w:cs="Arial"/>
          <w:sz w:val="24"/>
        </w:rPr>
        <w:t xml:space="preserve">Las atribuciones del Poder Judicial del Estado de Nuevo León, en el ejercicio de la función jurisdiccional, son las de aplicar las leyes en las materias del orden civil, penal, familiar y las correspondientes a la jurisdicción concurrente, mismas que se ejercen por el Tribunal Superior de Justicia, los juzgados de primera instancia, los juzgados orales civiles, los juzgados orales penales, los juzgados orales familiares, los juzgados menores y el sistema integral de justicia para adolescentes. En cuanto a la administración del Poder Judicial, compete su ejercicio al Consejo de la Judicatura, de acuerdo con lo </w:t>
      </w:r>
      <w:r w:rsidRPr="0080593D">
        <w:rPr>
          <w:rFonts w:ascii="Arial" w:hAnsi="Arial" w:cs="Arial"/>
          <w:sz w:val="24"/>
        </w:rPr>
        <w:lastRenderedPageBreak/>
        <w:t>previsto por el artículo 94 de la Constitución Política del Estado Libre y Soberano de Nuevo León.</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C77A46">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C77A46">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C77A46">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C77A46" w:rsidRPr="00190CC1" w:rsidTr="00C77A46">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C77A46" w:rsidRPr="00190CC1" w:rsidRDefault="00C77A46" w:rsidP="00C77A46">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C77A46" w:rsidRPr="00190CC1" w:rsidRDefault="00C77A46" w:rsidP="00C77A46">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C77A46" w:rsidRPr="00190CC1" w:rsidTr="00C77A46">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C77A46" w:rsidRPr="00190CC1" w:rsidRDefault="00C77A46" w:rsidP="00C77A46">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77A46" w:rsidRPr="00190CC1" w:rsidRDefault="00C77A46" w:rsidP="00C77A46">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C77A46" w:rsidRPr="0033779D" w:rsidTr="00C77A46">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77A46" w:rsidRPr="0033779D" w:rsidRDefault="00C77A46" w:rsidP="00C77A46">
            <w:pPr>
              <w:jc w:val="center"/>
              <w:rPr>
                <w:rFonts w:ascii="Arial" w:hAnsi="Arial" w:cs="Arial"/>
                <w:b/>
                <w:bCs/>
                <w:sz w:val="14"/>
                <w:szCs w:val="14"/>
                <w:lang w:eastAsia="es-MX"/>
              </w:rPr>
            </w:pPr>
            <w:r>
              <w:rPr>
                <w:rFonts w:ascii="Arial" w:hAnsi="Arial" w:cs="Arial"/>
                <w:sz w:val="16"/>
                <w:szCs w:val="16"/>
              </w:rPr>
              <w:t>Poder Judicial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1</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77A46" w:rsidRPr="0033779D" w:rsidRDefault="00C77A46" w:rsidP="00C77A46">
            <w:pPr>
              <w:jc w:val="center"/>
              <w:rPr>
                <w:rFonts w:ascii="Arial" w:hAnsi="Arial" w:cs="Arial"/>
                <w:b/>
                <w:bCs/>
                <w:sz w:val="14"/>
                <w:szCs w:val="14"/>
                <w:lang w:eastAsia="es-MX"/>
              </w:rPr>
            </w:pPr>
            <w:r w:rsidRPr="0033779D">
              <w:rPr>
                <w:rFonts w:ascii="Arial" w:hAnsi="Arial" w:cs="Arial"/>
                <w:b/>
                <w:bCs/>
                <w:sz w:val="14"/>
                <w:szCs w:val="14"/>
                <w:lang w:eastAsia="es-MX"/>
              </w:rPr>
              <w:t>2</w:t>
            </w:r>
          </w:p>
        </w:tc>
      </w:tr>
    </w:tbl>
    <w:p w:rsidR="00C77A46" w:rsidRPr="00793CBF" w:rsidRDefault="00C77A46" w:rsidP="00C77A46">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C77A46">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C77A46">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w:t>
      </w:r>
      <w:r w:rsidRPr="00B67BEE">
        <w:rPr>
          <w:rFonts w:ascii="Arial" w:eastAsia="Times New Roman" w:hAnsi="Arial" w:cs="Arial"/>
          <w:sz w:val="24"/>
          <w:szCs w:val="24"/>
          <w:lang w:eastAsia="es-ES"/>
        </w:rPr>
        <w:lastRenderedPageBreak/>
        <w:t>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 xml:space="preserve">Además, se realizaron pruebas de auditoría a fin de evaluar el cumplimiento de las leyes, los reglamentos y la normatividad aplicables </w:t>
      </w:r>
      <w:r w:rsidRPr="00B67BEE">
        <w:rPr>
          <w:rFonts w:ascii="Arial" w:eastAsia="Times New Roman" w:hAnsi="Arial" w:cs="Arial"/>
          <w:sz w:val="24"/>
          <w:szCs w:val="24"/>
          <w:lang w:eastAsia="es-ES"/>
        </w:rPr>
        <w:lastRenderedPageBreak/>
        <w:t>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C77A46">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C77A46">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w:t>
      </w:r>
      <w:r w:rsidRPr="0077749F">
        <w:rPr>
          <w:rFonts w:ascii="Arial" w:hAnsi="Arial" w:cs="Arial"/>
          <w:bCs/>
          <w:iCs/>
          <w:sz w:val="24"/>
        </w:rPr>
        <w:lastRenderedPageBreak/>
        <w:t>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C77A46">
        <w:rPr>
          <w:rFonts w:ascii="Arial" w:hAnsi="Arial" w:cs="Arial"/>
          <w:sz w:val="24"/>
          <w:szCs w:val="24"/>
        </w:rPr>
        <w:t>l 2015</w:t>
      </w:r>
      <w:r w:rsidR="00276558">
        <w:rPr>
          <w:rFonts w:ascii="Arial" w:hAnsi="Arial" w:cs="Arial"/>
          <w:sz w:val="24"/>
          <w:szCs w:val="24"/>
        </w:rPr>
        <w:t xml:space="preserve">, que el </w:t>
      </w:r>
      <w:r w:rsidR="005C3E43" w:rsidRPr="005C3E43">
        <w:rPr>
          <w:rFonts w:ascii="Arial" w:hAnsi="Arial" w:cs="Arial"/>
          <w:sz w:val="24"/>
          <w:szCs w:val="24"/>
        </w:rPr>
        <w:t>Poder Judicial del Estado de Nuevo León H. Consejo de la Judicatura</w:t>
      </w:r>
      <w:r w:rsidR="005C3E43" w:rsidRPr="00B67BEE">
        <w:rPr>
          <w:rFonts w:ascii="Arial" w:hAnsi="Arial" w:cs="Arial"/>
          <w:sz w:val="24"/>
          <w:szCs w:val="24"/>
        </w:rPr>
        <w:t xml:space="preserve"> </w:t>
      </w:r>
      <w:r w:rsidRPr="00B67BEE">
        <w:rPr>
          <w:rFonts w:ascii="Arial" w:hAnsi="Arial" w:cs="Arial"/>
          <w:sz w:val="24"/>
          <w:szCs w:val="24"/>
        </w:rPr>
        <w:t>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C77A46">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5C3E43">
        <w:rPr>
          <w:rFonts w:ascii="Arial" w:hAnsi="Arial" w:cs="Arial"/>
          <w:sz w:val="24"/>
          <w:szCs w:val="24"/>
        </w:rPr>
        <w:t>ese Organismo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276558" w:rsidRDefault="00C77A46"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5253355" cy="5511083"/>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511083"/>
                    </a:xfrm>
                    <a:prstGeom prst="rect">
                      <a:avLst/>
                    </a:prstGeom>
                    <a:noFill/>
                    <a:ln>
                      <a:noFill/>
                    </a:ln>
                  </pic:spPr>
                </pic:pic>
              </a:graphicData>
            </a:graphic>
          </wp:inline>
        </w:drawing>
      </w:r>
    </w:p>
    <w:p w:rsidR="00C77A46" w:rsidRDefault="00C77A46" w:rsidP="0077749F">
      <w:pPr>
        <w:pStyle w:val="Prrafodelista"/>
        <w:spacing w:after="0" w:line="360" w:lineRule="auto"/>
        <w:ind w:left="0" w:firstLine="709"/>
        <w:jc w:val="both"/>
        <w:rPr>
          <w:rFonts w:ascii="Arial" w:hAnsi="Arial" w:cs="Arial"/>
          <w:b/>
          <w:sz w:val="24"/>
          <w:szCs w:val="24"/>
        </w:rPr>
      </w:pPr>
    </w:p>
    <w:p w:rsidR="00C77A46" w:rsidRDefault="00C77A46"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5253355" cy="5553531"/>
            <wp:effectExtent l="0" t="0" r="444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553531"/>
                    </a:xfrm>
                    <a:prstGeom prst="rect">
                      <a:avLst/>
                    </a:prstGeom>
                    <a:noFill/>
                    <a:ln>
                      <a:noFill/>
                    </a:ln>
                  </pic:spPr>
                </pic:pic>
              </a:graphicData>
            </a:graphic>
          </wp:inline>
        </w:drawing>
      </w:r>
    </w:p>
    <w:p w:rsidR="00C77A46" w:rsidRDefault="00C77A46" w:rsidP="0077749F">
      <w:pPr>
        <w:pStyle w:val="Prrafodelista"/>
        <w:spacing w:after="0" w:line="360" w:lineRule="auto"/>
        <w:ind w:left="0" w:firstLine="709"/>
        <w:jc w:val="both"/>
        <w:rPr>
          <w:rFonts w:ascii="Arial" w:hAnsi="Arial" w:cs="Arial"/>
          <w:b/>
          <w:sz w:val="24"/>
          <w:szCs w:val="24"/>
        </w:rPr>
      </w:pPr>
    </w:p>
    <w:p w:rsidR="00C77A46" w:rsidRPr="003B09CF" w:rsidRDefault="00C77A46" w:rsidP="00C77A46">
      <w:pPr>
        <w:rPr>
          <w:rFonts w:ascii="Arial" w:hAnsi="Arial" w:cs="Arial"/>
          <w:sz w:val="20"/>
          <w:vertAlign w:val="superscript"/>
        </w:rPr>
      </w:pPr>
      <w:r w:rsidRPr="003B09CF">
        <w:rPr>
          <w:rFonts w:ascii="Arial" w:hAnsi="Arial" w:cs="Arial"/>
          <w:b/>
          <w:sz w:val="20"/>
          <w:lang w:val="es-MX" w:eastAsia="es-MX"/>
        </w:rPr>
        <w:t>[sic]</w:t>
      </w:r>
      <w:r w:rsidRPr="003B09CF">
        <w:rPr>
          <w:rFonts w:ascii="Arial" w:hAnsi="Arial" w:cs="Arial"/>
          <w:b/>
          <w:sz w:val="20"/>
          <w:vertAlign w:val="superscript"/>
        </w:rPr>
        <w:t xml:space="preserve">1 </w:t>
      </w:r>
      <w:r w:rsidRPr="003B09CF">
        <w:rPr>
          <w:rFonts w:ascii="Arial" w:hAnsi="Arial" w:cs="Arial"/>
          <w:sz w:val="20"/>
          <w:vertAlign w:val="superscript"/>
        </w:rPr>
        <w:t xml:space="preserve">   </w:t>
      </w:r>
      <w:r w:rsidRPr="003B09CF">
        <w:rPr>
          <w:rFonts w:ascii="Arial" w:hAnsi="Arial" w:cs="Arial"/>
          <w:sz w:val="20"/>
        </w:rPr>
        <w:t>En la columna 2014 debe ser $375,093,727.</w:t>
      </w:r>
    </w:p>
    <w:p w:rsidR="00C77A46" w:rsidRPr="003B09CF" w:rsidRDefault="00C77A46" w:rsidP="00C77A46">
      <w:pPr>
        <w:rPr>
          <w:rFonts w:ascii="Arial" w:hAnsi="Arial" w:cs="Arial"/>
          <w:sz w:val="20"/>
        </w:rPr>
      </w:pPr>
      <w:r w:rsidRPr="003B09CF">
        <w:rPr>
          <w:rFonts w:ascii="Arial" w:hAnsi="Arial" w:cs="Arial"/>
          <w:b/>
          <w:sz w:val="20"/>
          <w:lang w:val="es-MX" w:eastAsia="es-MX"/>
        </w:rPr>
        <w:t>[sic]</w:t>
      </w:r>
      <w:r w:rsidRPr="003B09CF">
        <w:rPr>
          <w:rFonts w:ascii="Arial" w:hAnsi="Arial" w:cs="Arial"/>
          <w:b/>
          <w:sz w:val="20"/>
          <w:vertAlign w:val="superscript"/>
        </w:rPr>
        <w:t>2</w:t>
      </w:r>
      <w:r w:rsidRPr="003B09CF">
        <w:rPr>
          <w:rFonts w:ascii="Arial" w:hAnsi="Arial" w:cs="Arial"/>
          <w:sz w:val="20"/>
          <w:vertAlign w:val="superscript"/>
        </w:rPr>
        <w:t xml:space="preserve">    </w:t>
      </w:r>
      <w:r w:rsidRPr="003B09CF">
        <w:rPr>
          <w:rFonts w:ascii="Arial" w:hAnsi="Arial" w:cs="Arial"/>
          <w:sz w:val="20"/>
        </w:rPr>
        <w:t>En la columna 2015 debe ser $113,344,732.</w:t>
      </w:r>
    </w:p>
    <w:p w:rsidR="00C77A46" w:rsidRPr="003B09CF" w:rsidRDefault="00C77A46" w:rsidP="00C77A46">
      <w:pPr>
        <w:rPr>
          <w:rFonts w:ascii="Arial" w:hAnsi="Arial" w:cs="Arial"/>
          <w:sz w:val="20"/>
        </w:rPr>
      </w:pPr>
      <w:r w:rsidRPr="003B09CF">
        <w:rPr>
          <w:rFonts w:ascii="Arial" w:hAnsi="Arial" w:cs="Arial"/>
          <w:b/>
          <w:sz w:val="20"/>
          <w:lang w:val="es-MX" w:eastAsia="es-MX"/>
        </w:rPr>
        <w:lastRenderedPageBreak/>
        <w:t>[sic]</w:t>
      </w:r>
      <w:r w:rsidRPr="003B09CF">
        <w:rPr>
          <w:rFonts w:ascii="Arial" w:hAnsi="Arial" w:cs="Arial"/>
          <w:b/>
          <w:sz w:val="20"/>
          <w:vertAlign w:val="superscript"/>
        </w:rPr>
        <w:t>3</w:t>
      </w:r>
      <w:r w:rsidRPr="003B09CF">
        <w:rPr>
          <w:rFonts w:ascii="Arial" w:hAnsi="Arial" w:cs="Arial"/>
          <w:sz w:val="20"/>
          <w:vertAlign w:val="superscript"/>
        </w:rPr>
        <w:t xml:space="preserve">    </w:t>
      </w:r>
      <w:r w:rsidRPr="003B09CF">
        <w:rPr>
          <w:rFonts w:ascii="Arial" w:hAnsi="Arial" w:cs="Arial"/>
          <w:sz w:val="20"/>
        </w:rPr>
        <w:t>En la columna 2015 debe ser $170,828,470.</w:t>
      </w:r>
    </w:p>
    <w:p w:rsidR="00C77A46" w:rsidRPr="003B09CF" w:rsidRDefault="00C77A46" w:rsidP="00C77A46">
      <w:pPr>
        <w:rPr>
          <w:rFonts w:ascii="Arial" w:hAnsi="Arial" w:cs="Arial"/>
          <w:sz w:val="20"/>
          <w:vertAlign w:val="superscript"/>
        </w:rPr>
      </w:pPr>
      <w:r w:rsidRPr="003B09CF">
        <w:rPr>
          <w:rFonts w:ascii="Arial" w:hAnsi="Arial" w:cs="Arial"/>
          <w:b/>
          <w:sz w:val="20"/>
          <w:lang w:val="es-MX" w:eastAsia="es-MX"/>
        </w:rPr>
        <w:t>[sic]</w:t>
      </w:r>
      <w:r w:rsidRPr="003B09CF">
        <w:rPr>
          <w:rFonts w:ascii="Arial" w:hAnsi="Arial" w:cs="Arial"/>
          <w:b/>
          <w:sz w:val="20"/>
          <w:vertAlign w:val="superscript"/>
        </w:rPr>
        <w:t>4</w:t>
      </w:r>
      <w:r w:rsidRPr="003B09CF">
        <w:rPr>
          <w:rFonts w:ascii="Arial" w:hAnsi="Arial" w:cs="Arial"/>
          <w:sz w:val="20"/>
          <w:vertAlign w:val="superscript"/>
        </w:rPr>
        <w:t xml:space="preserve">    </w:t>
      </w:r>
      <w:r w:rsidRPr="003B09CF">
        <w:rPr>
          <w:rFonts w:ascii="Arial" w:hAnsi="Arial" w:cs="Arial"/>
          <w:sz w:val="20"/>
        </w:rPr>
        <w:t>En la columna 2014 debe ser $305,674,311.</w:t>
      </w:r>
    </w:p>
    <w:p w:rsidR="00C77A46" w:rsidRPr="003B09CF" w:rsidRDefault="00C77A46" w:rsidP="00C77A46">
      <w:pPr>
        <w:rPr>
          <w:rFonts w:ascii="Arial" w:hAnsi="Arial" w:cs="Arial"/>
          <w:sz w:val="20"/>
        </w:rPr>
      </w:pPr>
      <w:r w:rsidRPr="003B09CF">
        <w:rPr>
          <w:rFonts w:ascii="Arial" w:hAnsi="Arial" w:cs="Arial"/>
          <w:b/>
          <w:sz w:val="20"/>
          <w:lang w:val="es-MX" w:eastAsia="es-MX"/>
        </w:rPr>
        <w:t>[sic]</w:t>
      </w:r>
      <w:r w:rsidRPr="003B09CF">
        <w:rPr>
          <w:rFonts w:ascii="Arial" w:hAnsi="Arial" w:cs="Arial"/>
          <w:b/>
          <w:sz w:val="20"/>
          <w:vertAlign w:val="superscript"/>
        </w:rPr>
        <w:t>5</w:t>
      </w:r>
      <w:r w:rsidRPr="003B09CF">
        <w:rPr>
          <w:rFonts w:ascii="Arial" w:hAnsi="Arial" w:cs="Arial"/>
          <w:sz w:val="20"/>
          <w:vertAlign w:val="superscript"/>
        </w:rPr>
        <w:t xml:space="preserve">    </w:t>
      </w:r>
      <w:r w:rsidRPr="003B09CF">
        <w:rPr>
          <w:rFonts w:ascii="Arial" w:hAnsi="Arial" w:cs="Arial"/>
          <w:sz w:val="20"/>
        </w:rPr>
        <w:t>En la columna 2014 debe ser $305,674,311.</w:t>
      </w:r>
    </w:p>
    <w:p w:rsidR="00C77A46" w:rsidRPr="003B09CF" w:rsidRDefault="00C77A46" w:rsidP="00C77A46">
      <w:pPr>
        <w:rPr>
          <w:rFonts w:ascii="Arial" w:hAnsi="Arial" w:cs="Arial"/>
          <w:sz w:val="20"/>
          <w:vertAlign w:val="superscript"/>
        </w:rPr>
      </w:pPr>
      <w:r w:rsidRPr="003B09CF">
        <w:rPr>
          <w:rFonts w:ascii="Arial" w:hAnsi="Arial" w:cs="Arial"/>
          <w:b/>
          <w:sz w:val="20"/>
          <w:lang w:val="es-MX" w:eastAsia="es-MX"/>
        </w:rPr>
        <w:t>[sic]</w:t>
      </w:r>
      <w:r w:rsidRPr="003B09CF">
        <w:rPr>
          <w:rFonts w:ascii="Arial" w:hAnsi="Arial" w:cs="Arial"/>
          <w:b/>
          <w:sz w:val="20"/>
          <w:vertAlign w:val="superscript"/>
        </w:rPr>
        <w:t>6</w:t>
      </w:r>
      <w:r w:rsidRPr="003B09CF">
        <w:rPr>
          <w:rFonts w:ascii="Arial" w:hAnsi="Arial" w:cs="Arial"/>
          <w:sz w:val="20"/>
          <w:vertAlign w:val="superscript"/>
        </w:rPr>
        <w:t xml:space="preserve">    </w:t>
      </w:r>
      <w:r w:rsidRPr="003B09CF">
        <w:rPr>
          <w:rFonts w:ascii="Arial" w:hAnsi="Arial" w:cs="Arial"/>
          <w:sz w:val="20"/>
        </w:rPr>
        <w:t>En la columna 2015 debe ser $399,188.</w:t>
      </w:r>
    </w:p>
    <w:p w:rsidR="00C77A46" w:rsidRDefault="00C77A46" w:rsidP="00C77A46">
      <w:pPr>
        <w:rPr>
          <w:rFonts w:ascii="Arial" w:hAnsi="Arial" w:cs="Arial"/>
          <w:sz w:val="20"/>
          <w:vertAlign w:val="superscript"/>
        </w:rPr>
      </w:pPr>
      <w:r w:rsidRPr="003B09CF">
        <w:rPr>
          <w:rFonts w:ascii="Arial" w:hAnsi="Arial" w:cs="Arial"/>
          <w:b/>
          <w:sz w:val="20"/>
          <w:lang w:val="es-MX" w:eastAsia="es-MX"/>
        </w:rPr>
        <w:t>[sic]</w:t>
      </w:r>
      <w:r w:rsidRPr="003B09CF">
        <w:rPr>
          <w:rFonts w:ascii="Arial" w:hAnsi="Arial" w:cs="Arial"/>
          <w:b/>
          <w:sz w:val="20"/>
          <w:vertAlign w:val="superscript"/>
        </w:rPr>
        <w:t>7</w:t>
      </w:r>
      <w:r w:rsidRPr="003B09CF">
        <w:rPr>
          <w:rFonts w:ascii="Arial" w:hAnsi="Arial" w:cs="Arial"/>
          <w:sz w:val="20"/>
          <w:vertAlign w:val="superscript"/>
        </w:rPr>
        <w:t xml:space="preserve">    </w:t>
      </w:r>
      <w:r w:rsidRPr="003B09CF">
        <w:rPr>
          <w:rFonts w:ascii="Arial" w:hAnsi="Arial" w:cs="Arial"/>
          <w:sz w:val="20"/>
        </w:rPr>
        <w:t>En la columna 2015 debe ser $1,116,075,150.</w:t>
      </w:r>
    </w:p>
    <w:p w:rsidR="005F4540" w:rsidRDefault="005F4540" w:rsidP="005C3E43">
      <w:pPr>
        <w:spacing w:after="0"/>
        <w:contextualSpacing/>
        <w:jc w:val="center"/>
        <w:rPr>
          <w:rFonts w:ascii="Arial" w:hAnsi="Arial" w:cs="Arial"/>
          <w:b/>
          <w:sz w:val="24"/>
        </w:rPr>
      </w:pPr>
    </w:p>
    <w:p w:rsidR="005C3E43" w:rsidRDefault="005C3E43" w:rsidP="005C3E43">
      <w:pPr>
        <w:spacing w:after="0"/>
        <w:contextualSpacing/>
        <w:jc w:val="center"/>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381115" w:rsidRDefault="00381115" w:rsidP="009C0345">
      <w:pPr>
        <w:spacing w:after="0"/>
        <w:contextualSpacing/>
        <w:jc w:val="both"/>
        <w:rPr>
          <w:rFonts w:ascii="Arial" w:hAnsi="Arial" w:cs="Arial"/>
          <w:b/>
          <w:sz w:val="24"/>
        </w:rPr>
      </w:pPr>
    </w:p>
    <w:p w:rsidR="005C3E43" w:rsidRPr="005C3E43" w:rsidRDefault="005C3E43" w:rsidP="009C0345">
      <w:pPr>
        <w:spacing w:after="0"/>
        <w:contextualSpacing/>
        <w:jc w:val="both"/>
        <w:rPr>
          <w:rFonts w:ascii="Arial" w:hAnsi="Arial" w:cs="Arial"/>
          <w:sz w:val="24"/>
        </w:rPr>
      </w:pPr>
      <w:r>
        <w:rPr>
          <w:rFonts w:ascii="Arial" w:hAnsi="Arial" w:cs="Arial"/>
          <w:sz w:val="24"/>
        </w:rPr>
        <w:tab/>
        <w:t xml:space="preserve">Para estos indicadores, la Auditoría nos informa que no se </w:t>
      </w:r>
      <w:r w:rsidR="0030407F">
        <w:rPr>
          <w:rFonts w:ascii="Arial" w:hAnsi="Arial" w:cs="Arial"/>
          <w:sz w:val="24"/>
        </w:rPr>
        <w:t>presentaron en el ejercicio 2015</w:t>
      </w:r>
      <w:r>
        <w:rPr>
          <w:rFonts w:ascii="Arial" w:hAnsi="Arial" w:cs="Arial"/>
          <w:sz w:val="24"/>
        </w:rPr>
        <w:t>.</w:t>
      </w:r>
    </w:p>
    <w:p w:rsidR="005C3E43" w:rsidRDefault="005C3E43" w:rsidP="009C0345">
      <w:pPr>
        <w:spacing w:after="0"/>
        <w:contextualSpacing/>
        <w:jc w:val="both"/>
        <w:rPr>
          <w:rFonts w:ascii="Arial" w:hAnsi="Arial" w:cs="Arial"/>
          <w:b/>
          <w:sz w:val="24"/>
        </w:rPr>
      </w:pPr>
    </w:p>
    <w:p w:rsidR="005C3E43" w:rsidRPr="00253C6A" w:rsidRDefault="005C3E43" w:rsidP="009C0345">
      <w:pPr>
        <w:spacing w:after="0"/>
        <w:contextualSpacing/>
        <w:jc w:val="both"/>
        <w:rPr>
          <w:rFonts w:ascii="Arial" w:hAnsi="Arial" w:cs="Arial"/>
          <w:b/>
          <w:sz w:val="24"/>
        </w:rPr>
      </w:pPr>
    </w:p>
    <w:p w:rsidR="008B1EB7" w:rsidRPr="008B1EB7" w:rsidRDefault="005C3E43" w:rsidP="005C3E43">
      <w:pPr>
        <w:pStyle w:val="Prrafodelista"/>
        <w:numPr>
          <w:ilvl w:val="0"/>
          <w:numId w:val="3"/>
        </w:numPr>
        <w:spacing w:after="0"/>
        <w:contextualSpacing/>
        <w:jc w:val="both"/>
        <w:rPr>
          <w:rFonts w:ascii="Arial" w:hAnsi="Arial" w:cs="Arial"/>
          <w:sz w:val="24"/>
        </w:rPr>
      </w:pPr>
      <w:r w:rsidRPr="005C3E43">
        <w:rPr>
          <w:rFonts w:ascii="Arial" w:hAnsi="Arial" w:cs="Arial"/>
          <w:b/>
          <w:bCs/>
          <w:sz w:val="24"/>
        </w:rPr>
        <w:t xml:space="preserve">Observaciones derivadas de la revisión practicada, las aclaraciones a las mismas por los funcionarios responsables y su </w:t>
      </w:r>
      <w:r w:rsidRPr="005C3E43">
        <w:rPr>
          <w:rFonts w:ascii="Arial" w:hAnsi="Arial" w:cs="Arial"/>
          <w:b/>
          <w:bCs/>
          <w:sz w:val="24"/>
        </w:rPr>
        <w:lastRenderedPageBreak/>
        <w:t>análisis por la Auditoría Superior del Estado, incluyendo las acciones que se ejercerán y recomendaciones que se formularán</w:t>
      </w:r>
      <w:r w:rsidR="00DD3DF8">
        <w:rPr>
          <w:rFonts w:ascii="Arial" w:hAnsi="Arial" w:cs="Arial"/>
          <w:b/>
          <w:bCs/>
          <w:sz w:val="24"/>
        </w:rPr>
        <w:t>.</w:t>
      </w:r>
      <w:r w:rsidR="00401C23" w:rsidRPr="00401C23">
        <w:rPr>
          <w:rFonts w:ascii="Arial" w:hAnsi="Arial" w:cs="Arial"/>
          <w:b/>
          <w:bCs/>
          <w:sz w:val="24"/>
        </w:rPr>
        <w:t xml:space="preserve"> </w:t>
      </w:r>
    </w:p>
    <w:p w:rsidR="008B1EB7" w:rsidRDefault="008B1EB7" w:rsidP="008B1EB7">
      <w:pPr>
        <w:spacing w:after="0"/>
        <w:contextualSpacing/>
        <w:jc w:val="both"/>
        <w:rPr>
          <w:rFonts w:ascii="Arial" w:hAnsi="Arial" w:cs="Arial"/>
          <w:sz w:val="24"/>
        </w:rPr>
      </w:pPr>
    </w:p>
    <w:p w:rsidR="008C13D5" w:rsidRPr="008C13D5" w:rsidRDefault="008C13D5" w:rsidP="0030407F">
      <w:pPr>
        <w:spacing w:after="0" w:line="360" w:lineRule="auto"/>
        <w:contextualSpacing/>
        <w:jc w:val="both"/>
        <w:rPr>
          <w:rFonts w:ascii="Arial" w:hAnsi="Arial" w:cs="Arial"/>
          <w:sz w:val="24"/>
          <w:u w:val="single"/>
        </w:rPr>
      </w:pPr>
      <w:r w:rsidRPr="008C13D5">
        <w:rPr>
          <w:rFonts w:ascii="Arial" w:hAnsi="Arial" w:cs="Arial"/>
          <w:b/>
          <w:bCs/>
          <w:sz w:val="24"/>
          <w:szCs w:val="24"/>
          <w:u w:val="single"/>
          <w:lang w:val="es-MX" w:eastAsia="es-ES"/>
        </w:rPr>
        <w:t>Ley General de Contabilidad Gubernamental</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1. Se revisó la observancia de la Ley General de Co</w:t>
      </w:r>
      <w:r w:rsidR="008C13D5">
        <w:rPr>
          <w:rFonts w:ascii="Arial" w:hAnsi="Arial" w:cs="Arial"/>
          <w:sz w:val="24"/>
        </w:rPr>
        <w:t xml:space="preserve">ntabilidad Gubernamental (LGCG) </w:t>
      </w:r>
      <w:r w:rsidRPr="0030407F">
        <w:rPr>
          <w:rFonts w:ascii="Arial" w:hAnsi="Arial" w:cs="Arial"/>
          <w:sz w:val="24"/>
        </w:rPr>
        <w:t>y la normatividad emitida por el Consejo Nacional de Armonización Contable (</w:t>
      </w:r>
      <w:proofErr w:type="spellStart"/>
      <w:r w:rsidRPr="0030407F">
        <w:rPr>
          <w:rFonts w:ascii="Arial" w:hAnsi="Arial" w:cs="Arial"/>
          <w:sz w:val="24"/>
        </w:rPr>
        <w:t>Conac</w:t>
      </w:r>
      <w:proofErr w:type="spellEnd"/>
      <w:r w:rsidRPr="0030407F">
        <w:rPr>
          <w:rFonts w:ascii="Arial" w:hAnsi="Arial" w:cs="Arial"/>
          <w:sz w:val="24"/>
        </w:rPr>
        <w:t>),</w:t>
      </w:r>
      <w:r w:rsidR="008C13D5">
        <w:rPr>
          <w:rFonts w:ascii="Arial" w:hAnsi="Arial" w:cs="Arial"/>
          <w:sz w:val="24"/>
        </w:rPr>
        <w:t xml:space="preserve"> </w:t>
      </w:r>
      <w:r w:rsidRPr="0030407F">
        <w:rPr>
          <w:rFonts w:ascii="Arial" w:hAnsi="Arial" w:cs="Arial"/>
          <w:sz w:val="24"/>
        </w:rPr>
        <w:t>advirtiéndose incumplimientos por parte del Ente Público, a las obligaciones que diversos</w:t>
      </w:r>
      <w:r w:rsidR="008C13D5">
        <w:rPr>
          <w:rFonts w:ascii="Arial" w:hAnsi="Arial" w:cs="Arial"/>
          <w:sz w:val="24"/>
        </w:rPr>
        <w:t xml:space="preserve"> </w:t>
      </w:r>
      <w:r w:rsidRPr="0030407F">
        <w:rPr>
          <w:rFonts w:ascii="Arial" w:hAnsi="Arial" w:cs="Arial"/>
          <w:sz w:val="24"/>
        </w:rPr>
        <w:t>preceptos de la referida Ley le imponen, acorde con lo que se enuncia a continuación:</w:t>
      </w:r>
    </w:p>
    <w:p w:rsidR="008C13D5" w:rsidRDefault="008C13D5" w:rsidP="0030407F">
      <w:pPr>
        <w:spacing w:after="0" w:line="360" w:lineRule="auto"/>
        <w:contextualSpacing/>
        <w:jc w:val="both"/>
        <w:rPr>
          <w:rFonts w:ascii="Arial" w:hAnsi="Arial" w:cs="Arial"/>
          <w:sz w:val="24"/>
        </w:rPr>
      </w:pPr>
    </w:p>
    <w:p w:rsidR="0030407F" w:rsidRPr="008C13D5" w:rsidRDefault="0030407F" w:rsidP="0030407F">
      <w:pPr>
        <w:spacing w:after="0" w:line="360" w:lineRule="auto"/>
        <w:contextualSpacing/>
        <w:jc w:val="both"/>
        <w:rPr>
          <w:rFonts w:ascii="Arial" w:hAnsi="Arial" w:cs="Arial"/>
          <w:b/>
          <w:sz w:val="24"/>
        </w:rPr>
      </w:pPr>
      <w:r w:rsidRPr="008C13D5">
        <w:rPr>
          <w:rFonts w:ascii="Arial" w:hAnsi="Arial" w:cs="Arial"/>
          <w:b/>
          <w:sz w:val="24"/>
        </w:rPr>
        <w:t>I. Registros contables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a) Contar con manuales de contabilidad (artículo 20).</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b) Registrar en cuentas específicas de activo los bienes</w:t>
      </w:r>
      <w:r w:rsidR="008C13D5">
        <w:rPr>
          <w:rFonts w:ascii="Arial" w:hAnsi="Arial" w:cs="Arial"/>
          <w:sz w:val="24"/>
        </w:rPr>
        <w:t xml:space="preserve"> muebles e inmuebles (artículos </w:t>
      </w:r>
      <w:r w:rsidRPr="0030407F">
        <w:rPr>
          <w:rFonts w:ascii="Arial" w:hAnsi="Arial" w:cs="Arial"/>
          <w:sz w:val="24"/>
        </w:rPr>
        <w:t>23 y 24 conforme a las Reglas específicas de registro y valoración del patrimonio).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c) Registrar las obras en proceso en una cuenta de acti</w:t>
      </w:r>
      <w:r w:rsidR="008C13D5">
        <w:rPr>
          <w:rFonts w:ascii="Arial" w:hAnsi="Arial" w:cs="Arial"/>
          <w:sz w:val="24"/>
        </w:rPr>
        <w:t xml:space="preserve">vo, la cual refleja su grado de </w:t>
      </w:r>
      <w:r w:rsidRPr="0030407F">
        <w:rPr>
          <w:rFonts w:ascii="Arial" w:hAnsi="Arial" w:cs="Arial"/>
          <w:sz w:val="24"/>
        </w:rPr>
        <w:t>avance (artículo 29).</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d) Realizar los registros contables con base acumulativa, el ga</w:t>
      </w:r>
      <w:r w:rsidR="008C13D5">
        <w:rPr>
          <w:rFonts w:ascii="Arial" w:hAnsi="Arial" w:cs="Arial"/>
          <w:sz w:val="24"/>
        </w:rPr>
        <w:t xml:space="preserve">sto conforme a su fecha </w:t>
      </w:r>
      <w:r w:rsidRPr="0030407F">
        <w:rPr>
          <w:rFonts w:ascii="Arial" w:hAnsi="Arial" w:cs="Arial"/>
          <w:sz w:val="24"/>
        </w:rPr>
        <w:t>de realización y el ingreso cuando exista jurídicament</w:t>
      </w:r>
      <w:r w:rsidR="008C13D5">
        <w:rPr>
          <w:rFonts w:ascii="Arial" w:hAnsi="Arial" w:cs="Arial"/>
          <w:sz w:val="24"/>
        </w:rPr>
        <w:t xml:space="preserve">e el derecho de cobro (artículo </w:t>
      </w:r>
      <w:r w:rsidRPr="0030407F">
        <w:rPr>
          <w:rFonts w:ascii="Arial" w:hAnsi="Arial" w:cs="Arial"/>
          <w:sz w:val="24"/>
        </w:rPr>
        <w:t>34, conforme a Normas y metodología para l</w:t>
      </w:r>
      <w:r w:rsidR="008C13D5">
        <w:rPr>
          <w:rFonts w:ascii="Arial" w:hAnsi="Arial" w:cs="Arial"/>
          <w:sz w:val="24"/>
        </w:rPr>
        <w:t xml:space="preserve">a determinación de los momentos </w:t>
      </w:r>
      <w:r w:rsidRPr="0030407F">
        <w:rPr>
          <w:rFonts w:ascii="Arial" w:hAnsi="Arial" w:cs="Arial"/>
          <w:sz w:val="24"/>
        </w:rPr>
        <w:t>contables de los ingresos y Normas y metodología para la determinación d</w:t>
      </w:r>
      <w:r w:rsidR="008C13D5">
        <w:rPr>
          <w:rFonts w:ascii="Arial" w:hAnsi="Arial" w:cs="Arial"/>
          <w:sz w:val="24"/>
        </w:rPr>
        <w:t xml:space="preserve">e los </w:t>
      </w:r>
      <w:r w:rsidRPr="0030407F">
        <w:rPr>
          <w:rFonts w:ascii="Arial" w:hAnsi="Arial" w:cs="Arial"/>
          <w:sz w:val="24"/>
        </w:rPr>
        <w:t>momentos contables de los egresos).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e) Mantener un registro histórico de sus operacione</w:t>
      </w:r>
      <w:r w:rsidR="008C13D5">
        <w:rPr>
          <w:rFonts w:ascii="Arial" w:hAnsi="Arial" w:cs="Arial"/>
          <w:sz w:val="24"/>
        </w:rPr>
        <w:t xml:space="preserve">s en los libros diario, mayor e </w:t>
      </w:r>
      <w:r w:rsidRPr="0030407F">
        <w:rPr>
          <w:rFonts w:ascii="Arial" w:hAnsi="Arial" w:cs="Arial"/>
          <w:sz w:val="24"/>
        </w:rPr>
        <w:t>inventarios y balances (artículo 35 y cuarto transitorio d</w:t>
      </w:r>
      <w:r w:rsidR="008C13D5">
        <w:rPr>
          <w:rFonts w:ascii="Arial" w:hAnsi="Arial" w:cs="Arial"/>
          <w:sz w:val="24"/>
        </w:rPr>
        <w:t xml:space="preserve">el decreto por el que se expide </w:t>
      </w:r>
      <w:r w:rsidRPr="0030407F">
        <w:rPr>
          <w:rFonts w:ascii="Arial" w:hAnsi="Arial" w:cs="Arial"/>
          <w:sz w:val="24"/>
        </w:rPr>
        <w:t>la LGCG publicado en el Diario Oficial de la Federac</w:t>
      </w:r>
      <w:r w:rsidR="008C13D5">
        <w:rPr>
          <w:rFonts w:ascii="Arial" w:hAnsi="Arial" w:cs="Arial"/>
          <w:sz w:val="24"/>
        </w:rPr>
        <w:t xml:space="preserve">ión el 31 de diciembre de 2008, </w:t>
      </w:r>
      <w:r w:rsidRPr="0030407F">
        <w:rPr>
          <w:rFonts w:ascii="Arial" w:hAnsi="Arial" w:cs="Arial"/>
          <w:sz w:val="24"/>
        </w:rPr>
        <w:t xml:space="preserve">conforme a los Lineamientos mínimos relativos al </w:t>
      </w:r>
      <w:r w:rsidRPr="0030407F">
        <w:rPr>
          <w:rFonts w:ascii="Arial" w:hAnsi="Arial" w:cs="Arial"/>
          <w:sz w:val="24"/>
        </w:rPr>
        <w:lastRenderedPageBreak/>
        <w:t>di</w:t>
      </w:r>
      <w:r w:rsidR="008C13D5">
        <w:rPr>
          <w:rFonts w:ascii="Arial" w:hAnsi="Arial" w:cs="Arial"/>
          <w:sz w:val="24"/>
        </w:rPr>
        <w:t xml:space="preserve">seño e integración del registro </w:t>
      </w:r>
      <w:r w:rsidRPr="0030407F">
        <w:rPr>
          <w:rFonts w:ascii="Arial" w:hAnsi="Arial" w:cs="Arial"/>
          <w:sz w:val="24"/>
        </w:rPr>
        <w:t>en los libros diario, mayor e inventarios y balances, registro electrónico).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f) Constituir provisiones, revisarlas y ajustarlas pe</w:t>
      </w:r>
      <w:r w:rsidR="008C13D5">
        <w:rPr>
          <w:rFonts w:ascii="Arial" w:hAnsi="Arial" w:cs="Arial"/>
          <w:sz w:val="24"/>
        </w:rPr>
        <w:t xml:space="preserve">riódicamente para mantener su </w:t>
      </w:r>
      <w:r w:rsidRPr="0030407F">
        <w:rPr>
          <w:rFonts w:ascii="Arial" w:hAnsi="Arial" w:cs="Arial"/>
          <w:sz w:val="24"/>
        </w:rPr>
        <w:t>vigencia (artículo 39).</w:t>
      </w:r>
    </w:p>
    <w:p w:rsidR="000D4367"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g) Expresar en los estados financieros los esquemas </w:t>
      </w:r>
      <w:r w:rsidR="008C13D5">
        <w:rPr>
          <w:rFonts w:ascii="Arial" w:hAnsi="Arial" w:cs="Arial"/>
          <w:sz w:val="24"/>
        </w:rPr>
        <w:t xml:space="preserve">de pasivos, incluyendo la deuda </w:t>
      </w:r>
      <w:r w:rsidRPr="0030407F">
        <w:rPr>
          <w:rFonts w:ascii="Arial" w:hAnsi="Arial" w:cs="Arial"/>
          <w:sz w:val="24"/>
        </w:rPr>
        <w:t>pública (artículo 45).</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h) Disponer de las matrices de conversión con las características señaladas en los</w:t>
      </w:r>
      <w:r w:rsidR="008C13D5">
        <w:rPr>
          <w:rFonts w:ascii="Arial" w:hAnsi="Arial" w:cs="Arial"/>
          <w:sz w:val="24"/>
        </w:rPr>
        <w:t xml:space="preserve"> </w:t>
      </w:r>
      <w:r w:rsidRPr="0030407F">
        <w:rPr>
          <w:rFonts w:ascii="Arial" w:hAnsi="Arial" w:cs="Arial"/>
          <w:sz w:val="24"/>
        </w:rPr>
        <w:t>artículos 40 y 41, (artículo cuarto transitorio del decre</w:t>
      </w:r>
      <w:r w:rsidR="008C13D5">
        <w:rPr>
          <w:rFonts w:ascii="Arial" w:hAnsi="Arial" w:cs="Arial"/>
          <w:sz w:val="24"/>
        </w:rPr>
        <w:t xml:space="preserve">to por el que se expide la LGCG </w:t>
      </w:r>
      <w:r w:rsidRPr="0030407F">
        <w:rPr>
          <w:rFonts w:ascii="Arial" w:hAnsi="Arial" w:cs="Arial"/>
          <w:sz w:val="24"/>
        </w:rPr>
        <w:t>publicado en el Diario Oficial de la Federación el 31 de diciembre de 2008).</w:t>
      </w:r>
    </w:p>
    <w:p w:rsidR="008C13D5" w:rsidRDefault="008C13D5" w:rsidP="0030407F">
      <w:pPr>
        <w:spacing w:after="0" w:line="360" w:lineRule="auto"/>
        <w:contextualSpacing/>
        <w:jc w:val="both"/>
        <w:rPr>
          <w:rFonts w:ascii="Arial" w:hAnsi="Arial" w:cs="Arial"/>
          <w:sz w:val="24"/>
        </w:rPr>
      </w:pPr>
    </w:p>
    <w:p w:rsidR="0030407F" w:rsidRPr="008C13D5" w:rsidRDefault="0030407F" w:rsidP="0030407F">
      <w:pPr>
        <w:spacing w:after="0" w:line="360" w:lineRule="auto"/>
        <w:contextualSpacing/>
        <w:jc w:val="both"/>
        <w:rPr>
          <w:rFonts w:ascii="Arial" w:hAnsi="Arial" w:cs="Arial"/>
          <w:b/>
          <w:sz w:val="24"/>
        </w:rPr>
      </w:pPr>
      <w:r w:rsidRPr="008C13D5">
        <w:rPr>
          <w:rFonts w:ascii="Arial" w:hAnsi="Arial" w:cs="Arial"/>
          <w:b/>
          <w:sz w:val="24"/>
        </w:rPr>
        <w:t>II. Registros presupuestarios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a) Disponer de clasificadores presupuestarios armonizados, que permitan </w:t>
      </w:r>
      <w:r w:rsidR="008C13D5">
        <w:rPr>
          <w:rFonts w:ascii="Arial" w:hAnsi="Arial" w:cs="Arial"/>
          <w:sz w:val="24"/>
        </w:rPr>
        <w:t xml:space="preserve">su </w:t>
      </w:r>
      <w:r w:rsidRPr="0030407F">
        <w:rPr>
          <w:rFonts w:ascii="Arial" w:hAnsi="Arial" w:cs="Arial"/>
          <w:sz w:val="24"/>
        </w:rPr>
        <w:t>interrelación automática (artículo 41, conforme a los clasificadores).</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a.1. Clasificador por rubro de ingresos.</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a.2. Clasificador por objeto del gasto.</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a.3. Clasificador por tipo del gasto.</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a.4. Clasificación funcional del gasto.</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a.5. Clasificación programática.</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a.6. Clasificación administrativa.</w:t>
      </w:r>
    </w:p>
    <w:p w:rsidR="0030407F" w:rsidRPr="0030407F" w:rsidRDefault="0030407F" w:rsidP="008C13D5">
      <w:pPr>
        <w:spacing w:after="0" w:line="360" w:lineRule="auto"/>
        <w:ind w:firstLine="708"/>
        <w:contextualSpacing/>
        <w:jc w:val="both"/>
        <w:rPr>
          <w:rFonts w:ascii="Arial" w:hAnsi="Arial" w:cs="Arial"/>
          <w:sz w:val="24"/>
        </w:rPr>
      </w:pPr>
      <w:r w:rsidRPr="0030407F">
        <w:rPr>
          <w:rFonts w:ascii="Arial" w:hAnsi="Arial" w:cs="Arial"/>
          <w:sz w:val="24"/>
        </w:rPr>
        <w:t>a.7. Clasificador por fuente de financiamiento.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b) Realizar los registros en las etapas del pres</w:t>
      </w:r>
      <w:r w:rsidR="008C13D5">
        <w:rPr>
          <w:rFonts w:ascii="Arial" w:hAnsi="Arial" w:cs="Arial"/>
          <w:sz w:val="24"/>
        </w:rPr>
        <w:t xml:space="preserve">upuesto de egresos en aprobado, </w:t>
      </w:r>
      <w:r w:rsidRPr="0030407F">
        <w:rPr>
          <w:rFonts w:ascii="Arial" w:hAnsi="Arial" w:cs="Arial"/>
          <w:sz w:val="24"/>
        </w:rPr>
        <w:t>modificado, comprometido, devengado, ejercido y pagado y del</w:t>
      </w:r>
      <w:r w:rsidR="008C13D5">
        <w:rPr>
          <w:rFonts w:ascii="Arial" w:hAnsi="Arial" w:cs="Arial"/>
          <w:sz w:val="24"/>
        </w:rPr>
        <w:t xml:space="preserve"> ingreso en estimado, </w:t>
      </w:r>
      <w:r w:rsidRPr="0030407F">
        <w:rPr>
          <w:rFonts w:ascii="Arial" w:hAnsi="Arial" w:cs="Arial"/>
          <w:sz w:val="24"/>
        </w:rPr>
        <w:t xml:space="preserve">modificado, devengado y recaudado (artículo 38, </w:t>
      </w:r>
      <w:r w:rsidR="008C13D5">
        <w:rPr>
          <w:rFonts w:ascii="Arial" w:hAnsi="Arial" w:cs="Arial"/>
          <w:sz w:val="24"/>
        </w:rPr>
        <w:t xml:space="preserve">conforme a Normas y metodología </w:t>
      </w:r>
      <w:r w:rsidRPr="0030407F">
        <w:rPr>
          <w:rFonts w:ascii="Arial" w:hAnsi="Arial" w:cs="Arial"/>
          <w:sz w:val="24"/>
        </w:rPr>
        <w:t xml:space="preserve">para la determinación de los momentos </w:t>
      </w:r>
      <w:r w:rsidRPr="0030407F">
        <w:rPr>
          <w:rFonts w:ascii="Arial" w:hAnsi="Arial" w:cs="Arial"/>
          <w:sz w:val="24"/>
        </w:rPr>
        <w:lastRenderedPageBreak/>
        <w:t>conta</w:t>
      </w:r>
      <w:r w:rsidR="008C13D5">
        <w:rPr>
          <w:rFonts w:ascii="Arial" w:hAnsi="Arial" w:cs="Arial"/>
          <w:sz w:val="24"/>
        </w:rPr>
        <w:t xml:space="preserve">bles de los ingresos y Normas y </w:t>
      </w:r>
      <w:r w:rsidRPr="0030407F">
        <w:rPr>
          <w:rFonts w:ascii="Arial" w:hAnsi="Arial" w:cs="Arial"/>
          <w:sz w:val="24"/>
        </w:rPr>
        <w:t>metodología para la determinación de los momentos contables de los egresos).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c) Exhibir en los registros auxiliares los avances presup</w:t>
      </w:r>
      <w:r w:rsidR="008C13D5">
        <w:rPr>
          <w:rFonts w:ascii="Arial" w:hAnsi="Arial" w:cs="Arial"/>
          <w:sz w:val="24"/>
        </w:rPr>
        <w:t xml:space="preserve">uestarios y contables (artículo </w:t>
      </w:r>
      <w:r w:rsidRPr="0030407F">
        <w:rPr>
          <w:rFonts w:ascii="Arial" w:hAnsi="Arial" w:cs="Arial"/>
          <w:sz w:val="24"/>
        </w:rPr>
        <w:t>36).</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d) Generar registros automáticos y por únic</w:t>
      </w:r>
      <w:r w:rsidR="008C13D5">
        <w:rPr>
          <w:rFonts w:ascii="Arial" w:hAnsi="Arial" w:cs="Arial"/>
          <w:sz w:val="24"/>
        </w:rPr>
        <w:t xml:space="preserve">a vez en los momentos contables </w:t>
      </w:r>
      <w:r w:rsidRPr="0030407F">
        <w:rPr>
          <w:rFonts w:ascii="Arial" w:hAnsi="Arial" w:cs="Arial"/>
          <w:sz w:val="24"/>
        </w:rPr>
        <w:t>correspondientes de los procesos administra</w:t>
      </w:r>
      <w:r w:rsidR="008C13D5">
        <w:rPr>
          <w:rFonts w:ascii="Arial" w:hAnsi="Arial" w:cs="Arial"/>
          <w:sz w:val="24"/>
        </w:rPr>
        <w:t xml:space="preserve">tivos de los Entes Públicos que </w:t>
      </w:r>
      <w:r w:rsidRPr="0030407F">
        <w:rPr>
          <w:rFonts w:ascii="Arial" w:hAnsi="Arial" w:cs="Arial"/>
          <w:sz w:val="24"/>
        </w:rPr>
        <w:t xml:space="preserve">impliquen transacciones presupuestarias y contables </w:t>
      </w:r>
      <w:r w:rsidR="008C13D5">
        <w:rPr>
          <w:rFonts w:ascii="Arial" w:hAnsi="Arial" w:cs="Arial"/>
          <w:sz w:val="24"/>
        </w:rPr>
        <w:t xml:space="preserve">(artículos 16 y 40, conforme al </w:t>
      </w:r>
      <w:r w:rsidRPr="0030407F">
        <w:rPr>
          <w:rFonts w:ascii="Arial" w:hAnsi="Arial" w:cs="Arial"/>
          <w:sz w:val="24"/>
        </w:rPr>
        <w:t>Acuerdo por el que se determina la norma de infor</w:t>
      </w:r>
      <w:r w:rsidR="008C13D5">
        <w:rPr>
          <w:rFonts w:ascii="Arial" w:hAnsi="Arial" w:cs="Arial"/>
          <w:sz w:val="24"/>
        </w:rPr>
        <w:t xml:space="preserve">mación financiera para precisar </w:t>
      </w:r>
      <w:r w:rsidRPr="0030407F">
        <w:rPr>
          <w:rFonts w:ascii="Arial" w:hAnsi="Arial" w:cs="Arial"/>
          <w:sz w:val="24"/>
        </w:rPr>
        <w:t>los alcances del Acuerdo 1 aprobado por el Consejo Nacional de Armonización</w:t>
      </w:r>
      <w:r w:rsidR="00E5669B">
        <w:rPr>
          <w:rFonts w:ascii="Arial" w:hAnsi="Arial" w:cs="Arial"/>
          <w:sz w:val="24"/>
        </w:rPr>
        <w:t xml:space="preserve"> </w:t>
      </w:r>
      <w:r w:rsidRPr="0030407F">
        <w:rPr>
          <w:rFonts w:ascii="Arial" w:hAnsi="Arial" w:cs="Arial"/>
          <w:sz w:val="24"/>
        </w:rPr>
        <w:t>Contable, en reunión del 3 de mayo de 2013 y publicado el 16 de mayo de 2013).</w:t>
      </w: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e) El sistema interrelaciona de manera automática los c</w:t>
      </w:r>
      <w:r w:rsidR="00E5669B">
        <w:rPr>
          <w:rFonts w:ascii="Arial" w:hAnsi="Arial" w:cs="Arial"/>
          <w:sz w:val="24"/>
        </w:rPr>
        <w:t xml:space="preserve">lasificadores presupuestarios y </w:t>
      </w:r>
      <w:r w:rsidRPr="0030407F">
        <w:rPr>
          <w:rFonts w:ascii="Arial" w:hAnsi="Arial" w:cs="Arial"/>
          <w:sz w:val="24"/>
        </w:rPr>
        <w:t>lista de cuenta (artículos 19, fracción III y IV y 41, co</w:t>
      </w:r>
      <w:r w:rsidR="00E5669B">
        <w:rPr>
          <w:rFonts w:ascii="Arial" w:hAnsi="Arial" w:cs="Arial"/>
          <w:sz w:val="24"/>
        </w:rPr>
        <w:t xml:space="preserve">nforme al Acuerdo por el que se </w:t>
      </w:r>
      <w:r w:rsidRPr="0030407F">
        <w:rPr>
          <w:rFonts w:ascii="Arial" w:hAnsi="Arial" w:cs="Arial"/>
          <w:sz w:val="24"/>
        </w:rPr>
        <w:t>determina la norma de información financiera para pr</w:t>
      </w:r>
      <w:r w:rsidR="00E5669B">
        <w:rPr>
          <w:rFonts w:ascii="Arial" w:hAnsi="Arial" w:cs="Arial"/>
          <w:sz w:val="24"/>
        </w:rPr>
        <w:t xml:space="preserve">ecisar los alcances del Acuerdo </w:t>
      </w:r>
      <w:r w:rsidRPr="0030407F">
        <w:rPr>
          <w:rFonts w:ascii="Arial" w:hAnsi="Arial" w:cs="Arial"/>
          <w:sz w:val="24"/>
        </w:rPr>
        <w:t>1 aprobado por el Consejo Nacional de Armonizació</w:t>
      </w:r>
      <w:r w:rsidR="00E5669B">
        <w:rPr>
          <w:rFonts w:ascii="Arial" w:hAnsi="Arial" w:cs="Arial"/>
          <w:sz w:val="24"/>
        </w:rPr>
        <w:t xml:space="preserve">n Contable, en reunión del 3 de </w:t>
      </w:r>
      <w:r w:rsidRPr="0030407F">
        <w:rPr>
          <w:rFonts w:ascii="Arial" w:hAnsi="Arial" w:cs="Arial"/>
          <w:sz w:val="24"/>
        </w:rPr>
        <w:t>mayo de 2013 y publicado el 16 de mayo de 2013).</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f) Generar estados financieros en tiempo real (artí</w:t>
      </w:r>
      <w:r w:rsidR="00E5669B">
        <w:rPr>
          <w:rFonts w:ascii="Arial" w:hAnsi="Arial" w:cs="Arial"/>
          <w:sz w:val="24"/>
        </w:rPr>
        <w:t xml:space="preserve">culo 19, fracción V, VI y Sexto </w:t>
      </w:r>
      <w:r w:rsidRPr="0030407F">
        <w:rPr>
          <w:rFonts w:ascii="Arial" w:hAnsi="Arial" w:cs="Arial"/>
          <w:sz w:val="24"/>
        </w:rPr>
        <w:t xml:space="preserve">transitorio, conforme al Acuerdo por el que se determina la </w:t>
      </w:r>
      <w:r w:rsidR="00E5669B">
        <w:rPr>
          <w:rFonts w:ascii="Arial" w:hAnsi="Arial" w:cs="Arial"/>
          <w:sz w:val="24"/>
        </w:rPr>
        <w:t xml:space="preserve">norma de información </w:t>
      </w:r>
      <w:r w:rsidRPr="0030407F">
        <w:rPr>
          <w:rFonts w:ascii="Arial" w:hAnsi="Arial" w:cs="Arial"/>
          <w:sz w:val="24"/>
        </w:rPr>
        <w:t>financiera para precisar los alcances del Ac</w:t>
      </w:r>
      <w:r w:rsidR="00E5669B">
        <w:rPr>
          <w:rFonts w:ascii="Arial" w:hAnsi="Arial" w:cs="Arial"/>
          <w:sz w:val="24"/>
        </w:rPr>
        <w:t xml:space="preserve">uerdo 1 aprobado por el Consejo </w:t>
      </w:r>
      <w:r w:rsidRPr="0030407F">
        <w:rPr>
          <w:rFonts w:ascii="Arial" w:hAnsi="Arial" w:cs="Arial"/>
          <w:sz w:val="24"/>
        </w:rPr>
        <w:t>Nacional de Armonización Contable, en reunión de</w:t>
      </w:r>
      <w:r w:rsidR="00E5669B">
        <w:rPr>
          <w:rFonts w:ascii="Arial" w:hAnsi="Arial" w:cs="Arial"/>
          <w:sz w:val="24"/>
        </w:rPr>
        <w:t xml:space="preserve">l 3 de mayo de 2013 y publicado </w:t>
      </w:r>
      <w:r w:rsidRPr="0030407F">
        <w:rPr>
          <w:rFonts w:ascii="Arial" w:hAnsi="Arial" w:cs="Arial"/>
          <w:sz w:val="24"/>
        </w:rPr>
        <w:t>el 16 de mayo de 2013).</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III. Registros administrativos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lastRenderedPageBreak/>
        <w:t>a) Conciliar el inventario de los bienes muebles con el re</w:t>
      </w:r>
      <w:r w:rsidR="00E5669B">
        <w:rPr>
          <w:rFonts w:ascii="Arial" w:hAnsi="Arial" w:cs="Arial"/>
          <w:sz w:val="24"/>
        </w:rPr>
        <w:t xml:space="preserve">gistro contable (artículos 23 y </w:t>
      </w:r>
      <w:r w:rsidRPr="0030407F">
        <w:rPr>
          <w:rFonts w:ascii="Arial" w:hAnsi="Arial" w:cs="Arial"/>
          <w:sz w:val="24"/>
        </w:rPr>
        <w:t>27, conforme a las Reglas específicas de registro y valoración del patrimonio).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b) Respaldar la contabilización de las operaciones </w:t>
      </w:r>
      <w:r w:rsidR="00E5669B">
        <w:rPr>
          <w:rFonts w:ascii="Arial" w:hAnsi="Arial" w:cs="Arial"/>
          <w:sz w:val="24"/>
        </w:rPr>
        <w:t xml:space="preserve">presupuestarias y contables con </w:t>
      </w:r>
      <w:r w:rsidRPr="0030407F">
        <w:rPr>
          <w:rFonts w:ascii="Arial" w:hAnsi="Arial" w:cs="Arial"/>
          <w:sz w:val="24"/>
        </w:rPr>
        <w:t>la documentación original que compruebe y justifiqu</w:t>
      </w:r>
      <w:r w:rsidR="00E5669B">
        <w:rPr>
          <w:rFonts w:ascii="Arial" w:hAnsi="Arial" w:cs="Arial"/>
          <w:sz w:val="24"/>
        </w:rPr>
        <w:t xml:space="preserve">e los registros que se efectúen </w:t>
      </w:r>
      <w:r w:rsidRPr="0030407F">
        <w:rPr>
          <w:rFonts w:ascii="Arial" w:hAnsi="Arial" w:cs="Arial"/>
          <w:sz w:val="24"/>
        </w:rPr>
        <w:t>(artículo 42).</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c) Disponer de catálogos de bienes (artículo 41, c</w:t>
      </w:r>
      <w:r w:rsidR="00E5669B">
        <w:rPr>
          <w:rFonts w:ascii="Arial" w:hAnsi="Arial" w:cs="Arial"/>
          <w:sz w:val="24"/>
        </w:rPr>
        <w:t xml:space="preserve">onforme a los Lineamientos para </w:t>
      </w:r>
      <w:r w:rsidRPr="0030407F">
        <w:rPr>
          <w:rFonts w:ascii="Arial" w:hAnsi="Arial" w:cs="Arial"/>
          <w:sz w:val="24"/>
        </w:rPr>
        <w:t>la elaboración del catálogo de bienes que permita la interrelación automática c</w:t>
      </w:r>
      <w:r w:rsidR="00E5669B">
        <w:rPr>
          <w:rFonts w:ascii="Arial" w:hAnsi="Arial" w:cs="Arial"/>
          <w:sz w:val="24"/>
        </w:rPr>
        <w:t xml:space="preserve">on </w:t>
      </w:r>
      <w:r w:rsidRPr="0030407F">
        <w:rPr>
          <w:rFonts w:ascii="Arial" w:hAnsi="Arial" w:cs="Arial"/>
          <w:sz w:val="24"/>
        </w:rPr>
        <w:t>el clasificador por objeto del gasto y la lista de</w:t>
      </w:r>
      <w:r w:rsidR="00E5669B">
        <w:rPr>
          <w:rFonts w:ascii="Arial" w:hAnsi="Arial" w:cs="Arial"/>
          <w:sz w:val="24"/>
        </w:rPr>
        <w:t xml:space="preserve"> cuentas y Lineamientos para la </w:t>
      </w:r>
      <w:r w:rsidRPr="0030407F">
        <w:rPr>
          <w:rFonts w:ascii="Arial" w:hAnsi="Arial" w:cs="Arial"/>
          <w:sz w:val="24"/>
        </w:rPr>
        <w:t>elaboración del catálogo de bienes inmuebles que perm</w:t>
      </w:r>
      <w:r w:rsidR="00E5669B">
        <w:rPr>
          <w:rFonts w:ascii="Arial" w:hAnsi="Arial" w:cs="Arial"/>
          <w:sz w:val="24"/>
        </w:rPr>
        <w:t xml:space="preserve">ita la interrelación automática </w:t>
      </w:r>
      <w:r w:rsidRPr="0030407F">
        <w:rPr>
          <w:rFonts w:ascii="Arial" w:hAnsi="Arial" w:cs="Arial"/>
          <w:sz w:val="24"/>
        </w:rPr>
        <w:t>con el clasificador por objeto del gasto y la lista de cuentas).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d) Realizar los pagos directamente en forma electr</w:t>
      </w:r>
      <w:r w:rsidR="00E5669B">
        <w:rPr>
          <w:rFonts w:ascii="Arial" w:hAnsi="Arial" w:cs="Arial"/>
          <w:sz w:val="24"/>
        </w:rPr>
        <w:t xml:space="preserve">ónica, mediante abono en cuenta </w:t>
      </w:r>
      <w:r w:rsidRPr="0030407F">
        <w:rPr>
          <w:rFonts w:ascii="Arial" w:hAnsi="Arial" w:cs="Arial"/>
          <w:sz w:val="24"/>
        </w:rPr>
        <w:t>del beneficiario (artículo 67, párrafo segundo).</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IV. Cuenta pública</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Generar cuenta pública conforme a los artículos 52 y 53 </w:t>
      </w:r>
      <w:r w:rsidR="00E5669B">
        <w:rPr>
          <w:rFonts w:ascii="Arial" w:hAnsi="Arial" w:cs="Arial"/>
          <w:sz w:val="24"/>
        </w:rPr>
        <w:t xml:space="preserve">con relación a los artículos 46 </w:t>
      </w:r>
      <w:r w:rsidRPr="0030407F">
        <w:rPr>
          <w:rFonts w:ascii="Arial" w:hAnsi="Arial" w:cs="Arial"/>
          <w:sz w:val="24"/>
        </w:rPr>
        <w:t>y 47, así como al acuerdo por el que se armoniza la estr</w:t>
      </w:r>
      <w:r w:rsidR="00E5669B">
        <w:rPr>
          <w:rFonts w:ascii="Arial" w:hAnsi="Arial" w:cs="Arial"/>
          <w:sz w:val="24"/>
        </w:rPr>
        <w:t xml:space="preserve">uctura de las cuentas públicas, </w:t>
      </w:r>
      <w:r w:rsidRPr="0030407F">
        <w:rPr>
          <w:rFonts w:ascii="Arial" w:hAnsi="Arial" w:cs="Arial"/>
          <w:sz w:val="24"/>
        </w:rPr>
        <w:t>las Normas y metodología para la emisión de información</w:t>
      </w:r>
      <w:r w:rsidR="00E5669B">
        <w:rPr>
          <w:rFonts w:ascii="Arial" w:hAnsi="Arial" w:cs="Arial"/>
          <w:sz w:val="24"/>
        </w:rPr>
        <w:t xml:space="preserve"> financiera y estructura de los </w:t>
      </w:r>
      <w:r w:rsidRPr="0030407F">
        <w:rPr>
          <w:rFonts w:ascii="Arial" w:hAnsi="Arial" w:cs="Arial"/>
          <w:sz w:val="24"/>
        </w:rPr>
        <w:t>estados financieros básicos del ente público y característi</w:t>
      </w:r>
      <w:r w:rsidR="00E5669B">
        <w:rPr>
          <w:rFonts w:ascii="Arial" w:hAnsi="Arial" w:cs="Arial"/>
          <w:sz w:val="24"/>
        </w:rPr>
        <w:t xml:space="preserve">cas de sus notas y el Manual de </w:t>
      </w:r>
      <w:r w:rsidRPr="0030407F">
        <w:rPr>
          <w:rFonts w:ascii="Arial" w:hAnsi="Arial" w:cs="Arial"/>
          <w:sz w:val="24"/>
        </w:rPr>
        <w:t>contabilidad gubernamental, la cual debe contener:</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a) Información presupuestaria</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lastRenderedPageBreak/>
        <w:t>a.1. Estado analítico de ingresos del que se derivará la presentación en clasificación</w:t>
      </w:r>
      <w:r w:rsidR="00E5669B">
        <w:rPr>
          <w:rFonts w:ascii="Arial" w:hAnsi="Arial" w:cs="Arial"/>
          <w:sz w:val="24"/>
        </w:rPr>
        <w:t xml:space="preserve"> </w:t>
      </w:r>
      <w:r w:rsidRPr="0030407F">
        <w:rPr>
          <w:rFonts w:ascii="Arial" w:hAnsi="Arial" w:cs="Arial"/>
          <w:sz w:val="24"/>
        </w:rPr>
        <w:t>económica por fuente de financiamiento y concepto, inc</w:t>
      </w:r>
      <w:r w:rsidR="00E5669B">
        <w:rPr>
          <w:rFonts w:ascii="Arial" w:hAnsi="Arial" w:cs="Arial"/>
          <w:sz w:val="24"/>
        </w:rPr>
        <w:t xml:space="preserve">luyendo los ingresos excedentes </w:t>
      </w:r>
      <w:r w:rsidRPr="0030407F">
        <w:rPr>
          <w:rFonts w:ascii="Arial" w:hAnsi="Arial" w:cs="Arial"/>
          <w:sz w:val="24"/>
        </w:rPr>
        <w:t>generados.</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a.2. Estado analítico del ejercicio del presupuesto de egresos en clasificación por objeto</w:t>
      </w:r>
      <w:r w:rsidR="00E5669B">
        <w:rPr>
          <w:rFonts w:ascii="Arial" w:hAnsi="Arial" w:cs="Arial"/>
          <w:sz w:val="24"/>
        </w:rPr>
        <w:t xml:space="preserve"> </w:t>
      </w:r>
      <w:r w:rsidRPr="0030407F">
        <w:rPr>
          <w:rFonts w:ascii="Arial" w:hAnsi="Arial" w:cs="Arial"/>
          <w:sz w:val="24"/>
        </w:rPr>
        <w:t>del gasto.</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a.3. Estado analítico del ejercicio del presupuesto de egresos en clasificación económica</w:t>
      </w:r>
      <w:r w:rsidR="00E5669B">
        <w:rPr>
          <w:rFonts w:ascii="Arial" w:hAnsi="Arial" w:cs="Arial"/>
          <w:sz w:val="24"/>
        </w:rPr>
        <w:t xml:space="preserve"> </w:t>
      </w:r>
      <w:r w:rsidRPr="0030407F">
        <w:rPr>
          <w:rFonts w:ascii="Arial" w:hAnsi="Arial" w:cs="Arial"/>
          <w:sz w:val="24"/>
        </w:rPr>
        <w:t>(por tipo de gasto).</w:t>
      </w:r>
    </w:p>
    <w:p w:rsid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a.4. Estado analítico del ejercicio del presupuesto de egresos en clasificación funcional.</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a.5. Estado analítico del ejercicio del presupuesto de egresos en clasificación</w:t>
      </w:r>
      <w:r w:rsidR="00E5669B">
        <w:rPr>
          <w:rFonts w:ascii="Arial" w:hAnsi="Arial" w:cs="Arial"/>
          <w:sz w:val="24"/>
        </w:rPr>
        <w:t xml:space="preserve"> </w:t>
      </w:r>
      <w:r w:rsidRPr="0030407F">
        <w:rPr>
          <w:rFonts w:ascii="Arial" w:hAnsi="Arial" w:cs="Arial"/>
          <w:sz w:val="24"/>
        </w:rPr>
        <w:t>administrativa.</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a.6. Endeudamiento neto, financiamiento menos amortización.</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a.7. Intereses de la deuda.</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b) Información programática</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b.1. Gasto por categoría programática</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b.2. Programas y proyectos de inversión</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b.3. Indicadores de resultados.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c) Anexos (Información adicional)</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c.1. La información financiera, presupuestaria, programática y contable, es la base para</w:t>
      </w:r>
      <w:r w:rsidR="00E5669B">
        <w:rPr>
          <w:rFonts w:ascii="Arial" w:hAnsi="Arial" w:cs="Arial"/>
          <w:sz w:val="24"/>
        </w:rPr>
        <w:t xml:space="preserve"> </w:t>
      </w:r>
      <w:r w:rsidRPr="0030407F">
        <w:rPr>
          <w:rFonts w:ascii="Arial" w:hAnsi="Arial" w:cs="Arial"/>
          <w:sz w:val="24"/>
        </w:rPr>
        <w:t>la elaboración de la cuenta pública (artículo 52, párrafo primero).</w:t>
      </w:r>
    </w:p>
    <w:p w:rsidR="0030407F" w:rsidRPr="0030407F" w:rsidRDefault="0030407F" w:rsidP="00E5669B">
      <w:pPr>
        <w:spacing w:after="0" w:line="360" w:lineRule="auto"/>
        <w:ind w:firstLine="708"/>
        <w:contextualSpacing/>
        <w:jc w:val="both"/>
        <w:rPr>
          <w:rFonts w:ascii="Arial" w:hAnsi="Arial" w:cs="Arial"/>
          <w:sz w:val="24"/>
        </w:rPr>
      </w:pPr>
      <w:r w:rsidRPr="0030407F">
        <w:rPr>
          <w:rFonts w:ascii="Arial" w:hAnsi="Arial" w:cs="Arial"/>
          <w:sz w:val="24"/>
        </w:rPr>
        <w:t>c.2. Se relaciona la información presupuestaria y programática con los objetivos y</w:t>
      </w:r>
      <w:r w:rsidR="00E5669B">
        <w:rPr>
          <w:rFonts w:ascii="Arial" w:hAnsi="Arial" w:cs="Arial"/>
          <w:sz w:val="24"/>
        </w:rPr>
        <w:t xml:space="preserve"> </w:t>
      </w:r>
      <w:r w:rsidRPr="0030407F">
        <w:rPr>
          <w:rFonts w:ascii="Arial" w:hAnsi="Arial" w:cs="Arial"/>
          <w:sz w:val="24"/>
        </w:rPr>
        <w:t>prioridades de la planeación del desarrollo, que forme parte</w:t>
      </w:r>
      <w:r w:rsidR="00E5669B">
        <w:rPr>
          <w:rFonts w:ascii="Arial" w:hAnsi="Arial" w:cs="Arial"/>
          <w:sz w:val="24"/>
        </w:rPr>
        <w:t xml:space="preserve"> de la cuenta pública, así como </w:t>
      </w:r>
      <w:r w:rsidRPr="0030407F">
        <w:rPr>
          <w:rFonts w:ascii="Arial" w:hAnsi="Arial" w:cs="Arial"/>
          <w:sz w:val="24"/>
        </w:rPr>
        <w:t>los resultados de la evaluación del desempeño (artículo 54, párrafo primero).</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proporcionada por el</w:t>
      </w:r>
      <w:r w:rsidR="00E5669B">
        <w:rPr>
          <w:rFonts w:ascii="Arial" w:hAnsi="Arial" w:cs="Arial"/>
          <w:sz w:val="24"/>
        </w:rPr>
        <w:t xml:space="preserve"> Ente Público, la cual solventa </w:t>
      </w:r>
      <w:r w:rsidRPr="0030407F">
        <w:rPr>
          <w:rFonts w:ascii="Arial" w:hAnsi="Arial" w:cs="Arial"/>
          <w:sz w:val="24"/>
        </w:rPr>
        <w:t>parcialmente, toda vez que se encuentra en proce</w:t>
      </w:r>
      <w:r w:rsidR="00E5669B">
        <w:rPr>
          <w:rFonts w:ascii="Arial" w:hAnsi="Arial" w:cs="Arial"/>
          <w:sz w:val="24"/>
        </w:rPr>
        <w:t xml:space="preserve">so de implementación de medidas </w:t>
      </w:r>
      <w:r w:rsidRPr="0030407F">
        <w:rPr>
          <w:rFonts w:ascii="Arial" w:hAnsi="Arial" w:cs="Arial"/>
          <w:sz w:val="24"/>
        </w:rPr>
        <w:t>correctivas, sin embargo, no ha cumplido con la totalidad de las disposiciones señaladas</w:t>
      </w:r>
      <w:r w:rsidR="00E5669B">
        <w:rPr>
          <w:rFonts w:ascii="Arial" w:hAnsi="Arial" w:cs="Arial"/>
          <w:sz w:val="24"/>
        </w:rPr>
        <w:t xml:space="preserve"> </w:t>
      </w:r>
      <w:r w:rsidRPr="0030407F">
        <w:rPr>
          <w:rFonts w:ascii="Arial" w:hAnsi="Arial" w:cs="Arial"/>
          <w:sz w:val="24"/>
        </w:rPr>
        <w:t>en la Ley General de Contabilidad Gubernamental y la n</w:t>
      </w:r>
      <w:r w:rsidR="00E5669B">
        <w:rPr>
          <w:rFonts w:ascii="Arial" w:hAnsi="Arial" w:cs="Arial"/>
          <w:sz w:val="24"/>
        </w:rPr>
        <w:t xml:space="preserve">ormativa emitida por el Consejo </w:t>
      </w:r>
      <w:r w:rsidRPr="0030407F">
        <w:rPr>
          <w:rFonts w:ascii="Arial" w:hAnsi="Arial" w:cs="Arial"/>
          <w:sz w:val="24"/>
        </w:rPr>
        <w:t>Nacional de Armonización Contable.</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ACTIVO</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Activo no circulante</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Bienes inmuebles, infraestructura y construcciones en proceso</w:t>
      </w: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u w:val="single"/>
        </w:rPr>
        <w:t>Construcciones en proceso en bienes propios</w:t>
      </w:r>
    </w:p>
    <w:p w:rsidR="0030407F" w:rsidRDefault="0030407F" w:rsidP="0030407F">
      <w:pPr>
        <w:spacing w:after="0" w:line="360" w:lineRule="auto"/>
        <w:contextualSpacing/>
        <w:jc w:val="both"/>
        <w:rPr>
          <w:rFonts w:ascii="Arial" w:hAnsi="Arial" w:cs="Arial"/>
          <w:sz w:val="24"/>
        </w:rPr>
      </w:pPr>
      <w:r w:rsidRPr="00E5669B">
        <w:rPr>
          <w:rFonts w:ascii="Arial" w:hAnsi="Arial" w:cs="Arial"/>
          <w:b/>
          <w:sz w:val="24"/>
        </w:rPr>
        <w:t xml:space="preserve">2. </w:t>
      </w:r>
      <w:r w:rsidRPr="0030407F">
        <w:rPr>
          <w:rFonts w:ascii="Arial" w:hAnsi="Arial" w:cs="Arial"/>
          <w:sz w:val="24"/>
        </w:rPr>
        <w:t>Se observó que se registró en la cuenta de construccion</w:t>
      </w:r>
      <w:r w:rsidR="00E5669B">
        <w:rPr>
          <w:rFonts w:ascii="Arial" w:hAnsi="Arial" w:cs="Arial"/>
          <w:sz w:val="24"/>
        </w:rPr>
        <w:t xml:space="preserve">es en proceso en bienes propios </w:t>
      </w:r>
      <w:r w:rsidRPr="0030407F">
        <w:rPr>
          <w:rFonts w:ascii="Arial" w:hAnsi="Arial" w:cs="Arial"/>
          <w:sz w:val="24"/>
        </w:rPr>
        <w:t xml:space="preserve">(obras en proceso) diversos bienes y servicios por un </w:t>
      </w:r>
      <w:r w:rsidR="00E5669B">
        <w:rPr>
          <w:rFonts w:ascii="Arial" w:hAnsi="Arial" w:cs="Arial"/>
          <w:sz w:val="24"/>
        </w:rPr>
        <w:t xml:space="preserve">total de $2,781,172, mismos que </w:t>
      </w:r>
      <w:r w:rsidRPr="0030407F">
        <w:rPr>
          <w:rFonts w:ascii="Arial" w:hAnsi="Arial" w:cs="Arial"/>
          <w:sz w:val="24"/>
        </w:rPr>
        <w:t>debieron registrarse en la cuenta de servicios generales, materiales y suministros y bienes</w:t>
      </w:r>
      <w:r w:rsidR="00E5669B">
        <w:rPr>
          <w:rFonts w:ascii="Arial" w:hAnsi="Arial" w:cs="Arial"/>
          <w:sz w:val="24"/>
        </w:rPr>
        <w:t xml:space="preserve"> </w:t>
      </w:r>
      <w:r w:rsidRPr="0030407F">
        <w:rPr>
          <w:rFonts w:ascii="Arial" w:hAnsi="Arial" w:cs="Arial"/>
          <w:sz w:val="24"/>
        </w:rPr>
        <w:t>muebles, contraviniendo lo señalado en el capítulo III plan de cuentas del Manual de</w:t>
      </w:r>
      <w:r w:rsidR="00E5669B">
        <w:rPr>
          <w:rFonts w:ascii="Arial" w:hAnsi="Arial" w:cs="Arial"/>
          <w:sz w:val="24"/>
        </w:rPr>
        <w:t xml:space="preserve"> </w:t>
      </w:r>
      <w:r w:rsidRPr="0030407F">
        <w:rPr>
          <w:rFonts w:ascii="Arial" w:hAnsi="Arial" w:cs="Arial"/>
          <w:sz w:val="24"/>
        </w:rPr>
        <w:t xml:space="preserve">contabilidad gubernamental, estableciendo su observancia </w:t>
      </w:r>
      <w:r w:rsidR="00E5669B">
        <w:rPr>
          <w:rFonts w:ascii="Arial" w:hAnsi="Arial" w:cs="Arial"/>
          <w:sz w:val="24"/>
        </w:rPr>
        <w:t xml:space="preserve">obligatoria, de conformidad con </w:t>
      </w:r>
      <w:r w:rsidRPr="0030407F">
        <w:rPr>
          <w:rFonts w:ascii="Arial" w:hAnsi="Arial" w:cs="Arial"/>
          <w:sz w:val="24"/>
        </w:rPr>
        <w:t>el artículo 7 de la Ley General de Contabilidad Gubernamental, de acuerdo a lo siguiente:</w:t>
      </w:r>
    </w:p>
    <w:p w:rsidR="00E5669B" w:rsidRDefault="00E5669B" w:rsidP="0030407F">
      <w:pPr>
        <w:spacing w:after="0" w:line="360" w:lineRule="auto"/>
        <w:contextualSpacing/>
        <w:jc w:val="both"/>
        <w:rPr>
          <w:rFonts w:ascii="Arial" w:hAnsi="Arial" w:cs="Arial"/>
          <w:sz w:val="24"/>
        </w:rPr>
      </w:pP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253355" cy="3145572"/>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3145572"/>
                    </a:xfrm>
                    <a:prstGeom prst="rect">
                      <a:avLst/>
                    </a:prstGeom>
                    <a:noFill/>
                    <a:ln>
                      <a:noFill/>
                    </a:ln>
                  </pic:spPr>
                </pic:pic>
              </a:graphicData>
            </a:graphic>
          </wp:inline>
        </w:drawing>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253355" cy="5734391"/>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5734391"/>
                    </a:xfrm>
                    <a:prstGeom prst="rect">
                      <a:avLst/>
                    </a:prstGeom>
                    <a:noFill/>
                    <a:ln>
                      <a:noFill/>
                    </a:ln>
                  </pic:spPr>
                </pic:pic>
              </a:graphicData>
            </a:graphic>
          </wp:inline>
        </w:drawing>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80279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802795"/>
                    </a:xfrm>
                    <a:prstGeom prst="rect">
                      <a:avLst/>
                    </a:prstGeom>
                    <a:noFill/>
                    <a:ln>
                      <a:noFill/>
                    </a:ln>
                  </pic:spPr>
                </pic:pic>
              </a:graphicData>
            </a:graphic>
          </wp:inline>
        </w:drawing>
      </w:r>
    </w:p>
    <w:p w:rsidR="0030407F" w:rsidRDefault="0030407F" w:rsidP="0030407F">
      <w:pPr>
        <w:spacing w:after="0" w:line="360" w:lineRule="auto"/>
        <w:contextualSpacing/>
        <w:jc w:val="both"/>
        <w:rPr>
          <w:rFonts w:ascii="Arial" w:hAnsi="Arial" w:cs="Arial"/>
          <w:sz w:val="24"/>
        </w:rPr>
      </w:pPr>
    </w:p>
    <w:p w:rsidR="00E5669B" w:rsidRDefault="00E5669B" w:rsidP="0030407F">
      <w:pPr>
        <w:spacing w:after="0" w:line="360" w:lineRule="auto"/>
        <w:contextualSpacing/>
        <w:jc w:val="both"/>
        <w:rPr>
          <w:rFonts w:ascii="Arial" w:hAnsi="Arial" w:cs="Arial"/>
          <w:sz w:val="24"/>
        </w:rPr>
      </w:pP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proporcionada por el</w:t>
      </w:r>
      <w:r w:rsidR="00E5669B">
        <w:rPr>
          <w:rFonts w:ascii="Arial" w:hAnsi="Arial" w:cs="Arial"/>
          <w:sz w:val="24"/>
        </w:rPr>
        <w:t xml:space="preserve"> Ente Público, la cual solventa </w:t>
      </w:r>
      <w:r w:rsidRPr="0030407F">
        <w:rPr>
          <w:rFonts w:ascii="Arial" w:hAnsi="Arial" w:cs="Arial"/>
          <w:sz w:val="24"/>
        </w:rPr>
        <w:t>parcialmente, toda vez que informa que la Coordinación</w:t>
      </w:r>
      <w:r w:rsidR="00E5669B">
        <w:rPr>
          <w:rFonts w:ascii="Arial" w:hAnsi="Arial" w:cs="Arial"/>
          <w:sz w:val="24"/>
        </w:rPr>
        <w:t xml:space="preserve"> de Finanzas está realizando un </w:t>
      </w:r>
      <w:r w:rsidRPr="0030407F">
        <w:rPr>
          <w:rFonts w:ascii="Arial" w:hAnsi="Arial" w:cs="Arial"/>
          <w:sz w:val="24"/>
        </w:rPr>
        <w:t>reordenamiento de las cuentas de bienes de los ejercici</w:t>
      </w:r>
      <w:r w:rsidR="00E5669B">
        <w:rPr>
          <w:rFonts w:ascii="Arial" w:hAnsi="Arial" w:cs="Arial"/>
          <w:sz w:val="24"/>
        </w:rPr>
        <w:t xml:space="preserve">os 2013, 2014, 2015 y 2016, que </w:t>
      </w:r>
      <w:r w:rsidRPr="0030407F">
        <w:rPr>
          <w:rFonts w:ascii="Arial" w:hAnsi="Arial" w:cs="Arial"/>
          <w:sz w:val="24"/>
        </w:rPr>
        <w:t>permitirá la corrección de todos los registros, sin embargo, no ha realizado la corrección.</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Bienes muebles</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Mobiliario y equipo de administración</w:t>
      </w:r>
    </w:p>
    <w:p w:rsidR="0030407F" w:rsidRDefault="0030407F" w:rsidP="0030407F">
      <w:pPr>
        <w:spacing w:after="0" w:line="360" w:lineRule="auto"/>
        <w:contextualSpacing/>
        <w:jc w:val="both"/>
        <w:rPr>
          <w:rFonts w:ascii="Arial" w:hAnsi="Arial" w:cs="Arial"/>
          <w:sz w:val="24"/>
        </w:rPr>
      </w:pPr>
      <w:r w:rsidRPr="00E5669B">
        <w:rPr>
          <w:rFonts w:ascii="Arial" w:hAnsi="Arial" w:cs="Arial"/>
          <w:b/>
          <w:sz w:val="24"/>
        </w:rPr>
        <w:t>3.</w:t>
      </w:r>
      <w:r w:rsidRPr="0030407F">
        <w:rPr>
          <w:rFonts w:ascii="Arial" w:hAnsi="Arial" w:cs="Arial"/>
          <w:sz w:val="24"/>
        </w:rPr>
        <w:t xml:space="preserve"> Se registró en la cuenta de mobiliario y equipo de admi</w:t>
      </w:r>
      <w:r w:rsidR="00E5669B">
        <w:rPr>
          <w:rFonts w:ascii="Arial" w:hAnsi="Arial" w:cs="Arial"/>
          <w:sz w:val="24"/>
        </w:rPr>
        <w:t xml:space="preserve">nistración (mobiliario y equipo </w:t>
      </w:r>
      <w:r w:rsidRPr="0030407F">
        <w:rPr>
          <w:rFonts w:ascii="Arial" w:hAnsi="Arial" w:cs="Arial"/>
          <w:sz w:val="24"/>
        </w:rPr>
        <w:t>de cómputo) gastos por $34,933, según póliza 63</w:t>
      </w:r>
      <w:r w:rsidR="00E5669B">
        <w:rPr>
          <w:rFonts w:ascii="Arial" w:hAnsi="Arial" w:cs="Arial"/>
          <w:sz w:val="24"/>
        </w:rPr>
        <w:t xml:space="preserve">1701 del 7 de agosto de 2015 de </w:t>
      </w:r>
      <w:r w:rsidRPr="0030407F">
        <w:rPr>
          <w:rFonts w:ascii="Arial" w:hAnsi="Arial" w:cs="Arial"/>
          <w:sz w:val="24"/>
        </w:rPr>
        <w:t>Comunicaciones Varela, S.A. de C.V., factura FC1047 del 30</w:t>
      </w:r>
      <w:r w:rsidR="00E5669B">
        <w:rPr>
          <w:rFonts w:ascii="Arial" w:hAnsi="Arial" w:cs="Arial"/>
          <w:sz w:val="24"/>
        </w:rPr>
        <w:t xml:space="preserve"> de julio de 2015, por servicio </w:t>
      </w:r>
      <w:r w:rsidRPr="0030407F">
        <w:rPr>
          <w:rFonts w:ascii="Arial" w:hAnsi="Arial" w:cs="Arial"/>
          <w:sz w:val="24"/>
        </w:rPr>
        <w:t>de instalación y configuración de central en el Palacio d</w:t>
      </w:r>
      <w:r w:rsidR="00E5669B">
        <w:rPr>
          <w:rFonts w:ascii="Arial" w:hAnsi="Arial" w:cs="Arial"/>
          <w:sz w:val="24"/>
        </w:rPr>
        <w:t xml:space="preserve">e Justicia de Cadereyta, mismos </w:t>
      </w:r>
      <w:r w:rsidRPr="0030407F">
        <w:rPr>
          <w:rFonts w:ascii="Arial" w:hAnsi="Arial" w:cs="Arial"/>
          <w:sz w:val="24"/>
        </w:rPr>
        <w:t>que debieron registrarse en la cuenta de servicios generales (servicios de in</w:t>
      </w:r>
      <w:r w:rsidR="00E5669B">
        <w:rPr>
          <w:rFonts w:ascii="Arial" w:hAnsi="Arial" w:cs="Arial"/>
          <w:sz w:val="24"/>
        </w:rPr>
        <w:t xml:space="preserve">stalación, </w:t>
      </w:r>
      <w:r w:rsidRPr="0030407F">
        <w:rPr>
          <w:rFonts w:ascii="Arial" w:hAnsi="Arial" w:cs="Arial"/>
          <w:sz w:val="24"/>
        </w:rPr>
        <w:t>reparación, mantenimiento y conservación) contravinien</w:t>
      </w:r>
      <w:r w:rsidR="00E5669B">
        <w:rPr>
          <w:rFonts w:ascii="Arial" w:hAnsi="Arial" w:cs="Arial"/>
          <w:sz w:val="24"/>
        </w:rPr>
        <w:t xml:space="preserve">do a lo señalado en el capítulo </w:t>
      </w:r>
      <w:r w:rsidRPr="0030407F">
        <w:rPr>
          <w:rFonts w:ascii="Arial" w:hAnsi="Arial" w:cs="Arial"/>
          <w:sz w:val="24"/>
        </w:rPr>
        <w:t>III plan de cuentas (codificación 5.1.3.5) del Manual de Contabilidad Gubernamental,</w:t>
      </w:r>
      <w:r>
        <w:rPr>
          <w:rFonts w:ascii="Arial" w:hAnsi="Arial" w:cs="Arial"/>
          <w:sz w:val="24"/>
        </w:rPr>
        <w:t xml:space="preserve"> </w:t>
      </w:r>
      <w:r w:rsidRPr="0030407F">
        <w:rPr>
          <w:rFonts w:ascii="Arial" w:hAnsi="Arial" w:cs="Arial"/>
          <w:sz w:val="24"/>
        </w:rPr>
        <w:t xml:space="preserve">estableciendo su observancia obligatoria, de conformidad con </w:t>
      </w:r>
      <w:r w:rsidR="00E5669B">
        <w:rPr>
          <w:rFonts w:ascii="Arial" w:hAnsi="Arial" w:cs="Arial"/>
          <w:sz w:val="24"/>
        </w:rPr>
        <w:t xml:space="preserve">el artículo 7 de la Ley General </w:t>
      </w:r>
      <w:r w:rsidRPr="0030407F">
        <w:rPr>
          <w:rFonts w:ascii="Arial" w:hAnsi="Arial" w:cs="Arial"/>
          <w:sz w:val="24"/>
        </w:rPr>
        <w:t>de Contabilidad Gubernamental.</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proporcionada por el Ente Público, la cual solventa</w:t>
      </w:r>
      <w:r w:rsidR="00E5669B">
        <w:rPr>
          <w:rFonts w:ascii="Arial" w:hAnsi="Arial" w:cs="Arial"/>
          <w:sz w:val="24"/>
        </w:rPr>
        <w:t xml:space="preserve"> </w:t>
      </w:r>
      <w:r w:rsidRPr="0030407F">
        <w:rPr>
          <w:rFonts w:ascii="Arial" w:hAnsi="Arial" w:cs="Arial"/>
          <w:sz w:val="24"/>
        </w:rPr>
        <w:t>parcialmente, toda vez que informa que la Coordinación de Finanzas está realizando un</w:t>
      </w:r>
      <w:r w:rsidR="00E5669B">
        <w:rPr>
          <w:rFonts w:ascii="Arial" w:hAnsi="Arial" w:cs="Arial"/>
          <w:sz w:val="24"/>
        </w:rPr>
        <w:t xml:space="preserve"> </w:t>
      </w:r>
      <w:r w:rsidRPr="0030407F">
        <w:rPr>
          <w:rFonts w:ascii="Arial" w:hAnsi="Arial" w:cs="Arial"/>
          <w:sz w:val="24"/>
        </w:rPr>
        <w:t>reordenamiento de las cuentas de bienes de los ejercici</w:t>
      </w:r>
      <w:r w:rsidR="00E5669B">
        <w:rPr>
          <w:rFonts w:ascii="Arial" w:hAnsi="Arial" w:cs="Arial"/>
          <w:sz w:val="24"/>
        </w:rPr>
        <w:t xml:space="preserve">os 2013, 2014, 2015 y 2016, que </w:t>
      </w:r>
      <w:r w:rsidRPr="0030407F">
        <w:rPr>
          <w:rFonts w:ascii="Arial" w:hAnsi="Arial" w:cs="Arial"/>
          <w:sz w:val="24"/>
        </w:rPr>
        <w:t>permitirá la corrección de todos los registros, sin embargo, no ha realizado la corrección.</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Depreciación deterioro y amortización acumulada de bienes</w:t>
      </w:r>
    </w:p>
    <w:p w:rsidR="0030407F" w:rsidRPr="0030407F" w:rsidRDefault="0030407F" w:rsidP="0030407F">
      <w:pPr>
        <w:spacing w:after="0" w:line="360" w:lineRule="auto"/>
        <w:contextualSpacing/>
        <w:jc w:val="both"/>
        <w:rPr>
          <w:rFonts w:ascii="Arial" w:hAnsi="Arial" w:cs="Arial"/>
          <w:sz w:val="24"/>
        </w:rPr>
      </w:pPr>
      <w:r w:rsidRPr="00E5669B">
        <w:rPr>
          <w:rFonts w:ascii="Arial" w:hAnsi="Arial" w:cs="Arial"/>
          <w:b/>
          <w:sz w:val="24"/>
        </w:rPr>
        <w:t>4.</w:t>
      </w:r>
      <w:r w:rsidRPr="0030407F">
        <w:rPr>
          <w:rFonts w:ascii="Arial" w:hAnsi="Arial" w:cs="Arial"/>
          <w:sz w:val="24"/>
        </w:rPr>
        <w:t xml:space="preserve"> En el ejercicio 2015 el Ente Público proporcionó cálcul</w:t>
      </w:r>
      <w:r w:rsidR="00E5669B">
        <w:rPr>
          <w:rFonts w:ascii="Arial" w:hAnsi="Arial" w:cs="Arial"/>
          <w:sz w:val="24"/>
        </w:rPr>
        <w:t xml:space="preserve">o de la depreciación de bienes, </w:t>
      </w:r>
      <w:r w:rsidRPr="0030407F">
        <w:rPr>
          <w:rFonts w:ascii="Arial" w:hAnsi="Arial" w:cs="Arial"/>
          <w:sz w:val="24"/>
        </w:rPr>
        <w:t>observando lo siguiente:</w:t>
      </w:r>
    </w:p>
    <w:p w:rsidR="00E5669B" w:rsidRDefault="00E5669B" w:rsidP="0030407F">
      <w:pPr>
        <w:spacing w:after="0" w:line="360" w:lineRule="auto"/>
        <w:contextualSpacing/>
        <w:jc w:val="both"/>
        <w:rPr>
          <w:rFonts w:ascii="Arial" w:hAnsi="Arial" w:cs="Arial"/>
          <w:sz w:val="24"/>
        </w:rPr>
      </w:pP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1.- No realizó una estimación adecuada para la vida útil de</w:t>
      </w:r>
      <w:r w:rsidR="00E5669B">
        <w:rPr>
          <w:rFonts w:ascii="Arial" w:hAnsi="Arial" w:cs="Arial"/>
          <w:sz w:val="24"/>
        </w:rPr>
        <w:t xml:space="preserve"> los activos, dado que mantiene </w:t>
      </w:r>
      <w:r w:rsidRPr="0030407F">
        <w:rPr>
          <w:rFonts w:ascii="Arial" w:hAnsi="Arial" w:cs="Arial"/>
          <w:sz w:val="24"/>
        </w:rPr>
        <w:t>en el inventario al 31 de diciembre de 2015 bienes que sobr</w:t>
      </w:r>
      <w:r w:rsidR="00E5669B">
        <w:rPr>
          <w:rFonts w:ascii="Arial" w:hAnsi="Arial" w:cs="Arial"/>
          <w:sz w:val="24"/>
        </w:rPr>
        <w:t xml:space="preserve">epasan los años de utilidad que </w:t>
      </w:r>
      <w:r w:rsidRPr="0030407F">
        <w:rPr>
          <w:rFonts w:ascii="Arial" w:hAnsi="Arial" w:cs="Arial"/>
          <w:sz w:val="24"/>
        </w:rPr>
        <w:t>se espera de los activos.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2.- No elaboró una estimación para el valor de desecho, dado que este no fue asignado.</w:t>
      </w: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3.- No proporcionó el dictamen técnico, peritaje obtenido o es</w:t>
      </w:r>
      <w:r w:rsidR="00E5669B">
        <w:rPr>
          <w:rFonts w:ascii="Arial" w:hAnsi="Arial" w:cs="Arial"/>
          <w:sz w:val="24"/>
        </w:rPr>
        <w:t xml:space="preserve">tudio realizado de la vida útil </w:t>
      </w:r>
      <w:r w:rsidRPr="0030407F">
        <w:rPr>
          <w:rFonts w:ascii="Arial" w:hAnsi="Arial" w:cs="Arial"/>
          <w:sz w:val="24"/>
        </w:rPr>
        <w:t>de los bienes y que considere según corresponda, los elementos siguientes: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a) El uso que el ente público espera realizar del activo. </w:t>
      </w:r>
      <w:r w:rsidR="00E5669B">
        <w:rPr>
          <w:rFonts w:ascii="Arial" w:hAnsi="Arial" w:cs="Arial"/>
          <w:sz w:val="24"/>
        </w:rPr>
        <w:t xml:space="preserve">El uso se estima por referencia </w:t>
      </w:r>
      <w:r w:rsidRPr="0030407F">
        <w:rPr>
          <w:rFonts w:ascii="Arial" w:hAnsi="Arial" w:cs="Arial"/>
          <w:sz w:val="24"/>
        </w:rPr>
        <w:t>a la capacidad o rendimiento físico esperado del activo.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lastRenderedPageBreak/>
        <w:t>b) El deterioro natural esperado, que depende de</w:t>
      </w:r>
      <w:r w:rsidR="00E5669B">
        <w:rPr>
          <w:rFonts w:ascii="Arial" w:hAnsi="Arial" w:cs="Arial"/>
          <w:sz w:val="24"/>
        </w:rPr>
        <w:t xml:space="preserve"> factores operativos tales como </w:t>
      </w:r>
      <w:r w:rsidRPr="0030407F">
        <w:rPr>
          <w:rFonts w:ascii="Arial" w:hAnsi="Arial" w:cs="Arial"/>
          <w:sz w:val="24"/>
        </w:rPr>
        <w:t>el número de turnos de trabajo en los que ser</w:t>
      </w:r>
      <w:r w:rsidR="00E5669B">
        <w:rPr>
          <w:rFonts w:ascii="Arial" w:hAnsi="Arial" w:cs="Arial"/>
          <w:sz w:val="24"/>
        </w:rPr>
        <w:t xml:space="preserve">á usado el bien, el programa de </w:t>
      </w:r>
      <w:r w:rsidRPr="0030407F">
        <w:rPr>
          <w:rFonts w:ascii="Arial" w:hAnsi="Arial" w:cs="Arial"/>
          <w:sz w:val="24"/>
        </w:rPr>
        <w:t>reparaciones y mantenimiento del ente, así como el n</w:t>
      </w:r>
      <w:r w:rsidR="00E5669B">
        <w:rPr>
          <w:rFonts w:ascii="Arial" w:hAnsi="Arial" w:cs="Arial"/>
          <w:sz w:val="24"/>
        </w:rPr>
        <w:t xml:space="preserve">ivel de cuidado y mantenimiento </w:t>
      </w:r>
      <w:r w:rsidRPr="0030407F">
        <w:rPr>
          <w:rFonts w:ascii="Arial" w:hAnsi="Arial" w:cs="Arial"/>
          <w:sz w:val="24"/>
        </w:rPr>
        <w:t>mientras el activo no está siendo dedicado a tareas productivas.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c) La obsolescencia técnica derivada de los cambios y mejoras en la producción, o</w:t>
      </w:r>
      <w:r w:rsidR="00E5669B">
        <w:rPr>
          <w:rFonts w:ascii="Arial" w:hAnsi="Arial" w:cs="Arial"/>
          <w:sz w:val="24"/>
        </w:rPr>
        <w:t xml:space="preserve"> </w:t>
      </w:r>
      <w:r w:rsidRPr="0030407F">
        <w:rPr>
          <w:rFonts w:ascii="Arial" w:hAnsi="Arial" w:cs="Arial"/>
          <w:sz w:val="24"/>
        </w:rPr>
        <w:t>bien de los cambios en la demanda del mercado de los productos o servicios que</w:t>
      </w:r>
      <w:r w:rsidR="00E5669B">
        <w:rPr>
          <w:rFonts w:ascii="Arial" w:hAnsi="Arial" w:cs="Arial"/>
          <w:sz w:val="24"/>
        </w:rPr>
        <w:t xml:space="preserve"> </w:t>
      </w:r>
      <w:r w:rsidRPr="0030407F">
        <w:rPr>
          <w:rFonts w:ascii="Arial" w:hAnsi="Arial" w:cs="Arial"/>
          <w:sz w:val="24"/>
        </w:rPr>
        <w:t>se obtienen con el activo; y</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d) Los límites legales o restricciones similares sobre el</w:t>
      </w:r>
      <w:r w:rsidR="00E5669B">
        <w:rPr>
          <w:rFonts w:ascii="Arial" w:hAnsi="Arial" w:cs="Arial"/>
          <w:sz w:val="24"/>
        </w:rPr>
        <w:t xml:space="preserve"> uso del activo, tales como las </w:t>
      </w:r>
      <w:r w:rsidRPr="0030407F">
        <w:rPr>
          <w:rFonts w:ascii="Arial" w:hAnsi="Arial" w:cs="Arial"/>
          <w:sz w:val="24"/>
        </w:rPr>
        <w:t>fechas de caducidad de los contratos de servicio relacionados con el bien.</w:t>
      </w:r>
    </w:p>
    <w:p w:rsidR="00E5669B" w:rsidRDefault="00E5669B" w:rsidP="0030407F">
      <w:pPr>
        <w:spacing w:after="0" w:line="360" w:lineRule="auto"/>
        <w:contextualSpacing/>
        <w:jc w:val="both"/>
        <w:rPr>
          <w:rFonts w:ascii="Arial" w:hAnsi="Arial" w:cs="Arial"/>
          <w:sz w:val="24"/>
        </w:rPr>
      </w:pP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Lo anterior en contravención de lo señalado en </w:t>
      </w:r>
      <w:r w:rsidR="00E5669B">
        <w:rPr>
          <w:rFonts w:ascii="Arial" w:hAnsi="Arial" w:cs="Arial"/>
          <w:sz w:val="24"/>
        </w:rPr>
        <w:t xml:space="preserve">el Acuerdo por el que se emiten </w:t>
      </w:r>
      <w:r w:rsidRPr="0030407F">
        <w:rPr>
          <w:rFonts w:ascii="Arial" w:hAnsi="Arial" w:cs="Arial"/>
          <w:sz w:val="24"/>
        </w:rPr>
        <w:t xml:space="preserve">las reglas específicas del registro y valoración del </w:t>
      </w:r>
      <w:r w:rsidR="00E5669B">
        <w:rPr>
          <w:rFonts w:ascii="Arial" w:hAnsi="Arial" w:cs="Arial"/>
          <w:sz w:val="24"/>
        </w:rPr>
        <w:t xml:space="preserve">patrimonio (inciso B - punto 6- </w:t>
      </w:r>
      <w:r w:rsidRPr="0030407F">
        <w:rPr>
          <w:rFonts w:ascii="Arial" w:hAnsi="Arial" w:cs="Arial"/>
          <w:sz w:val="24"/>
        </w:rPr>
        <w:t>Depreciación, deterioro y amortización, del ejercicio y acum</w:t>
      </w:r>
      <w:r w:rsidR="00E5669B">
        <w:rPr>
          <w:rFonts w:ascii="Arial" w:hAnsi="Arial" w:cs="Arial"/>
          <w:sz w:val="24"/>
        </w:rPr>
        <w:t xml:space="preserve">ulada de bienes), estableciendo </w:t>
      </w:r>
      <w:r w:rsidRPr="0030407F">
        <w:rPr>
          <w:rFonts w:ascii="Arial" w:hAnsi="Arial" w:cs="Arial"/>
          <w:sz w:val="24"/>
        </w:rPr>
        <w:t xml:space="preserve">su observancia obligatoria, de conformidad con el </w:t>
      </w:r>
      <w:r w:rsidR="00E5669B">
        <w:rPr>
          <w:rFonts w:ascii="Arial" w:hAnsi="Arial" w:cs="Arial"/>
          <w:sz w:val="24"/>
        </w:rPr>
        <w:t xml:space="preserve">artículo 7 de la Ley General de </w:t>
      </w:r>
      <w:r w:rsidRPr="0030407F">
        <w:rPr>
          <w:rFonts w:ascii="Arial" w:hAnsi="Arial" w:cs="Arial"/>
          <w:sz w:val="24"/>
        </w:rPr>
        <w:t>Contabilidad Gubernamental.</w:t>
      </w:r>
    </w:p>
    <w:p w:rsidR="00E5669B" w:rsidRDefault="00E5669B" w:rsidP="0030407F">
      <w:pPr>
        <w:spacing w:after="0" w:line="360" w:lineRule="auto"/>
        <w:contextualSpacing/>
        <w:jc w:val="both"/>
        <w:rPr>
          <w:rFonts w:ascii="Arial" w:hAnsi="Arial" w:cs="Arial"/>
          <w:sz w:val="24"/>
        </w:rPr>
      </w:pP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Esta observación es reincidente en relación con la cuenta pública del 2014.</w:t>
      </w:r>
    </w:p>
    <w:p w:rsidR="00E5669B" w:rsidRDefault="00E5669B" w:rsidP="0030407F">
      <w:pPr>
        <w:spacing w:after="0" w:line="360" w:lineRule="auto"/>
        <w:contextualSpacing/>
        <w:jc w:val="both"/>
        <w:rPr>
          <w:rFonts w:ascii="Arial" w:hAnsi="Arial" w:cs="Arial"/>
          <w:sz w:val="24"/>
        </w:rPr>
      </w:pP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Cabe mencionar que aún y cuando el Ente Público proporc</w:t>
      </w:r>
      <w:r w:rsidR="00E5669B">
        <w:rPr>
          <w:rFonts w:ascii="Arial" w:hAnsi="Arial" w:cs="Arial"/>
          <w:sz w:val="24"/>
        </w:rPr>
        <w:t xml:space="preserve">ionó cálculo de la depreciación </w:t>
      </w:r>
      <w:r w:rsidRPr="0030407F">
        <w:rPr>
          <w:rFonts w:ascii="Arial" w:hAnsi="Arial" w:cs="Arial"/>
          <w:sz w:val="24"/>
        </w:rPr>
        <w:t>este no concilia con los registros contables.</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Efectivo y equivalentes</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Inversiones temporales (hasta 3 meses)</w:t>
      </w:r>
    </w:p>
    <w:p w:rsidR="0030407F" w:rsidRDefault="0030407F" w:rsidP="0030407F">
      <w:pPr>
        <w:spacing w:after="0" w:line="360" w:lineRule="auto"/>
        <w:contextualSpacing/>
        <w:jc w:val="both"/>
        <w:rPr>
          <w:rFonts w:ascii="Arial" w:hAnsi="Arial" w:cs="Arial"/>
          <w:sz w:val="24"/>
        </w:rPr>
      </w:pPr>
      <w:r w:rsidRPr="00E5669B">
        <w:rPr>
          <w:rFonts w:ascii="Arial" w:hAnsi="Arial" w:cs="Arial"/>
          <w:b/>
          <w:sz w:val="24"/>
        </w:rPr>
        <w:t>5.</w:t>
      </w:r>
      <w:r w:rsidRPr="0030407F">
        <w:rPr>
          <w:rFonts w:ascii="Arial" w:hAnsi="Arial" w:cs="Arial"/>
          <w:sz w:val="24"/>
        </w:rPr>
        <w:t xml:space="preserve"> Derivado de la revisión a los estados de cuenta bancarios, se observó que el En</w:t>
      </w:r>
      <w:r w:rsidR="00E5669B">
        <w:rPr>
          <w:rFonts w:ascii="Arial" w:hAnsi="Arial" w:cs="Arial"/>
          <w:sz w:val="24"/>
        </w:rPr>
        <w:t xml:space="preserve">te Público </w:t>
      </w:r>
      <w:r w:rsidRPr="0030407F">
        <w:rPr>
          <w:rFonts w:ascii="Arial" w:hAnsi="Arial" w:cs="Arial"/>
          <w:sz w:val="24"/>
        </w:rPr>
        <w:t>no registro en su contabilidad un monto de $169,473</w:t>
      </w:r>
      <w:r w:rsidR="00E5669B">
        <w:rPr>
          <w:rFonts w:ascii="Arial" w:hAnsi="Arial" w:cs="Arial"/>
          <w:sz w:val="24"/>
        </w:rPr>
        <w:t xml:space="preserve"> por intereses devengados al 31 </w:t>
      </w:r>
      <w:r w:rsidRPr="0030407F">
        <w:rPr>
          <w:rFonts w:ascii="Arial" w:hAnsi="Arial" w:cs="Arial"/>
          <w:sz w:val="24"/>
        </w:rPr>
        <w:t xml:space="preserve">de diciembre de 2015, incumpliendo lo señalado por </w:t>
      </w:r>
      <w:r w:rsidR="00E5669B">
        <w:rPr>
          <w:rFonts w:ascii="Arial" w:hAnsi="Arial" w:cs="Arial"/>
          <w:sz w:val="24"/>
        </w:rPr>
        <w:t xml:space="preserve">el Postulado número 8) "Devengo </w:t>
      </w:r>
      <w:r w:rsidRPr="0030407F">
        <w:rPr>
          <w:rFonts w:ascii="Arial" w:hAnsi="Arial" w:cs="Arial"/>
          <w:sz w:val="24"/>
        </w:rPr>
        <w:t>Contable" del Acuerdo por el que se emiten los postulados básicos de contabilid</w:t>
      </w:r>
      <w:r w:rsidR="00E5669B">
        <w:rPr>
          <w:rFonts w:ascii="Arial" w:hAnsi="Arial" w:cs="Arial"/>
          <w:sz w:val="24"/>
        </w:rPr>
        <w:t xml:space="preserve">ad </w:t>
      </w:r>
      <w:r w:rsidRPr="0030407F">
        <w:rPr>
          <w:rFonts w:ascii="Arial" w:hAnsi="Arial" w:cs="Arial"/>
          <w:sz w:val="24"/>
        </w:rPr>
        <w:t>gubernamental, estableciendo su observancia obligatoria en</w:t>
      </w:r>
      <w:r w:rsidR="00E5669B">
        <w:rPr>
          <w:rFonts w:ascii="Arial" w:hAnsi="Arial" w:cs="Arial"/>
          <w:sz w:val="24"/>
        </w:rPr>
        <w:t xml:space="preserve"> el artículo 7, en concordancia </w:t>
      </w:r>
      <w:r w:rsidRPr="0030407F">
        <w:rPr>
          <w:rFonts w:ascii="Arial" w:hAnsi="Arial" w:cs="Arial"/>
          <w:sz w:val="24"/>
        </w:rPr>
        <w:t>con el artículo 34 de la Ley General de Contabilidad</w:t>
      </w:r>
      <w:r w:rsidR="00E5669B">
        <w:rPr>
          <w:rFonts w:ascii="Arial" w:hAnsi="Arial" w:cs="Arial"/>
          <w:sz w:val="24"/>
        </w:rPr>
        <w:t xml:space="preserve"> Gubernamental, de acuerdo a lo </w:t>
      </w:r>
      <w:r w:rsidRPr="0030407F">
        <w:rPr>
          <w:rFonts w:ascii="Arial" w:hAnsi="Arial" w:cs="Arial"/>
          <w:sz w:val="24"/>
        </w:rPr>
        <w:t>siguiente:</w:t>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142785"/>
            <wp:effectExtent l="0" t="0" r="444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1142785"/>
                    </a:xfrm>
                    <a:prstGeom prst="rect">
                      <a:avLst/>
                    </a:prstGeom>
                    <a:noFill/>
                    <a:ln>
                      <a:noFill/>
                    </a:ln>
                  </pic:spPr>
                </pic:pic>
              </a:graphicData>
            </a:graphic>
          </wp:inline>
        </w:drawing>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PASIVO</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Pasivo circulante</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Cuentas por pagar a corto plazo</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Proveedores por pagar a corto plazo</w:t>
      </w:r>
    </w:p>
    <w:p w:rsidR="0030407F" w:rsidRDefault="0030407F" w:rsidP="0030407F">
      <w:pPr>
        <w:spacing w:after="0" w:line="360" w:lineRule="auto"/>
        <w:contextualSpacing/>
        <w:jc w:val="both"/>
        <w:rPr>
          <w:rFonts w:ascii="Arial" w:hAnsi="Arial" w:cs="Arial"/>
          <w:sz w:val="24"/>
        </w:rPr>
      </w:pPr>
      <w:r w:rsidRPr="00E5669B">
        <w:rPr>
          <w:rFonts w:ascii="Arial" w:hAnsi="Arial" w:cs="Arial"/>
          <w:b/>
          <w:sz w:val="24"/>
        </w:rPr>
        <w:t>6.</w:t>
      </w:r>
      <w:r w:rsidRPr="0030407F">
        <w:rPr>
          <w:rFonts w:ascii="Arial" w:hAnsi="Arial" w:cs="Arial"/>
          <w:sz w:val="24"/>
        </w:rPr>
        <w:t xml:space="preserve"> Con el objeto de verificar los saldos por pagar reflejados en </w:t>
      </w:r>
      <w:r w:rsidR="00E5669B">
        <w:rPr>
          <w:rFonts w:ascii="Arial" w:hAnsi="Arial" w:cs="Arial"/>
          <w:sz w:val="24"/>
        </w:rPr>
        <w:t xml:space="preserve">Cuenta Pública del Ente Público </w:t>
      </w:r>
      <w:r w:rsidRPr="0030407F">
        <w:rPr>
          <w:rFonts w:ascii="Arial" w:hAnsi="Arial" w:cs="Arial"/>
          <w:sz w:val="24"/>
        </w:rPr>
        <w:t xml:space="preserve">al 31 </w:t>
      </w:r>
      <w:r w:rsidR="008E14DB">
        <w:rPr>
          <w:rFonts w:ascii="Arial" w:hAnsi="Arial" w:cs="Arial"/>
          <w:sz w:val="24"/>
        </w:rPr>
        <w:t>de diciembre de 2015, efectuaron</w:t>
      </w:r>
      <w:r w:rsidRPr="0030407F">
        <w:rPr>
          <w:rFonts w:ascii="Arial" w:hAnsi="Arial" w:cs="Arial"/>
          <w:sz w:val="24"/>
        </w:rPr>
        <w:t xml:space="preserve"> compulsas </w:t>
      </w:r>
      <w:r w:rsidR="00E5669B">
        <w:rPr>
          <w:rFonts w:ascii="Arial" w:hAnsi="Arial" w:cs="Arial"/>
          <w:sz w:val="24"/>
        </w:rPr>
        <w:t xml:space="preserve">con los </w:t>
      </w:r>
      <w:r w:rsidR="00E5669B">
        <w:rPr>
          <w:rFonts w:ascii="Arial" w:hAnsi="Arial" w:cs="Arial"/>
          <w:sz w:val="24"/>
        </w:rPr>
        <w:lastRenderedPageBreak/>
        <w:t xml:space="preserve">proveedores, observando </w:t>
      </w:r>
      <w:r w:rsidRPr="0030407F">
        <w:rPr>
          <w:rFonts w:ascii="Arial" w:hAnsi="Arial" w:cs="Arial"/>
          <w:sz w:val="24"/>
        </w:rPr>
        <w:t>diferencias por un total de $769,766 de acuerdo a lo siguiente:</w:t>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420367"/>
            <wp:effectExtent l="0" t="0" r="444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1420367"/>
                    </a:xfrm>
                    <a:prstGeom prst="rect">
                      <a:avLst/>
                    </a:prstGeom>
                    <a:noFill/>
                    <a:ln>
                      <a:noFill/>
                    </a:ln>
                  </pic:spPr>
                </pic:pic>
              </a:graphicData>
            </a:graphic>
          </wp:inline>
        </w:drawing>
      </w:r>
    </w:p>
    <w:p w:rsidR="0030407F" w:rsidRDefault="0030407F" w:rsidP="00E5669B">
      <w:pPr>
        <w:autoSpaceDE w:val="0"/>
        <w:autoSpaceDN w:val="0"/>
        <w:adjustRightInd w:val="0"/>
        <w:spacing w:after="0" w:line="360" w:lineRule="auto"/>
        <w:rPr>
          <w:rFonts w:ascii="Helvetica" w:hAnsi="Helvetica" w:cs="Helvetica"/>
          <w:sz w:val="24"/>
          <w:szCs w:val="24"/>
          <w:lang w:val="es-MX" w:eastAsia="es-ES"/>
        </w:rPr>
      </w:pPr>
      <w:r>
        <w:rPr>
          <w:rFonts w:ascii="Helvetica" w:hAnsi="Helvetica" w:cs="Helvetica"/>
          <w:sz w:val="24"/>
          <w:szCs w:val="24"/>
          <w:lang w:val="es-MX" w:eastAsia="es-ES"/>
        </w:rPr>
        <w:t>Cabe señalar que al acreditarse la recepción del bien o</w:t>
      </w:r>
      <w:r w:rsidR="00E5669B">
        <w:rPr>
          <w:rFonts w:ascii="Helvetica" w:hAnsi="Helvetica" w:cs="Helvetica"/>
          <w:sz w:val="24"/>
          <w:szCs w:val="24"/>
          <w:lang w:val="es-MX" w:eastAsia="es-ES"/>
        </w:rPr>
        <w:t xml:space="preserve"> servicio en el ejercicio 2015, </w:t>
      </w:r>
      <w:r>
        <w:rPr>
          <w:rFonts w:ascii="Helvetica" w:hAnsi="Helvetica" w:cs="Helvetica"/>
          <w:sz w:val="24"/>
          <w:szCs w:val="24"/>
          <w:lang w:val="es-MX" w:eastAsia="es-ES"/>
        </w:rPr>
        <w:t xml:space="preserve">refleja una obligación de pago por ese concepto, por </w:t>
      </w:r>
      <w:r w:rsidR="00E5669B">
        <w:rPr>
          <w:rFonts w:ascii="Helvetica" w:hAnsi="Helvetica" w:cs="Helvetica"/>
          <w:sz w:val="24"/>
          <w:szCs w:val="24"/>
          <w:lang w:val="es-MX" w:eastAsia="es-ES"/>
        </w:rPr>
        <w:t xml:space="preserve">lo que incumple con lo señalado </w:t>
      </w:r>
      <w:r>
        <w:rPr>
          <w:rFonts w:ascii="Helvetica" w:hAnsi="Helvetica" w:cs="Helvetica"/>
          <w:sz w:val="24"/>
          <w:szCs w:val="24"/>
          <w:lang w:val="es-MX" w:eastAsia="es-ES"/>
        </w:rPr>
        <w:t>por el Postulado número 8) "Devengo Contable" d</w:t>
      </w:r>
      <w:r w:rsidR="00E5669B">
        <w:rPr>
          <w:rFonts w:ascii="Helvetica" w:hAnsi="Helvetica" w:cs="Helvetica"/>
          <w:sz w:val="24"/>
          <w:szCs w:val="24"/>
          <w:lang w:val="es-MX" w:eastAsia="es-ES"/>
        </w:rPr>
        <w:t xml:space="preserve">el Acuerdo por el que se emiten </w:t>
      </w:r>
      <w:r>
        <w:rPr>
          <w:rFonts w:ascii="Helvetica" w:hAnsi="Helvetica" w:cs="Helvetica"/>
          <w:sz w:val="24"/>
          <w:szCs w:val="24"/>
          <w:lang w:val="es-MX" w:eastAsia="es-ES"/>
        </w:rPr>
        <w:t>los postulados básicos de contabilidad gubernamenta</w:t>
      </w:r>
      <w:r w:rsidR="00E5669B">
        <w:rPr>
          <w:rFonts w:ascii="Helvetica" w:hAnsi="Helvetica" w:cs="Helvetica"/>
          <w:sz w:val="24"/>
          <w:szCs w:val="24"/>
          <w:lang w:val="es-MX" w:eastAsia="es-ES"/>
        </w:rPr>
        <w:t xml:space="preserve">l, estableciendo su observancia </w:t>
      </w:r>
      <w:r>
        <w:rPr>
          <w:rFonts w:ascii="Helvetica" w:hAnsi="Helvetica" w:cs="Helvetica"/>
          <w:sz w:val="24"/>
          <w:szCs w:val="24"/>
          <w:lang w:val="es-MX" w:eastAsia="es-ES"/>
        </w:rPr>
        <w:t>obligatoria en el artículo 7, en concordancia con el a</w:t>
      </w:r>
      <w:r w:rsidR="00E5669B">
        <w:rPr>
          <w:rFonts w:ascii="Helvetica" w:hAnsi="Helvetica" w:cs="Helvetica"/>
          <w:sz w:val="24"/>
          <w:szCs w:val="24"/>
          <w:lang w:val="es-MX" w:eastAsia="es-ES"/>
        </w:rPr>
        <w:t xml:space="preserve">rtículo 34 de la Ley General de </w:t>
      </w:r>
      <w:r>
        <w:rPr>
          <w:rFonts w:ascii="Helvetica" w:hAnsi="Helvetica" w:cs="Helvetica"/>
          <w:sz w:val="24"/>
          <w:szCs w:val="24"/>
          <w:lang w:val="es-MX" w:eastAsia="es-ES"/>
        </w:rPr>
        <w:t>Contabilidad Gubernamental.</w:t>
      </w:r>
    </w:p>
    <w:p w:rsidR="0030407F" w:rsidRDefault="0030407F" w:rsidP="00E5669B">
      <w:pPr>
        <w:spacing w:after="0" w:line="360" w:lineRule="auto"/>
        <w:contextualSpacing/>
        <w:jc w:val="both"/>
        <w:rPr>
          <w:rFonts w:ascii="Helvetica" w:hAnsi="Helvetica" w:cs="Helvetica"/>
          <w:sz w:val="24"/>
          <w:szCs w:val="24"/>
          <w:lang w:val="es-MX" w:eastAsia="es-ES"/>
        </w:rPr>
      </w:pPr>
    </w:p>
    <w:p w:rsidR="0030407F" w:rsidRPr="00E5669B" w:rsidRDefault="0030407F" w:rsidP="00E5669B">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presentada por el En</w:t>
      </w:r>
      <w:r w:rsidR="00E5669B">
        <w:rPr>
          <w:rFonts w:ascii="Arial" w:hAnsi="Arial" w:cs="Arial"/>
          <w:sz w:val="24"/>
        </w:rPr>
        <w:t xml:space="preserve">te Público, la cual se solventa </w:t>
      </w:r>
      <w:r w:rsidRPr="0030407F">
        <w:rPr>
          <w:rFonts w:ascii="Arial" w:hAnsi="Arial" w:cs="Arial"/>
          <w:sz w:val="24"/>
        </w:rPr>
        <w:t>parcialmente, toda vez que no mostró medidas correctiv</w:t>
      </w:r>
      <w:r w:rsidR="00E5669B">
        <w:rPr>
          <w:rFonts w:ascii="Arial" w:hAnsi="Arial" w:cs="Arial"/>
          <w:sz w:val="24"/>
        </w:rPr>
        <w:t xml:space="preserve">as para registrar de acuerdo al </w:t>
      </w:r>
      <w:r w:rsidRPr="0030407F">
        <w:rPr>
          <w:rFonts w:ascii="Arial" w:hAnsi="Arial" w:cs="Arial"/>
          <w:sz w:val="24"/>
        </w:rPr>
        <w:t>Postulado básico "Devengo contable".</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 xml:space="preserve">Promoción de </w:t>
      </w:r>
      <w:proofErr w:type="spellStart"/>
      <w:r w:rsidRPr="0030407F">
        <w:rPr>
          <w:rFonts w:ascii="Arial" w:hAnsi="Arial" w:cs="Arial"/>
          <w:sz w:val="24"/>
        </w:rPr>
        <w:t>Fincamiento</w:t>
      </w:r>
      <w:proofErr w:type="spellEnd"/>
      <w:r w:rsidRPr="0030407F">
        <w:rPr>
          <w:rFonts w:ascii="Arial" w:hAnsi="Arial" w:cs="Arial"/>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Pasivo no circulante</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Provisiones a largo plazo</w:t>
      </w:r>
    </w:p>
    <w:p w:rsidR="0030407F" w:rsidRPr="0030407F" w:rsidRDefault="0030407F" w:rsidP="0030407F">
      <w:pPr>
        <w:spacing w:after="0" w:line="360" w:lineRule="auto"/>
        <w:contextualSpacing/>
        <w:jc w:val="both"/>
        <w:rPr>
          <w:rFonts w:ascii="Arial" w:hAnsi="Arial" w:cs="Arial"/>
          <w:sz w:val="24"/>
        </w:rPr>
      </w:pPr>
      <w:r w:rsidRPr="00E5669B">
        <w:rPr>
          <w:rFonts w:ascii="Arial" w:hAnsi="Arial" w:cs="Arial"/>
          <w:b/>
          <w:sz w:val="24"/>
        </w:rPr>
        <w:lastRenderedPageBreak/>
        <w:t>7.</w:t>
      </w:r>
      <w:r w:rsidRPr="0030407F">
        <w:rPr>
          <w:rFonts w:ascii="Arial" w:hAnsi="Arial" w:cs="Arial"/>
          <w:sz w:val="24"/>
        </w:rPr>
        <w:t xml:space="preserve"> El Ente Público omitió presentar en sus estados financiero</w:t>
      </w:r>
      <w:r w:rsidR="00E5669B">
        <w:rPr>
          <w:rFonts w:ascii="Arial" w:hAnsi="Arial" w:cs="Arial"/>
          <w:sz w:val="24"/>
        </w:rPr>
        <w:t xml:space="preserve">s al cierre del ejercicio 2015, </w:t>
      </w:r>
      <w:r w:rsidRPr="0030407F">
        <w:rPr>
          <w:rFonts w:ascii="Arial" w:hAnsi="Arial" w:cs="Arial"/>
          <w:sz w:val="24"/>
        </w:rPr>
        <w:t>el pasivo acumulado por prima de antigüedad e indemnizaciones por terminación laboral,</w:t>
      </w:r>
      <w:r w:rsidR="00E5669B">
        <w:rPr>
          <w:rFonts w:ascii="Arial" w:hAnsi="Arial" w:cs="Arial"/>
          <w:sz w:val="24"/>
        </w:rPr>
        <w:t xml:space="preserve"> </w:t>
      </w:r>
      <w:r w:rsidRPr="0030407F">
        <w:rPr>
          <w:rFonts w:ascii="Arial" w:hAnsi="Arial" w:cs="Arial"/>
          <w:sz w:val="24"/>
        </w:rPr>
        <w:t>conforme a la NIF D3 "Beneficios a los empleados" emitida por el Consejo Mexicano de</w:t>
      </w:r>
      <w:r w:rsidR="00E5669B">
        <w:rPr>
          <w:rFonts w:ascii="Arial" w:hAnsi="Arial" w:cs="Arial"/>
          <w:sz w:val="24"/>
        </w:rPr>
        <w:t xml:space="preserve"> </w:t>
      </w:r>
      <w:r w:rsidRPr="0030407F">
        <w:rPr>
          <w:rFonts w:ascii="Arial" w:hAnsi="Arial" w:cs="Arial"/>
          <w:sz w:val="24"/>
        </w:rPr>
        <w:t>Normas de Información Financiera, A.C.</w:t>
      </w:r>
    </w:p>
    <w:p w:rsidR="00E5669B" w:rsidRDefault="00E5669B" w:rsidP="0030407F">
      <w:pPr>
        <w:spacing w:after="0" w:line="360" w:lineRule="auto"/>
        <w:contextualSpacing/>
        <w:jc w:val="both"/>
        <w:rPr>
          <w:rFonts w:ascii="Arial" w:hAnsi="Arial" w:cs="Arial"/>
          <w:sz w:val="24"/>
        </w:rPr>
      </w:pP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Esta observación es reincidente en relación con la Cuenta Pública del 2014.</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proporcionada por el</w:t>
      </w:r>
      <w:r w:rsidR="00E5669B">
        <w:rPr>
          <w:rFonts w:ascii="Arial" w:hAnsi="Arial" w:cs="Arial"/>
          <w:sz w:val="24"/>
        </w:rPr>
        <w:t xml:space="preserve"> Ente Público, la cual solventa </w:t>
      </w:r>
      <w:r w:rsidRPr="0030407F">
        <w:rPr>
          <w:rFonts w:ascii="Arial" w:hAnsi="Arial" w:cs="Arial"/>
          <w:sz w:val="24"/>
        </w:rPr>
        <w:t>parcialmente, toda vez que contrataron a un despacho es</w:t>
      </w:r>
      <w:r w:rsidR="00E5669B">
        <w:rPr>
          <w:rFonts w:ascii="Arial" w:hAnsi="Arial" w:cs="Arial"/>
          <w:sz w:val="24"/>
        </w:rPr>
        <w:t xml:space="preserve">pecializado para determinar los </w:t>
      </w:r>
      <w:r w:rsidRPr="0030407F">
        <w:rPr>
          <w:rFonts w:ascii="Arial" w:hAnsi="Arial" w:cs="Arial"/>
          <w:sz w:val="24"/>
        </w:rPr>
        <w:t>pasivos laborales contingentes del Poder Judicial y cu</w:t>
      </w:r>
      <w:r w:rsidR="00E5669B">
        <w:rPr>
          <w:rFonts w:ascii="Arial" w:hAnsi="Arial" w:cs="Arial"/>
          <w:sz w:val="24"/>
        </w:rPr>
        <w:t xml:space="preserve">mplir con la normativa, pero no </w:t>
      </w:r>
      <w:r w:rsidRPr="0030407F">
        <w:rPr>
          <w:rFonts w:ascii="Arial" w:hAnsi="Arial" w:cs="Arial"/>
          <w:sz w:val="24"/>
        </w:rPr>
        <w:t>acompañaron evidencia documental del registro contable</w:t>
      </w:r>
      <w:r w:rsidR="00E5669B">
        <w:rPr>
          <w:rFonts w:ascii="Arial" w:hAnsi="Arial" w:cs="Arial"/>
          <w:sz w:val="24"/>
        </w:rPr>
        <w:t xml:space="preserve"> del pasivo acumulado por prima </w:t>
      </w:r>
      <w:r w:rsidRPr="0030407F">
        <w:rPr>
          <w:rFonts w:ascii="Arial" w:hAnsi="Arial" w:cs="Arial"/>
          <w:sz w:val="24"/>
        </w:rPr>
        <w:t>de antigüedad e indemnizaciones por terminación laboral,</w:t>
      </w:r>
      <w:r w:rsidR="00E5669B">
        <w:rPr>
          <w:rFonts w:ascii="Arial" w:hAnsi="Arial" w:cs="Arial"/>
          <w:sz w:val="24"/>
        </w:rPr>
        <w:t xml:space="preserve"> por lo que se dará seguimiento </w:t>
      </w:r>
      <w:r w:rsidRPr="0030407F">
        <w:rPr>
          <w:rFonts w:ascii="Arial" w:hAnsi="Arial" w:cs="Arial"/>
          <w:sz w:val="24"/>
        </w:rPr>
        <w:t>en la revisión de la Cuenta Pública 2016.</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INGRESOS Y OTROS BENEFICIOS</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Otros ingresos y beneficios</w:t>
      </w:r>
    </w:p>
    <w:p w:rsidR="0030407F" w:rsidRPr="00E5669B" w:rsidRDefault="0030407F" w:rsidP="0030407F">
      <w:pPr>
        <w:spacing w:after="0" w:line="360" w:lineRule="auto"/>
        <w:contextualSpacing/>
        <w:jc w:val="both"/>
        <w:rPr>
          <w:rFonts w:ascii="Arial" w:hAnsi="Arial" w:cs="Arial"/>
          <w:b/>
          <w:sz w:val="24"/>
          <w:u w:val="single"/>
        </w:rPr>
      </w:pPr>
      <w:r w:rsidRPr="00E5669B">
        <w:rPr>
          <w:rFonts w:ascii="Arial" w:hAnsi="Arial" w:cs="Arial"/>
          <w:b/>
          <w:sz w:val="24"/>
          <w:u w:val="single"/>
        </w:rPr>
        <w:t>Otros ingresos y beneficios varios</w:t>
      </w:r>
    </w:p>
    <w:p w:rsidR="0030407F" w:rsidRPr="0030407F" w:rsidRDefault="0030407F" w:rsidP="0030407F">
      <w:pPr>
        <w:spacing w:after="0" w:line="360" w:lineRule="auto"/>
        <w:contextualSpacing/>
        <w:jc w:val="both"/>
        <w:rPr>
          <w:rFonts w:ascii="Arial" w:hAnsi="Arial" w:cs="Arial"/>
          <w:sz w:val="24"/>
        </w:rPr>
      </w:pPr>
      <w:r w:rsidRPr="00E5669B">
        <w:rPr>
          <w:rFonts w:ascii="Arial" w:hAnsi="Arial" w:cs="Arial"/>
          <w:b/>
          <w:sz w:val="24"/>
        </w:rPr>
        <w:t>8.</w:t>
      </w:r>
      <w:r w:rsidRPr="0030407F">
        <w:rPr>
          <w:rFonts w:ascii="Arial" w:hAnsi="Arial" w:cs="Arial"/>
          <w:sz w:val="24"/>
        </w:rPr>
        <w:t xml:space="preserve"> Se registró como un cargo en la cuenta de otros ingresos </w:t>
      </w:r>
      <w:r w:rsidR="00E5669B">
        <w:rPr>
          <w:rFonts w:ascii="Arial" w:hAnsi="Arial" w:cs="Arial"/>
          <w:sz w:val="24"/>
        </w:rPr>
        <w:t xml:space="preserve">y beneficios, la capacitación a </w:t>
      </w:r>
      <w:r w:rsidRPr="0030407F">
        <w:rPr>
          <w:rFonts w:ascii="Arial" w:hAnsi="Arial" w:cs="Arial"/>
          <w:sz w:val="24"/>
        </w:rPr>
        <w:t>empleado por $18,772 según póliza de diario 98 del 26 de</w:t>
      </w:r>
      <w:r w:rsidR="00E5669B">
        <w:rPr>
          <w:rFonts w:ascii="Arial" w:hAnsi="Arial" w:cs="Arial"/>
          <w:sz w:val="24"/>
        </w:rPr>
        <w:t xml:space="preserve"> </w:t>
      </w:r>
      <w:r w:rsidR="00E5669B">
        <w:rPr>
          <w:rFonts w:ascii="Arial" w:hAnsi="Arial" w:cs="Arial"/>
          <w:sz w:val="24"/>
        </w:rPr>
        <w:lastRenderedPageBreak/>
        <w:t xml:space="preserve">junio de 2015, misma que debió </w:t>
      </w:r>
      <w:r w:rsidRPr="0030407F">
        <w:rPr>
          <w:rFonts w:ascii="Arial" w:hAnsi="Arial" w:cs="Arial"/>
          <w:sz w:val="24"/>
        </w:rPr>
        <w:t>registrarse en la cuenta de servicios generales (servicios profes</w:t>
      </w:r>
      <w:r w:rsidR="00E5669B">
        <w:rPr>
          <w:rFonts w:ascii="Arial" w:hAnsi="Arial" w:cs="Arial"/>
          <w:sz w:val="24"/>
        </w:rPr>
        <w:t xml:space="preserve">ionales, científicos y técnicos </w:t>
      </w:r>
      <w:r w:rsidRPr="0030407F">
        <w:rPr>
          <w:rFonts w:ascii="Arial" w:hAnsi="Arial" w:cs="Arial"/>
          <w:sz w:val="24"/>
        </w:rPr>
        <w:t>y otros servicios), contraviniendo lo señalado en el capítulo III plan de cuentas (codificación</w:t>
      </w: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5.1.3.3) del Manual de Contabilidad Gubernamental, en concordancia con el acuerdo por el</w:t>
      </w:r>
      <w:r w:rsidR="00E5669B">
        <w:rPr>
          <w:rFonts w:ascii="Arial" w:hAnsi="Arial" w:cs="Arial"/>
          <w:sz w:val="24"/>
        </w:rPr>
        <w:t xml:space="preserve"> </w:t>
      </w:r>
      <w:r w:rsidRPr="0030407F">
        <w:rPr>
          <w:rFonts w:ascii="Arial" w:hAnsi="Arial" w:cs="Arial"/>
          <w:sz w:val="24"/>
        </w:rPr>
        <w:t>que se emite el clasificador por objeto del gasto (punto D. relación de capítulos, conceptos y</w:t>
      </w:r>
      <w:r w:rsidR="00E5669B">
        <w:rPr>
          <w:rFonts w:ascii="Arial" w:hAnsi="Arial" w:cs="Arial"/>
          <w:sz w:val="24"/>
        </w:rPr>
        <w:t xml:space="preserve"> </w:t>
      </w:r>
      <w:r w:rsidRPr="0030407F">
        <w:rPr>
          <w:rFonts w:ascii="Arial" w:hAnsi="Arial" w:cs="Arial"/>
          <w:sz w:val="24"/>
        </w:rPr>
        <w:t>partidas genéricas), estableciendo su observancia obligatoria,</w:t>
      </w:r>
      <w:r w:rsidR="00E5669B">
        <w:rPr>
          <w:rFonts w:ascii="Arial" w:hAnsi="Arial" w:cs="Arial"/>
          <w:sz w:val="24"/>
        </w:rPr>
        <w:t xml:space="preserve"> de conformidad con el artículo </w:t>
      </w:r>
      <w:r w:rsidRPr="0030407F">
        <w:rPr>
          <w:rFonts w:ascii="Arial" w:hAnsi="Arial" w:cs="Arial"/>
          <w:sz w:val="24"/>
        </w:rPr>
        <w:t>7 de la Ley General de Contabilidad Gubernamental.</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y documentación presentada por el Ente Públic</w:t>
      </w:r>
      <w:r w:rsidR="00E5669B">
        <w:rPr>
          <w:rFonts w:ascii="Arial" w:hAnsi="Arial" w:cs="Arial"/>
          <w:sz w:val="24"/>
        </w:rPr>
        <w:t xml:space="preserve">o, la cual se solventa </w:t>
      </w:r>
      <w:r w:rsidRPr="0030407F">
        <w:rPr>
          <w:rFonts w:ascii="Arial" w:hAnsi="Arial" w:cs="Arial"/>
          <w:sz w:val="24"/>
        </w:rPr>
        <w:t>parcialmente, ya que "aclara que dicho registro no generó af</w:t>
      </w:r>
      <w:r w:rsidR="00E5669B">
        <w:rPr>
          <w:rFonts w:ascii="Arial" w:hAnsi="Arial" w:cs="Arial"/>
          <w:sz w:val="24"/>
        </w:rPr>
        <w:t xml:space="preserve">ectación alguna en el resultado </w:t>
      </w:r>
      <w:r w:rsidRPr="0030407F">
        <w:rPr>
          <w:rFonts w:ascii="Arial" w:hAnsi="Arial" w:cs="Arial"/>
          <w:sz w:val="24"/>
        </w:rPr>
        <w:t>final del ejercicio", pero no mostró medidas correctivas pa</w:t>
      </w:r>
      <w:r w:rsidR="00E5669B">
        <w:rPr>
          <w:rFonts w:ascii="Arial" w:hAnsi="Arial" w:cs="Arial"/>
          <w:sz w:val="24"/>
        </w:rPr>
        <w:t xml:space="preserve">ra registrar de acuerdo al plan </w:t>
      </w:r>
      <w:r w:rsidRPr="0030407F">
        <w:rPr>
          <w:rFonts w:ascii="Arial" w:hAnsi="Arial" w:cs="Arial"/>
          <w:sz w:val="24"/>
        </w:rPr>
        <w:t>de cuentas.</w:t>
      </w:r>
    </w:p>
    <w:p w:rsidR="00E5669B" w:rsidRDefault="00E5669B" w:rsidP="0030407F">
      <w:pPr>
        <w:spacing w:after="0" w:line="360" w:lineRule="auto"/>
        <w:contextualSpacing/>
        <w:jc w:val="both"/>
        <w:rPr>
          <w:rFonts w:ascii="Arial" w:hAnsi="Arial" w:cs="Arial"/>
          <w:sz w:val="24"/>
        </w:rPr>
      </w:pPr>
    </w:p>
    <w:p w:rsidR="0030407F" w:rsidRPr="00E5669B" w:rsidRDefault="0030407F" w:rsidP="0030407F">
      <w:pPr>
        <w:spacing w:after="0" w:line="360" w:lineRule="auto"/>
        <w:contextualSpacing/>
        <w:jc w:val="both"/>
        <w:rPr>
          <w:rFonts w:ascii="Arial" w:hAnsi="Arial" w:cs="Arial"/>
          <w:b/>
          <w:sz w:val="24"/>
        </w:rPr>
      </w:pPr>
      <w:r w:rsidRPr="00E5669B">
        <w:rPr>
          <w:rFonts w:ascii="Arial" w:hAnsi="Arial" w:cs="Arial"/>
          <w:b/>
          <w:sz w:val="24"/>
        </w:rPr>
        <w:t>Acción(es) o recomendación(es) emitida(s)</w:t>
      </w:r>
    </w:p>
    <w:p w:rsidR="0030407F" w:rsidRPr="00E5669B" w:rsidRDefault="0030407F" w:rsidP="0030407F">
      <w:pPr>
        <w:spacing w:after="0" w:line="360" w:lineRule="auto"/>
        <w:contextualSpacing/>
        <w:jc w:val="both"/>
        <w:rPr>
          <w:rFonts w:ascii="Arial" w:hAnsi="Arial" w:cs="Arial"/>
          <w:i/>
          <w:sz w:val="24"/>
        </w:rPr>
      </w:pPr>
      <w:r w:rsidRPr="00E5669B">
        <w:rPr>
          <w:rFonts w:ascii="Arial" w:hAnsi="Arial" w:cs="Arial"/>
          <w:i/>
          <w:sz w:val="24"/>
        </w:rPr>
        <w:t xml:space="preserve">Promoción de </w:t>
      </w:r>
      <w:proofErr w:type="spellStart"/>
      <w:r w:rsidRPr="00E5669B">
        <w:rPr>
          <w:rFonts w:ascii="Arial" w:hAnsi="Arial" w:cs="Arial"/>
          <w:i/>
          <w:sz w:val="24"/>
        </w:rPr>
        <w:t>Fincamiento</w:t>
      </w:r>
      <w:proofErr w:type="spellEnd"/>
      <w:r w:rsidRPr="00E5669B">
        <w:rPr>
          <w:rFonts w:ascii="Arial" w:hAnsi="Arial" w:cs="Arial"/>
          <w:i/>
          <w:sz w:val="24"/>
        </w:rPr>
        <w:t xml:space="preserve"> de Responsabilidad Administrativa.</w:t>
      </w:r>
    </w:p>
    <w:p w:rsidR="00E5669B" w:rsidRDefault="00E5669B" w:rsidP="0030407F">
      <w:pPr>
        <w:spacing w:after="0" w:line="360" w:lineRule="auto"/>
        <w:contextualSpacing/>
        <w:jc w:val="both"/>
        <w:rPr>
          <w:rFonts w:ascii="Arial" w:hAnsi="Arial" w:cs="Arial"/>
          <w:sz w:val="24"/>
        </w:rPr>
      </w:pPr>
    </w:p>
    <w:p w:rsidR="0030407F" w:rsidRPr="00A407D5" w:rsidRDefault="0030407F" w:rsidP="0030407F">
      <w:pPr>
        <w:spacing w:after="0" w:line="360" w:lineRule="auto"/>
        <w:contextualSpacing/>
        <w:jc w:val="both"/>
        <w:rPr>
          <w:rFonts w:ascii="Arial" w:hAnsi="Arial" w:cs="Arial"/>
          <w:b/>
          <w:sz w:val="24"/>
          <w:u w:val="single"/>
        </w:rPr>
      </w:pPr>
      <w:r w:rsidRPr="00A407D5">
        <w:rPr>
          <w:rFonts w:ascii="Arial" w:hAnsi="Arial" w:cs="Arial"/>
          <w:b/>
          <w:sz w:val="24"/>
          <w:u w:val="single"/>
        </w:rPr>
        <w:t>Ingresos varios en general</w:t>
      </w:r>
    </w:p>
    <w:p w:rsidR="0030407F" w:rsidRDefault="0030407F" w:rsidP="0030407F">
      <w:pPr>
        <w:spacing w:after="0" w:line="360" w:lineRule="auto"/>
        <w:contextualSpacing/>
        <w:jc w:val="both"/>
        <w:rPr>
          <w:rFonts w:ascii="Arial" w:hAnsi="Arial" w:cs="Arial"/>
          <w:sz w:val="24"/>
        </w:rPr>
      </w:pPr>
      <w:r w:rsidRPr="00E5669B">
        <w:rPr>
          <w:rFonts w:ascii="Arial" w:hAnsi="Arial" w:cs="Arial"/>
          <w:b/>
          <w:sz w:val="24"/>
        </w:rPr>
        <w:t>9</w:t>
      </w:r>
      <w:r w:rsidRPr="0030407F">
        <w:rPr>
          <w:rFonts w:ascii="Arial" w:hAnsi="Arial" w:cs="Arial"/>
          <w:sz w:val="24"/>
        </w:rPr>
        <w:t>. De la revisión a la clasificación contable de ingresos, se obser</w:t>
      </w:r>
      <w:r w:rsidR="00A407D5">
        <w:rPr>
          <w:rFonts w:ascii="Arial" w:hAnsi="Arial" w:cs="Arial"/>
          <w:sz w:val="24"/>
        </w:rPr>
        <w:t xml:space="preserve">vó que se registró en la cuenta </w:t>
      </w:r>
      <w:r w:rsidRPr="0030407F">
        <w:rPr>
          <w:rFonts w:ascii="Arial" w:hAnsi="Arial" w:cs="Arial"/>
          <w:sz w:val="24"/>
        </w:rPr>
        <w:t>de otros ingresos y beneficios varios, cancelaciones de c</w:t>
      </w:r>
      <w:r w:rsidR="00A407D5">
        <w:rPr>
          <w:rFonts w:ascii="Arial" w:hAnsi="Arial" w:cs="Arial"/>
          <w:sz w:val="24"/>
        </w:rPr>
        <w:t xml:space="preserve">heques y registros contables de </w:t>
      </w:r>
      <w:r w:rsidRPr="0030407F">
        <w:rPr>
          <w:rFonts w:ascii="Arial" w:hAnsi="Arial" w:cs="Arial"/>
          <w:sz w:val="24"/>
        </w:rPr>
        <w:t>ejercicios anteriores por $42,170, observando que debie</w:t>
      </w:r>
      <w:r w:rsidR="00A407D5">
        <w:rPr>
          <w:rFonts w:ascii="Arial" w:hAnsi="Arial" w:cs="Arial"/>
          <w:sz w:val="24"/>
        </w:rPr>
        <w:t xml:space="preserve">ron registrarse en la cuenta de </w:t>
      </w:r>
      <w:r w:rsidRPr="0030407F">
        <w:rPr>
          <w:rFonts w:ascii="Arial" w:hAnsi="Arial" w:cs="Arial"/>
          <w:sz w:val="24"/>
        </w:rPr>
        <w:t>rectificaciones de resultados de ejercicios anteriores, contraviniendo a lo seña</w:t>
      </w:r>
      <w:r w:rsidR="00A407D5">
        <w:rPr>
          <w:rFonts w:ascii="Arial" w:hAnsi="Arial" w:cs="Arial"/>
          <w:sz w:val="24"/>
        </w:rPr>
        <w:t xml:space="preserve">lado en el </w:t>
      </w:r>
      <w:r w:rsidRPr="0030407F">
        <w:rPr>
          <w:rFonts w:ascii="Arial" w:hAnsi="Arial" w:cs="Arial"/>
          <w:sz w:val="24"/>
        </w:rPr>
        <w:t>capítulo III plan de cuentas (codificación 3.2.5) del Manual</w:t>
      </w:r>
      <w:r w:rsidR="00A407D5">
        <w:rPr>
          <w:rFonts w:ascii="Arial" w:hAnsi="Arial" w:cs="Arial"/>
          <w:sz w:val="24"/>
        </w:rPr>
        <w:t xml:space="preserve"> de Contabilidad </w:t>
      </w:r>
      <w:r w:rsidR="00A407D5">
        <w:rPr>
          <w:rFonts w:ascii="Arial" w:hAnsi="Arial" w:cs="Arial"/>
          <w:sz w:val="24"/>
        </w:rPr>
        <w:lastRenderedPageBreak/>
        <w:t xml:space="preserve">Gubernamental, </w:t>
      </w:r>
      <w:r w:rsidRPr="0030407F">
        <w:rPr>
          <w:rFonts w:ascii="Arial" w:hAnsi="Arial" w:cs="Arial"/>
          <w:sz w:val="24"/>
        </w:rPr>
        <w:t xml:space="preserve">estableciendo su observancia obligatoria, de conformidad con </w:t>
      </w:r>
      <w:r w:rsidR="00A407D5">
        <w:rPr>
          <w:rFonts w:ascii="Arial" w:hAnsi="Arial" w:cs="Arial"/>
          <w:sz w:val="24"/>
        </w:rPr>
        <w:t xml:space="preserve">el artículo 7 de la Ley General </w:t>
      </w:r>
      <w:r w:rsidRPr="0030407F">
        <w:rPr>
          <w:rFonts w:ascii="Arial" w:hAnsi="Arial" w:cs="Arial"/>
          <w:sz w:val="24"/>
        </w:rPr>
        <w:t>de Contabilidad Gubernamental, de acuerdo a lo siguiente:</w:t>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120659"/>
            <wp:effectExtent l="0" t="0" r="444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3355" cy="1120659"/>
                    </a:xfrm>
                    <a:prstGeom prst="rect">
                      <a:avLst/>
                    </a:prstGeom>
                    <a:noFill/>
                    <a:ln>
                      <a:noFill/>
                    </a:ln>
                  </pic:spPr>
                </pic:pic>
              </a:graphicData>
            </a:graphic>
          </wp:inline>
        </w:drawing>
      </w:r>
    </w:p>
    <w:p w:rsidR="00A407D5" w:rsidRDefault="00A407D5" w:rsidP="0030407F">
      <w:pPr>
        <w:spacing w:after="0" w:line="360" w:lineRule="auto"/>
        <w:contextualSpacing/>
        <w:jc w:val="both"/>
        <w:rPr>
          <w:rFonts w:ascii="Arial" w:hAnsi="Arial" w:cs="Arial"/>
          <w:sz w:val="24"/>
        </w:rPr>
      </w:pPr>
    </w:p>
    <w:p w:rsidR="00A407D5" w:rsidRDefault="00A407D5" w:rsidP="0030407F">
      <w:pPr>
        <w:spacing w:after="0" w:line="360" w:lineRule="auto"/>
        <w:contextualSpacing/>
        <w:jc w:val="both"/>
        <w:rPr>
          <w:rFonts w:ascii="Arial" w:hAnsi="Arial" w:cs="Arial"/>
          <w:sz w:val="24"/>
        </w:rPr>
      </w:pPr>
    </w:p>
    <w:p w:rsidR="0030407F" w:rsidRPr="00A407D5" w:rsidRDefault="0030407F" w:rsidP="0030407F">
      <w:pPr>
        <w:spacing w:after="0" w:line="360" w:lineRule="auto"/>
        <w:contextualSpacing/>
        <w:jc w:val="both"/>
        <w:rPr>
          <w:rFonts w:ascii="Arial" w:hAnsi="Arial" w:cs="Arial"/>
          <w:b/>
          <w:sz w:val="24"/>
        </w:rPr>
      </w:pPr>
      <w:r w:rsidRPr="00A407D5">
        <w:rPr>
          <w:rFonts w:ascii="Arial" w:hAnsi="Arial" w:cs="Arial"/>
          <w:b/>
          <w:sz w:val="24"/>
        </w:rPr>
        <w:t>Análisis de la Auditoría Superior del Estado</w:t>
      </w:r>
    </w:p>
    <w:p w:rsidR="0030407F" w:rsidRPr="0030407F" w:rsidRDefault="0030407F" w:rsidP="0030407F">
      <w:pPr>
        <w:spacing w:after="0" w:line="360" w:lineRule="auto"/>
        <w:contextualSpacing/>
        <w:jc w:val="both"/>
        <w:rPr>
          <w:rFonts w:ascii="Arial" w:hAnsi="Arial" w:cs="Arial"/>
          <w:sz w:val="24"/>
        </w:rPr>
      </w:pPr>
      <w:r w:rsidRPr="0030407F">
        <w:rPr>
          <w:rFonts w:ascii="Arial" w:hAnsi="Arial" w:cs="Arial"/>
          <w:sz w:val="24"/>
        </w:rPr>
        <w:t>Se analizó la respuesta presentada por el Titular y Extitul</w:t>
      </w:r>
      <w:r w:rsidR="00A407D5">
        <w:rPr>
          <w:rFonts w:ascii="Arial" w:hAnsi="Arial" w:cs="Arial"/>
          <w:sz w:val="24"/>
        </w:rPr>
        <w:t xml:space="preserve">ar del Ente Público, la cual se </w:t>
      </w:r>
      <w:r w:rsidRPr="0030407F">
        <w:rPr>
          <w:rFonts w:ascii="Arial" w:hAnsi="Arial" w:cs="Arial"/>
          <w:sz w:val="24"/>
        </w:rPr>
        <w:t>solventa parcialmente, ya que aclara que dicho registro</w:t>
      </w:r>
      <w:r w:rsidR="00A407D5">
        <w:rPr>
          <w:rFonts w:ascii="Arial" w:hAnsi="Arial" w:cs="Arial"/>
          <w:sz w:val="24"/>
        </w:rPr>
        <w:t xml:space="preserve"> no generó afectación alguna en </w:t>
      </w:r>
      <w:r w:rsidRPr="0030407F">
        <w:rPr>
          <w:rFonts w:ascii="Arial" w:hAnsi="Arial" w:cs="Arial"/>
          <w:sz w:val="24"/>
        </w:rPr>
        <w:t>el resultado final del ejercicio, pero no acompañó evid</w:t>
      </w:r>
      <w:r w:rsidR="00A407D5">
        <w:rPr>
          <w:rFonts w:ascii="Arial" w:hAnsi="Arial" w:cs="Arial"/>
          <w:sz w:val="24"/>
        </w:rPr>
        <w:t xml:space="preserve">encia documental de las medidas </w:t>
      </w:r>
      <w:r w:rsidRPr="0030407F">
        <w:rPr>
          <w:rFonts w:ascii="Arial" w:hAnsi="Arial" w:cs="Arial"/>
          <w:sz w:val="24"/>
        </w:rPr>
        <w:t>correctivas para registrar de acuerdo al plan de cuentas.</w:t>
      </w:r>
    </w:p>
    <w:p w:rsidR="00A407D5" w:rsidRDefault="00A407D5" w:rsidP="0030407F">
      <w:pPr>
        <w:spacing w:after="0" w:line="360" w:lineRule="auto"/>
        <w:contextualSpacing/>
        <w:jc w:val="both"/>
        <w:rPr>
          <w:rFonts w:ascii="Arial" w:hAnsi="Arial" w:cs="Arial"/>
          <w:sz w:val="24"/>
        </w:rPr>
      </w:pPr>
    </w:p>
    <w:p w:rsidR="0030407F" w:rsidRPr="00A407D5" w:rsidRDefault="0030407F" w:rsidP="0030407F">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30407F" w:rsidRPr="00A407D5" w:rsidRDefault="0030407F" w:rsidP="0030407F">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A407D5" w:rsidRDefault="00A407D5" w:rsidP="0030407F">
      <w:pPr>
        <w:spacing w:after="0" w:line="360" w:lineRule="auto"/>
        <w:contextualSpacing/>
        <w:jc w:val="both"/>
        <w:rPr>
          <w:rFonts w:ascii="Arial" w:hAnsi="Arial" w:cs="Arial"/>
          <w:sz w:val="24"/>
        </w:rPr>
      </w:pPr>
    </w:p>
    <w:p w:rsidR="0030407F" w:rsidRPr="00A407D5" w:rsidRDefault="0030407F" w:rsidP="0030407F">
      <w:pPr>
        <w:spacing w:after="0" w:line="360" w:lineRule="auto"/>
        <w:contextualSpacing/>
        <w:jc w:val="both"/>
        <w:rPr>
          <w:rFonts w:ascii="Arial" w:hAnsi="Arial" w:cs="Arial"/>
          <w:b/>
          <w:sz w:val="24"/>
        </w:rPr>
      </w:pPr>
      <w:r w:rsidRPr="00A407D5">
        <w:rPr>
          <w:rFonts w:ascii="Arial" w:hAnsi="Arial" w:cs="Arial"/>
          <w:b/>
          <w:sz w:val="24"/>
        </w:rPr>
        <w:t>GASTOS Y OTRAS PÉRDIDAS</w:t>
      </w:r>
    </w:p>
    <w:p w:rsidR="0030407F" w:rsidRPr="00A407D5" w:rsidRDefault="0030407F" w:rsidP="0030407F">
      <w:pPr>
        <w:spacing w:after="0" w:line="360" w:lineRule="auto"/>
        <w:contextualSpacing/>
        <w:jc w:val="both"/>
        <w:rPr>
          <w:rFonts w:ascii="Arial" w:hAnsi="Arial" w:cs="Arial"/>
          <w:b/>
          <w:sz w:val="24"/>
          <w:u w:val="single"/>
        </w:rPr>
      </w:pPr>
      <w:r w:rsidRPr="00A407D5">
        <w:rPr>
          <w:rFonts w:ascii="Arial" w:hAnsi="Arial" w:cs="Arial"/>
          <w:b/>
          <w:sz w:val="24"/>
          <w:u w:val="single"/>
        </w:rPr>
        <w:t>Gastos de funcionamiento</w:t>
      </w:r>
    </w:p>
    <w:p w:rsidR="0030407F" w:rsidRPr="00A407D5" w:rsidRDefault="0030407F" w:rsidP="0030407F">
      <w:pPr>
        <w:spacing w:after="0" w:line="360" w:lineRule="auto"/>
        <w:contextualSpacing/>
        <w:jc w:val="both"/>
        <w:rPr>
          <w:rFonts w:ascii="Arial" w:hAnsi="Arial" w:cs="Arial"/>
          <w:b/>
          <w:sz w:val="24"/>
          <w:u w:val="single"/>
        </w:rPr>
      </w:pPr>
      <w:r w:rsidRPr="00A407D5">
        <w:rPr>
          <w:rFonts w:ascii="Arial" w:hAnsi="Arial" w:cs="Arial"/>
          <w:b/>
          <w:sz w:val="24"/>
          <w:u w:val="single"/>
        </w:rPr>
        <w:t>Materiales y suministros</w:t>
      </w:r>
    </w:p>
    <w:p w:rsidR="0030407F" w:rsidRPr="00A407D5" w:rsidRDefault="0030407F" w:rsidP="0030407F">
      <w:pPr>
        <w:spacing w:after="0" w:line="360" w:lineRule="auto"/>
        <w:contextualSpacing/>
        <w:jc w:val="both"/>
        <w:rPr>
          <w:rFonts w:ascii="Arial" w:hAnsi="Arial" w:cs="Arial"/>
          <w:b/>
          <w:sz w:val="24"/>
          <w:u w:val="single"/>
        </w:rPr>
      </w:pPr>
      <w:r w:rsidRPr="00A407D5">
        <w:rPr>
          <w:rFonts w:ascii="Arial" w:hAnsi="Arial" w:cs="Arial"/>
          <w:b/>
          <w:sz w:val="24"/>
          <w:u w:val="single"/>
        </w:rPr>
        <w:t>Combustibles, lubricantes y aditivos</w:t>
      </w:r>
    </w:p>
    <w:p w:rsidR="0030407F" w:rsidRDefault="0030407F" w:rsidP="0030407F">
      <w:pPr>
        <w:spacing w:after="0" w:line="360" w:lineRule="auto"/>
        <w:contextualSpacing/>
        <w:jc w:val="both"/>
        <w:rPr>
          <w:rFonts w:ascii="Arial" w:hAnsi="Arial" w:cs="Arial"/>
          <w:sz w:val="24"/>
        </w:rPr>
      </w:pPr>
      <w:r w:rsidRPr="00A407D5">
        <w:rPr>
          <w:rFonts w:ascii="Arial" w:hAnsi="Arial" w:cs="Arial"/>
          <w:b/>
          <w:sz w:val="24"/>
        </w:rPr>
        <w:t>10.</w:t>
      </w:r>
      <w:r w:rsidRPr="0030407F">
        <w:rPr>
          <w:rFonts w:ascii="Arial" w:hAnsi="Arial" w:cs="Arial"/>
          <w:sz w:val="24"/>
        </w:rPr>
        <w:t xml:space="preserve"> De la revisión a la clasificación contable de los gastos</w:t>
      </w:r>
      <w:r w:rsidR="00A407D5">
        <w:rPr>
          <w:rFonts w:ascii="Arial" w:hAnsi="Arial" w:cs="Arial"/>
          <w:sz w:val="24"/>
        </w:rPr>
        <w:t xml:space="preserve">, se observó que se registró en </w:t>
      </w:r>
      <w:r w:rsidRPr="0030407F">
        <w:rPr>
          <w:rFonts w:ascii="Arial" w:hAnsi="Arial" w:cs="Arial"/>
          <w:sz w:val="24"/>
        </w:rPr>
        <w:t>la cuenta de materiales y suministros (combustibles, lubricant</w:t>
      </w:r>
      <w:r w:rsidR="00A407D5">
        <w:rPr>
          <w:rFonts w:ascii="Arial" w:hAnsi="Arial" w:cs="Arial"/>
          <w:sz w:val="24"/>
        </w:rPr>
        <w:t xml:space="preserve">es y </w:t>
      </w:r>
      <w:r w:rsidR="00A407D5">
        <w:rPr>
          <w:rFonts w:ascii="Arial" w:hAnsi="Arial" w:cs="Arial"/>
          <w:sz w:val="24"/>
        </w:rPr>
        <w:lastRenderedPageBreak/>
        <w:t xml:space="preserve">aditivos) la prestación </w:t>
      </w:r>
      <w:r w:rsidRPr="0030407F">
        <w:rPr>
          <w:rFonts w:ascii="Arial" w:hAnsi="Arial" w:cs="Arial"/>
          <w:sz w:val="24"/>
        </w:rPr>
        <w:t>de vales de gasolina (tarjetas electrónicas) entregada a</w:t>
      </w:r>
      <w:r w:rsidR="00A407D5">
        <w:rPr>
          <w:rFonts w:ascii="Arial" w:hAnsi="Arial" w:cs="Arial"/>
          <w:sz w:val="24"/>
        </w:rPr>
        <w:t xml:space="preserve"> los empleados del Ente Público </w:t>
      </w:r>
      <w:r w:rsidRPr="0030407F">
        <w:rPr>
          <w:rFonts w:ascii="Arial" w:hAnsi="Arial" w:cs="Arial"/>
          <w:sz w:val="24"/>
        </w:rPr>
        <w:t>por $25,322,344, mismos que debieron registrarse en la</w:t>
      </w:r>
      <w:r w:rsidR="00A407D5">
        <w:rPr>
          <w:rFonts w:ascii="Arial" w:hAnsi="Arial" w:cs="Arial"/>
          <w:sz w:val="24"/>
        </w:rPr>
        <w:t xml:space="preserve"> cuenta de servicios personales </w:t>
      </w:r>
      <w:r w:rsidRPr="0030407F">
        <w:rPr>
          <w:rFonts w:ascii="Arial" w:hAnsi="Arial" w:cs="Arial"/>
          <w:sz w:val="24"/>
        </w:rPr>
        <w:t>(otras prestaciones sociales y económicas), contravini</w:t>
      </w:r>
      <w:r w:rsidR="00A407D5">
        <w:rPr>
          <w:rFonts w:ascii="Arial" w:hAnsi="Arial" w:cs="Arial"/>
          <w:sz w:val="24"/>
        </w:rPr>
        <w:t xml:space="preserve">endo lo señalado en el capítulo </w:t>
      </w:r>
      <w:r w:rsidRPr="0030407F">
        <w:rPr>
          <w:rFonts w:ascii="Arial" w:hAnsi="Arial" w:cs="Arial"/>
          <w:sz w:val="24"/>
        </w:rPr>
        <w:t>III plan de cuentas (codificación 5.1.1.5) del Manual</w:t>
      </w:r>
      <w:r w:rsidR="00A407D5">
        <w:rPr>
          <w:rFonts w:ascii="Arial" w:hAnsi="Arial" w:cs="Arial"/>
          <w:sz w:val="24"/>
        </w:rPr>
        <w:t xml:space="preserve"> de contabilidad gubernamental, </w:t>
      </w:r>
      <w:r w:rsidRPr="0030407F">
        <w:rPr>
          <w:rFonts w:ascii="Arial" w:hAnsi="Arial" w:cs="Arial"/>
          <w:sz w:val="24"/>
        </w:rPr>
        <w:t>estableciéndose su observancia obligatoria, de conformi</w:t>
      </w:r>
      <w:r w:rsidR="00A407D5">
        <w:rPr>
          <w:rFonts w:ascii="Arial" w:hAnsi="Arial" w:cs="Arial"/>
          <w:sz w:val="24"/>
        </w:rPr>
        <w:t xml:space="preserve">dad con el artículo 7 de la Ley </w:t>
      </w:r>
      <w:r w:rsidRPr="0030407F">
        <w:rPr>
          <w:rFonts w:ascii="Arial" w:hAnsi="Arial" w:cs="Arial"/>
          <w:sz w:val="24"/>
        </w:rPr>
        <w:t>General de Contabilidad Gubernamental, de acuerdo a lo siguiente:</w:t>
      </w:r>
    </w:p>
    <w:p w:rsidR="0030407F" w:rsidRDefault="0030407F" w:rsidP="00A407D5">
      <w:pPr>
        <w:spacing w:after="0" w:line="360" w:lineRule="auto"/>
        <w:contextualSpacing/>
        <w:jc w:val="center"/>
        <w:rPr>
          <w:rFonts w:ascii="Arial" w:hAnsi="Arial" w:cs="Arial"/>
          <w:sz w:val="24"/>
        </w:rPr>
      </w:pPr>
      <w:r>
        <w:rPr>
          <w:rFonts w:ascii="Arial" w:hAnsi="Arial" w:cs="Arial"/>
          <w:noProof/>
          <w:sz w:val="24"/>
          <w:lang w:val="es-MX" w:eastAsia="es-MX"/>
        </w:rPr>
        <w:drawing>
          <wp:inline distT="0" distB="0" distL="0" distR="0">
            <wp:extent cx="2505710" cy="2030730"/>
            <wp:effectExtent l="0" t="0" r="889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710" cy="2030730"/>
                    </a:xfrm>
                    <a:prstGeom prst="rect">
                      <a:avLst/>
                    </a:prstGeom>
                    <a:noFill/>
                    <a:ln>
                      <a:noFill/>
                    </a:ln>
                  </pic:spPr>
                </pic:pic>
              </a:graphicData>
            </a:graphic>
          </wp:inline>
        </w:drawing>
      </w:r>
    </w:p>
    <w:p w:rsidR="0030407F" w:rsidRDefault="0030407F" w:rsidP="00A407D5">
      <w:pPr>
        <w:spacing w:after="0" w:line="360" w:lineRule="auto"/>
        <w:contextualSpacing/>
        <w:jc w:val="center"/>
        <w:rPr>
          <w:rFonts w:ascii="Arial" w:hAnsi="Arial" w:cs="Arial"/>
          <w:sz w:val="24"/>
        </w:rPr>
      </w:pPr>
      <w:r>
        <w:rPr>
          <w:rFonts w:ascii="Arial" w:hAnsi="Arial" w:cs="Arial"/>
          <w:noProof/>
          <w:sz w:val="24"/>
          <w:lang w:val="es-MX" w:eastAsia="es-MX"/>
        </w:rPr>
        <w:drawing>
          <wp:inline distT="0" distB="0" distL="0" distR="0">
            <wp:extent cx="2434590" cy="1139825"/>
            <wp:effectExtent l="0" t="0" r="381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4590" cy="1139825"/>
                    </a:xfrm>
                    <a:prstGeom prst="rect">
                      <a:avLst/>
                    </a:prstGeom>
                    <a:noFill/>
                    <a:ln>
                      <a:noFill/>
                    </a:ln>
                  </pic:spPr>
                </pic:pic>
              </a:graphicData>
            </a:graphic>
          </wp:inline>
        </w:drawing>
      </w:r>
    </w:p>
    <w:p w:rsidR="00A407D5" w:rsidRDefault="00A407D5" w:rsidP="0030407F">
      <w:pPr>
        <w:spacing w:after="0" w:line="360" w:lineRule="auto"/>
        <w:contextualSpacing/>
        <w:jc w:val="both"/>
        <w:rPr>
          <w:rFonts w:ascii="Arial" w:hAnsi="Arial" w:cs="Arial"/>
          <w:sz w:val="24"/>
        </w:rPr>
      </w:pPr>
    </w:p>
    <w:p w:rsidR="0030407F" w:rsidRPr="00A407D5" w:rsidRDefault="0030407F" w:rsidP="0030407F">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A407D5" w:rsidRPr="00D20613" w:rsidRDefault="0030407F" w:rsidP="0030407F">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30407F" w:rsidRDefault="0030407F" w:rsidP="0030407F">
      <w:pPr>
        <w:spacing w:after="0" w:line="360" w:lineRule="auto"/>
        <w:contextualSpacing/>
        <w:jc w:val="both"/>
        <w:rPr>
          <w:rFonts w:ascii="Arial" w:hAnsi="Arial" w:cs="Arial"/>
          <w:sz w:val="24"/>
        </w:rPr>
      </w:pPr>
      <w:r w:rsidRPr="0030407F">
        <w:rPr>
          <w:rFonts w:ascii="Arial" w:hAnsi="Arial" w:cs="Arial"/>
          <w:sz w:val="24"/>
        </w:rPr>
        <w:t>11. El Ente Público entregó de manera mensual a diverso perso</w:t>
      </w:r>
      <w:r w:rsidR="00A407D5">
        <w:rPr>
          <w:rFonts w:ascii="Arial" w:hAnsi="Arial" w:cs="Arial"/>
          <w:sz w:val="24"/>
        </w:rPr>
        <w:t xml:space="preserve">nal vales de gasolina (tarjetas </w:t>
      </w:r>
      <w:r w:rsidRPr="0030407F">
        <w:rPr>
          <w:rFonts w:ascii="Arial" w:hAnsi="Arial" w:cs="Arial"/>
          <w:sz w:val="24"/>
        </w:rPr>
        <w:t xml:space="preserve">electrónicas) como prestación por un total anual de </w:t>
      </w:r>
      <w:r w:rsidRPr="0030407F">
        <w:rPr>
          <w:rFonts w:ascii="Arial" w:hAnsi="Arial" w:cs="Arial"/>
          <w:sz w:val="24"/>
        </w:rPr>
        <w:lastRenderedPageBreak/>
        <w:t>$25,</w:t>
      </w:r>
      <w:r w:rsidR="00A407D5">
        <w:rPr>
          <w:rFonts w:ascii="Arial" w:hAnsi="Arial" w:cs="Arial"/>
          <w:sz w:val="24"/>
        </w:rPr>
        <w:t xml:space="preserve">322,344 de acuerdo al siguiente </w:t>
      </w:r>
      <w:r w:rsidRPr="0030407F">
        <w:rPr>
          <w:rFonts w:ascii="Arial" w:hAnsi="Arial" w:cs="Arial"/>
          <w:sz w:val="24"/>
        </w:rPr>
        <w:t>tabulador autorizado en acta de pleno 20 del 19 de mayo de 2015:</w:t>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14:anchorId="7B5CC4B1" wp14:editId="30F2B928">
            <wp:extent cx="5213350" cy="153162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3350" cy="1531620"/>
                    </a:xfrm>
                    <a:prstGeom prst="rect">
                      <a:avLst/>
                    </a:prstGeom>
                    <a:noFill/>
                    <a:ln>
                      <a:noFill/>
                    </a:ln>
                  </pic:spPr>
                </pic:pic>
              </a:graphicData>
            </a:graphic>
          </wp:inline>
        </w:drawing>
      </w:r>
    </w:p>
    <w:p w:rsidR="0030407F" w:rsidRDefault="0030407F" w:rsidP="00D20613">
      <w:pPr>
        <w:spacing w:after="0" w:line="360" w:lineRule="auto"/>
        <w:contextualSpacing/>
        <w:jc w:val="center"/>
        <w:rPr>
          <w:rFonts w:ascii="Arial" w:hAnsi="Arial" w:cs="Arial"/>
          <w:sz w:val="24"/>
        </w:rPr>
      </w:pPr>
      <w:r>
        <w:rPr>
          <w:rFonts w:ascii="Arial" w:hAnsi="Arial" w:cs="Arial"/>
          <w:noProof/>
          <w:sz w:val="24"/>
          <w:lang w:val="es-MX" w:eastAsia="es-MX"/>
        </w:rPr>
        <w:drawing>
          <wp:inline distT="0" distB="0" distL="0" distR="0" wp14:anchorId="0B4FDA3D" wp14:editId="1173FBDA">
            <wp:extent cx="3692173" cy="4394580"/>
            <wp:effectExtent l="0" t="0" r="381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0741" cy="4404778"/>
                    </a:xfrm>
                    <a:prstGeom prst="rect">
                      <a:avLst/>
                    </a:prstGeom>
                    <a:noFill/>
                    <a:ln>
                      <a:noFill/>
                    </a:ln>
                  </pic:spPr>
                </pic:pic>
              </a:graphicData>
            </a:graphic>
          </wp:inline>
        </w:drawing>
      </w:r>
    </w:p>
    <w:p w:rsidR="0030407F" w:rsidRDefault="0030407F" w:rsidP="0030407F">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253355" cy="2580377"/>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3355" cy="2580377"/>
                    </a:xfrm>
                    <a:prstGeom prst="rect">
                      <a:avLst/>
                    </a:prstGeom>
                    <a:noFill/>
                    <a:ln>
                      <a:noFill/>
                    </a:ln>
                  </pic:spPr>
                </pic:pic>
              </a:graphicData>
            </a:graphic>
          </wp:inline>
        </w:drawing>
      </w: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Promoción del Ejercicio de la Facultad de Comprobación Fiscal.</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u w:val="single"/>
        </w:rPr>
      </w:pPr>
      <w:r w:rsidRPr="00A407D5">
        <w:rPr>
          <w:rFonts w:ascii="Arial" w:hAnsi="Arial" w:cs="Arial"/>
          <w:b/>
          <w:sz w:val="24"/>
          <w:u w:val="single"/>
        </w:rPr>
        <w:t>Herramientas, refacciones y accesorios menores</w:t>
      </w:r>
    </w:p>
    <w:p w:rsidR="0030407F" w:rsidRDefault="00F438F7" w:rsidP="00F438F7">
      <w:pPr>
        <w:spacing w:after="0" w:line="360" w:lineRule="auto"/>
        <w:contextualSpacing/>
        <w:jc w:val="both"/>
        <w:rPr>
          <w:rFonts w:ascii="Arial" w:hAnsi="Arial" w:cs="Arial"/>
          <w:sz w:val="24"/>
        </w:rPr>
      </w:pPr>
      <w:r w:rsidRPr="00A407D5">
        <w:rPr>
          <w:rFonts w:ascii="Arial" w:hAnsi="Arial" w:cs="Arial"/>
          <w:b/>
          <w:sz w:val="24"/>
        </w:rPr>
        <w:t>12.</w:t>
      </w:r>
      <w:r w:rsidRPr="00F438F7">
        <w:rPr>
          <w:rFonts w:ascii="Arial" w:hAnsi="Arial" w:cs="Arial"/>
          <w:sz w:val="24"/>
        </w:rPr>
        <w:t xml:space="preserve"> De la revisión a la clasificación contable de gastos, se obser</w:t>
      </w:r>
      <w:r w:rsidR="00A407D5">
        <w:rPr>
          <w:rFonts w:ascii="Arial" w:hAnsi="Arial" w:cs="Arial"/>
          <w:sz w:val="24"/>
        </w:rPr>
        <w:t xml:space="preserve">vó que se registró en la cuenta </w:t>
      </w:r>
      <w:r w:rsidRPr="00F438F7">
        <w:rPr>
          <w:rFonts w:ascii="Arial" w:hAnsi="Arial" w:cs="Arial"/>
          <w:sz w:val="24"/>
        </w:rPr>
        <w:t>de materiales y suministros (herramientas, refaccione</w:t>
      </w:r>
      <w:r w:rsidR="00A407D5">
        <w:rPr>
          <w:rFonts w:ascii="Arial" w:hAnsi="Arial" w:cs="Arial"/>
          <w:sz w:val="24"/>
        </w:rPr>
        <w:t xml:space="preserve">s y accesorios menores) diverso </w:t>
      </w:r>
      <w:r w:rsidRPr="00F438F7">
        <w:rPr>
          <w:rFonts w:ascii="Arial" w:hAnsi="Arial" w:cs="Arial"/>
          <w:sz w:val="24"/>
        </w:rPr>
        <w:t>mobiliario por $149,060, mismos que debieron registrarse</w:t>
      </w:r>
      <w:r w:rsidR="00A407D5">
        <w:rPr>
          <w:rFonts w:ascii="Arial" w:hAnsi="Arial" w:cs="Arial"/>
          <w:sz w:val="24"/>
        </w:rPr>
        <w:t xml:space="preserve"> en la cuenta de bienes muebles </w:t>
      </w:r>
      <w:r w:rsidRPr="00F438F7">
        <w:rPr>
          <w:rFonts w:ascii="Arial" w:hAnsi="Arial" w:cs="Arial"/>
          <w:sz w:val="24"/>
        </w:rPr>
        <w:t>(mobiliario y equipo de administración), contraviniendo a lo señalado en el capítul</w:t>
      </w:r>
      <w:r w:rsidR="00A407D5">
        <w:rPr>
          <w:rFonts w:ascii="Arial" w:hAnsi="Arial" w:cs="Arial"/>
          <w:sz w:val="24"/>
        </w:rPr>
        <w:t xml:space="preserve">o III plan de </w:t>
      </w:r>
      <w:r w:rsidRPr="00F438F7">
        <w:rPr>
          <w:rFonts w:ascii="Arial" w:hAnsi="Arial" w:cs="Arial"/>
          <w:sz w:val="24"/>
        </w:rPr>
        <w:t xml:space="preserve">cuentas (codificación 1.2.4.1) del Manual de Contabilidad </w:t>
      </w:r>
      <w:r w:rsidR="00A407D5">
        <w:rPr>
          <w:rFonts w:ascii="Arial" w:hAnsi="Arial" w:cs="Arial"/>
          <w:sz w:val="24"/>
        </w:rPr>
        <w:t xml:space="preserve">Gubernamental, estableciendo su </w:t>
      </w:r>
      <w:r w:rsidRPr="00F438F7">
        <w:rPr>
          <w:rFonts w:ascii="Arial" w:hAnsi="Arial" w:cs="Arial"/>
          <w:sz w:val="24"/>
        </w:rPr>
        <w:t>observancia obligatoria, de conformidad con el artículo 7 de</w:t>
      </w:r>
      <w:r w:rsidR="00A407D5">
        <w:rPr>
          <w:rFonts w:ascii="Arial" w:hAnsi="Arial" w:cs="Arial"/>
          <w:sz w:val="24"/>
        </w:rPr>
        <w:t xml:space="preserve"> la Ley General de Contabilidad </w:t>
      </w:r>
      <w:r w:rsidRPr="00F438F7">
        <w:rPr>
          <w:rFonts w:ascii="Arial" w:hAnsi="Arial" w:cs="Arial"/>
          <w:sz w:val="24"/>
        </w:rPr>
        <w:t>Gubernamental, de acuerdo a lo siguiente:</w:t>
      </w: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253355" cy="773587"/>
            <wp:effectExtent l="0" t="0" r="4445"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3355" cy="773587"/>
                    </a:xfrm>
                    <a:prstGeom prst="rect">
                      <a:avLst/>
                    </a:prstGeom>
                    <a:noFill/>
                    <a:ln>
                      <a:noFill/>
                    </a:ln>
                  </pic:spPr>
                </pic:pic>
              </a:graphicData>
            </a:graphic>
          </wp:inline>
        </w:drawing>
      </w: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261664"/>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3355" cy="1261664"/>
                    </a:xfrm>
                    <a:prstGeom prst="rect">
                      <a:avLst/>
                    </a:prstGeom>
                    <a:noFill/>
                    <a:ln>
                      <a:noFill/>
                    </a:ln>
                  </pic:spPr>
                </pic:pic>
              </a:graphicData>
            </a:graphic>
          </wp:inline>
        </w:drawing>
      </w:r>
    </w:p>
    <w:p w:rsidR="00F438F7" w:rsidRDefault="00F438F7"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Análisis de la Auditoría Superior del Estado</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Se analizó la respuesta y documentación proporcionada por el</w:t>
      </w:r>
      <w:r w:rsidR="00A407D5">
        <w:rPr>
          <w:rFonts w:ascii="Arial" w:hAnsi="Arial" w:cs="Arial"/>
          <w:sz w:val="24"/>
        </w:rPr>
        <w:t xml:space="preserve"> Ente Público, la cual solventa </w:t>
      </w:r>
      <w:r w:rsidRPr="00F438F7">
        <w:rPr>
          <w:rFonts w:ascii="Arial" w:hAnsi="Arial" w:cs="Arial"/>
          <w:sz w:val="24"/>
        </w:rPr>
        <w:t>parcialmente, toda vez que se encuentra en proce</w:t>
      </w:r>
      <w:r w:rsidR="00A407D5">
        <w:rPr>
          <w:rFonts w:ascii="Arial" w:hAnsi="Arial" w:cs="Arial"/>
          <w:sz w:val="24"/>
        </w:rPr>
        <w:t xml:space="preserve">so de implementación de medidas </w:t>
      </w:r>
      <w:r w:rsidRPr="00F438F7">
        <w:rPr>
          <w:rFonts w:ascii="Arial" w:hAnsi="Arial" w:cs="Arial"/>
          <w:sz w:val="24"/>
        </w:rPr>
        <w:t>correctivas, sin embargo, no ha realizado la corrección.</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F438F7" w:rsidRDefault="00F438F7"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i/>
          <w:sz w:val="24"/>
        </w:rPr>
      </w:pPr>
      <w:r w:rsidRPr="00A407D5">
        <w:rPr>
          <w:rFonts w:ascii="Arial" w:hAnsi="Arial" w:cs="Arial"/>
          <w:b/>
          <w:i/>
          <w:sz w:val="24"/>
        </w:rPr>
        <w:t>Servicios generales</w:t>
      </w:r>
    </w:p>
    <w:p w:rsidR="00F438F7" w:rsidRDefault="00F438F7" w:rsidP="00F438F7">
      <w:pPr>
        <w:spacing w:after="0" w:line="360" w:lineRule="auto"/>
        <w:contextualSpacing/>
        <w:jc w:val="both"/>
        <w:rPr>
          <w:rFonts w:ascii="Arial" w:hAnsi="Arial" w:cs="Arial"/>
          <w:sz w:val="24"/>
        </w:rPr>
      </w:pPr>
      <w:r w:rsidRPr="00A407D5">
        <w:rPr>
          <w:rFonts w:ascii="Arial" w:hAnsi="Arial" w:cs="Arial"/>
          <w:b/>
          <w:sz w:val="24"/>
        </w:rPr>
        <w:t>13</w:t>
      </w:r>
      <w:r w:rsidRPr="00F438F7">
        <w:rPr>
          <w:rFonts w:ascii="Arial" w:hAnsi="Arial" w:cs="Arial"/>
          <w:sz w:val="24"/>
        </w:rPr>
        <w:t>. Derivado de la revisión a los gastos y contratos, se</w:t>
      </w:r>
      <w:r w:rsidR="00A407D5">
        <w:rPr>
          <w:rFonts w:ascii="Arial" w:hAnsi="Arial" w:cs="Arial"/>
          <w:sz w:val="24"/>
        </w:rPr>
        <w:t xml:space="preserve"> observó que el Ente Público no </w:t>
      </w:r>
      <w:r w:rsidRPr="00F438F7">
        <w:rPr>
          <w:rFonts w:ascii="Arial" w:hAnsi="Arial" w:cs="Arial"/>
          <w:sz w:val="24"/>
        </w:rPr>
        <w:t>registró en su contabilidad un monto de $5,166,344, por me</w:t>
      </w:r>
      <w:r w:rsidR="00A407D5">
        <w:rPr>
          <w:rFonts w:ascii="Arial" w:hAnsi="Arial" w:cs="Arial"/>
          <w:sz w:val="24"/>
        </w:rPr>
        <w:t xml:space="preserve">nsualidades de arrendamientos y </w:t>
      </w:r>
      <w:r w:rsidRPr="00F438F7">
        <w:rPr>
          <w:rFonts w:ascii="Arial" w:hAnsi="Arial" w:cs="Arial"/>
          <w:sz w:val="24"/>
        </w:rPr>
        <w:t>servicios devengados al 31 de diciembre de 2015, incumplien</w:t>
      </w:r>
      <w:r w:rsidR="00A407D5">
        <w:rPr>
          <w:rFonts w:ascii="Arial" w:hAnsi="Arial" w:cs="Arial"/>
          <w:sz w:val="24"/>
        </w:rPr>
        <w:t xml:space="preserve">do lo señalado por el Postulado </w:t>
      </w:r>
      <w:r w:rsidRPr="00F438F7">
        <w:rPr>
          <w:rFonts w:ascii="Arial" w:hAnsi="Arial" w:cs="Arial"/>
          <w:sz w:val="24"/>
        </w:rPr>
        <w:t>número 8) "Devengo Contable" del Acuerdo por el que s</w:t>
      </w:r>
      <w:r w:rsidR="00A407D5">
        <w:rPr>
          <w:rFonts w:ascii="Arial" w:hAnsi="Arial" w:cs="Arial"/>
          <w:sz w:val="24"/>
        </w:rPr>
        <w:t xml:space="preserve">e emiten los postulados básicos </w:t>
      </w:r>
      <w:r w:rsidRPr="00F438F7">
        <w:rPr>
          <w:rFonts w:ascii="Arial" w:hAnsi="Arial" w:cs="Arial"/>
          <w:sz w:val="24"/>
        </w:rPr>
        <w:t>de contabilidad gubernamental, estableciendo su observanci</w:t>
      </w:r>
      <w:r w:rsidR="00A407D5">
        <w:rPr>
          <w:rFonts w:ascii="Arial" w:hAnsi="Arial" w:cs="Arial"/>
          <w:sz w:val="24"/>
        </w:rPr>
        <w:t xml:space="preserve">a obligatoria en el </w:t>
      </w:r>
      <w:r w:rsidR="00A407D5">
        <w:rPr>
          <w:rFonts w:ascii="Arial" w:hAnsi="Arial" w:cs="Arial"/>
          <w:sz w:val="24"/>
        </w:rPr>
        <w:lastRenderedPageBreak/>
        <w:t xml:space="preserve">artículo 7, </w:t>
      </w:r>
      <w:r w:rsidRPr="00F438F7">
        <w:rPr>
          <w:rFonts w:ascii="Arial" w:hAnsi="Arial" w:cs="Arial"/>
          <w:sz w:val="24"/>
        </w:rPr>
        <w:t>en concordancia con el artículo 34 de la Ley General de</w:t>
      </w:r>
      <w:r w:rsidR="00A407D5">
        <w:rPr>
          <w:rFonts w:ascii="Arial" w:hAnsi="Arial" w:cs="Arial"/>
          <w:sz w:val="24"/>
        </w:rPr>
        <w:t xml:space="preserve"> Contabilidad Gubernamental, de </w:t>
      </w:r>
      <w:r w:rsidRPr="00F438F7">
        <w:rPr>
          <w:rFonts w:ascii="Arial" w:hAnsi="Arial" w:cs="Arial"/>
          <w:sz w:val="24"/>
        </w:rPr>
        <w:t>acuerdo a lo siguiente:</w:t>
      </w:r>
    </w:p>
    <w:p w:rsidR="00F438F7" w:rsidRDefault="00F438F7" w:rsidP="00F438F7">
      <w:pPr>
        <w:spacing w:after="0" w:line="360" w:lineRule="auto"/>
        <w:contextualSpacing/>
        <w:jc w:val="both"/>
        <w:rPr>
          <w:rFonts w:ascii="Arial" w:hAnsi="Arial" w:cs="Arial"/>
          <w:sz w:val="24"/>
        </w:rPr>
      </w:pP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2559450"/>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3355" cy="2559450"/>
                    </a:xfrm>
                    <a:prstGeom prst="rect">
                      <a:avLst/>
                    </a:prstGeom>
                    <a:noFill/>
                    <a:ln>
                      <a:noFill/>
                    </a:ln>
                  </pic:spPr>
                </pic:pic>
              </a:graphicData>
            </a:graphic>
          </wp:inline>
        </w:drawing>
      </w:r>
    </w:p>
    <w:p w:rsidR="00F438F7" w:rsidRDefault="00F438F7"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Análisis de la Auditoría Superior del Estado</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Se analizó la respuesta y documentación presentada por el En</w:t>
      </w:r>
      <w:r w:rsidR="00A407D5">
        <w:rPr>
          <w:rFonts w:ascii="Arial" w:hAnsi="Arial" w:cs="Arial"/>
          <w:sz w:val="24"/>
        </w:rPr>
        <w:t xml:space="preserve">te Público, la cual se solventa </w:t>
      </w:r>
      <w:r w:rsidRPr="00F438F7">
        <w:rPr>
          <w:rFonts w:ascii="Arial" w:hAnsi="Arial" w:cs="Arial"/>
          <w:sz w:val="24"/>
        </w:rPr>
        <w:t>parcialmente, toda vez que no mostró medidas correctiv</w:t>
      </w:r>
      <w:r w:rsidR="00A407D5">
        <w:rPr>
          <w:rFonts w:ascii="Arial" w:hAnsi="Arial" w:cs="Arial"/>
          <w:sz w:val="24"/>
        </w:rPr>
        <w:t xml:space="preserve">as para registrar de acuerdo al </w:t>
      </w:r>
      <w:r w:rsidRPr="00F438F7">
        <w:rPr>
          <w:rFonts w:ascii="Arial" w:hAnsi="Arial" w:cs="Arial"/>
          <w:sz w:val="24"/>
        </w:rPr>
        <w:t>Postulado básico "Devengo contable".</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A407D5" w:rsidRDefault="00A407D5" w:rsidP="00F438F7">
      <w:pPr>
        <w:spacing w:after="0" w:line="360" w:lineRule="auto"/>
        <w:contextualSpacing/>
        <w:jc w:val="both"/>
        <w:rPr>
          <w:rFonts w:ascii="Arial" w:hAnsi="Arial" w:cs="Arial"/>
          <w:sz w:val="24"/>
        </w:rPr>
      </w:pPr>
    </w:p>
    <w:p w:rsidR="00F438F7" w:rsidRDefault="00F438F7" w:rsidP="00F438F7">
      <w:pPr>
        <w:spacing w:after="0" w:line="360" w:lineRule="auto"/>
        <w:contextualSpacing/>
        <w:jc w:val="both"/>
        <w:rPr>
          <w:rFonts w:ascii="Arial" w:hAnsi="Arial" w:cs="Arial"/>
          <w:sz w:val="24"/>
        </w:rPr>
      </w:pPr>
      <w:r w:rsidRPr="00A407D5">
        <w:rPr>
          <w:rFonts w:ascii="Arial" w:hAnsi="Arial" w:cs="Arial"/>
          <w:b/>
          <w:sz w:val="24"/>
        </w:rPr>
        <w:t>14.</w:t>
      </w:r>
      <w:r w:rsidRPr="00F438F7">
        <w:rPr>
          <w:rFonts w:ascii="Arial" w:hAnsi="Arial" w:cs="Arial"/>
          <w:sz w:val="24"/>
        </w:rPr>
        <w:t xml:space="preserve"> En el ejercicio 2015, el Ente Público registró gastos por</w:t>
      </w:r>
      <w:r w:rsidR="00A407D5">
        <w:rPr>
          <w:rFonts w:ascii="Arial" w:hAnsi="Arial" w:cs="Arial"/>
          <w:sz w:val="24"/>
        </w:rPr>
        <w:t xml:space="preserve"> arrendamientos y servicios por </w:t>
      </w:r>
      <w:r w:rsidRPr="00F438F7">
        <w:rPr>
          <w:rFonts w:ascii="Arial" w:hAnsi="Arial" w:cs="Arial"/>
          <w:sz w:val="24"/>
        </w:rPr>
        <w:t>$937,521, observando que debió afectar a resultados de ejerci</w:t>
      </w:r>
      <w:r w:rsidR="00A407D5">
        <w:rPr>
          <w:rFonts w:ascii="Arial" w:hAnsi="Arial" w:cs="Arial"/>
          <w:sz w:val="24"/>
        </w:rPr>
        <w:t xml:space="preserve">cios anteriores por tratarse de </w:t>
      </w:r>
      <w:r w:rsidRPr="00F438F7">
        <w:rPr>
          <w:rFonts w:ascii="Arial" w:hAnsi="Arial" w:cs="Arial"/>
          <w:sz w:val="24"/>
        </w:rPr>
        <w:t xml:space="preserve">arrendamientos y servicios </w:t>
      </w:r>
      <w:r w:rsidRPr="00F438F7">
        <w:rPr>
          <w:rFonts w:ascii="Arial" w:hAnsi="Arial" w:cs="Arial"/>
          <w:sz w:val="24"/>
        </w:rPr>
        <w:lastRenderedPageBreak/>
        <w:t>proporcionados en el ejercicio 201</w:t>
      </w:r>
      <w:r w:rsidR="00A407D5">
        <w:rPr>
          <w:rFonts w:ascii="Arial" w:hAnsi="Arial" w:cs="Arial"/>
          <w:sz w:val="24"/>
        </w:rPr>
        <w:t xml:space="preserve">4, lo anterior en contravención </w:t>
      </w:r>
      <w:r w:rsidRPr="00F438F7">
        <w:rPr>
          <w:rFonts w:ascii="Arial" w:hAnsi="Arial" w:cs="Arial"/>
          <w:sz w:val="24"/>
        </w:rPr>
        <w:t>a lo señalado por el postulado número 8) "Devengo C</w:t>
      </w:r>
      <w:r w:rsidR="00A407D5">
        <w:rPr>
          <w:rFonts w:ascii="Arial" w:hAnsi="Arial" w:cs="Arial"/>
          <w:sz w:val="24"/>
        </w:rPr>
        <w:t xml:space="preserve">ontable" del Acuerdo por el que </w:t>
      </w:r>
      <w:r w:rsidRPr="00F438F7">
        <w:rPr>
          <w:rFonts w:ascii="Arial" w:hAnsi="Arial" w:cs="Arial"/>
          <w:sz w:val="24"/>
        </w:rPr>
        <w:t>se emiten los postulados básicos de contabilidad gubernam</w:t>
      </w:r>
      <w:r w:rsidR="00A407D5">
        <w:rPr>
          <w:rFonts w:ascii="Arial" w:hAnsi="Arial" w:cs="Arial"/>
          <w:sz w:val="24"/>
        </w:rPr>
        <w:t xml:space="preserve">ental y al capítulo III plan de </w:t>
      </w:r>
      <w:r w:rsidRPr="00F438F7">
        <w:rPr>
          <w:rFonts w:ascii="Arial" w:hAnsi="Arial" w:cs="Arial"/>
          <w:sz w:val="24"/>
        </w:rPr>
        <w:t>cuentas (codificación 3.2.5) del Manual de contabilidad gubernamental, estableciendo su</w:t>
      </w:r>
      <w:r w:rsidR="00A407D5">
        <w:rPr>
          <w:rFonts w:ascii="Arial" w:hAnsi="Arial" w:cs="Arial"/>
          <w:sz w:val="24"/>
        </w:rPr>
        <w:t xml:space="preserve"> </w:t>
      </w:r>
      <w:r w:rsidRPr="00F438F7">
        <w:rPr>
          <w:rFonts w:ascii="Arial" w:hAnsi="Arial" w:cs="Arial"/>
          <w:sz w:val="24"/>
        </w:rPr>
        <w:t>observancia obligatoria, de conformidad con el artículo 7, en concordancia con el artículo</w:t>
      </w:r>
      <w:r w:rsidR="00A407D5">
        <w:rPr>
          <w:rFonts w:ascii="Arial" w:hAnsi="Arial" w:cs="Arial"/>
          <w:sz w:val="24"/>
        </w:rPr>
        <w:t xml:space="preserve"> </w:t>
      </w:r>
      <w:r w:rsidRPr="00F438F7">
        <w:rPr>
          <w:rFonts w:ascii="Arial" w:hAnsi="Arial" w:cs="Arial"/>
          <w:sz w:val="24"/>
        </w:rPr>
        <w:t>34 de la Ley General de Contabilidad Gubernamental, de acuerdo a lo siguiente:</w:t>
      </w: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897378"/>
            <wp:effectExtent l="0" t="0" r="444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3355" cy="1897378"/>
                    </a:xfrm>
                    <a:prstGeom prst="rect">
                      <a:avLst/>
                    </a:prstGeom>
                    <a:noFill/>
                    <a:ln>
                      <a:noFill/>
                    </a:ln>
                  </pic:spPr>
                </pic:pic>
              </a:graphicData>
            </a:graphic>
          </wp:inline>
        </w:drawing>
      </w: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2655013"/>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3355" cy="2655013"/>
                    </a:xfrm>
                    <a:prstGeom prst="rect">
                      <a:avLst/>
                    </a:prstGeom>
                    <a:noFill/>
                    <a:ln>
                      <a:noFill/>
                    </a:ln>
                  </pic:spPr>
                </pic:pic>
              </a:graphicData>
            </a:graphic>
          </wp:inline>
        </w:drawing>
      </w: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lastRenderedPageBreak/>
        <w:t>Análisis de la Auditoría Superior del Estado</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Se analizó la respuesta y documentación presentada por el En</w:t>
      </w:r>
      <w:r w:rsidR="00A407D5">
        <w:rPr>
          <w:rFonts w:ascii="Arial" w:hAnsi="Arial" w:cs="Arial"/>
          <w:sz w:val="24"/>
        </w:rPr>
        <w:t xml:space="preserve">te Público, la cual se solventa </w:t>
      </w:r>
      <w:r w:rsidRPr="00F438F7">
        <w:rPr>
          <w:rFonts w:ascii="Arial" w:hAnsi="Arial" w:cs="Arial"/>
          <w:sz w:val="24"/>
        </w:rPr>
        <w:t>parcialmente, ya que aunque aclara que dicho registro no</w:t>
      </w:r>
      <w:r w:rsidR="00A407D5">
        <w:rPr>
          <w:rFonts w:ascii="Arial" w:hAnsi="Arial" w:cs="Arial"/>
          <w:sz w:val="24"/>
        </w:rPr>
        <w:t xml:space="preserve"> generó afectación alguna en el </w:t>
      </w:r>
      <w:r w:rsidRPr="00F438F7">
        <w:rPr>
          <w:rFonts w:ascii="Arial" w:hAnsi="Arial" w:cs="Arial"/>
          <w:sz w:val="24"/>
        </w:rPr>
        <w:t>resultado final del ejercicio, no mostró evidencia de las me</w:t>
      </w:r>
      <w:r w:rsidR="00A407D5">
        <w:rPr>
          <w:rFonts w:ascii="Arial" w:hAnsi="Arial" w:cs="Arial"/>
          <w:sz w:val="24"/>
        </w:rPr>
        <w:t xml:space="preserve">didas correctivas a implementar </w:t>
      </w:r>
      <w:r w:rsidRPr="00F438F7">
        <w:rPr>
          <w:rFonts w:ascii="Arial" w:hAnsi="Arial" w:cs="Arial"/>
          <w:sz w:val="24"/>
        </w:rPr>
        <w:t>para registrar de acuerdo al plan de cuentas.</w:t>
      </w:r>
    </w:p>
    <w:p w:rsidR="00A407D5" w:rsidRDefault="00A407D5" w:rsidP="00F438F7">
      <w:pPr>
        <w:spacing w:after="0" w:line="360" w:lineRule="auto"/>
        <w:contextualSpacing/>
        <w:jc w:val="both"/>
        <w:rPr>
          <w:rFonts w:ascii="Arial" w:hAnsi="Arial" w:cs="Arial"/>
          <w:sz w:val="24"/>
        </w:rPr>
      </w:pP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F438F7" w:rsidRDefault="00F438F7"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u w:val="single"/>
        </w:rPr>
      </w:pPr>
      <w:r w:rsidRPr="00A407D5">
        <w:rPr>
          <w:rFonts w:ascii="Arial" w:hAnsi="Arial" w:cs="Arial"/>
          <w:b/>
          <w:sz w:val="24"/>
          <w:u w:val="single"/>
        </w:rPr>
        <w:t>Servicios de instalación, reparación, mantenimiento y conservación</w:t>
      </w:r>
    </w:p>
    <w:p w:rsidR="00F438F7" w:rsidRDefault="00F438F7" w:rsidP="00F438F7">
      <w:pPr>
        <w:spacing w:after="0" w:line="360" w:lineRule="auto"/>
        <w:contextualSpacing/>
        <w:jc w:val="both"/>
        <w:rPr>
          <w:rFonts w:ascii="Arial" w:hAnsi="Arial" w:cs="Arial"/>
          <w:sz w:val="24"/>
        </w:rPr>
      </w:pPr>
      <w:r w:rsidRPr="00A407D5">
        <w:rPr>
          <w:rFonts w:ascii="Arial" w:hAnsi="Arial" w:cs="Arial"/>
          <w:b/>
          <w:sz w:val="24"/>
        </w:rPr>
        <w:t>15.</w:t>
      </w:r>
      <w:r w:rsidRPr="00F438F7">
        <w:rPr>
          <w:rFonts w:ascii="Arial" w:hAnsi="Arial" w:cs="Arial"/>
          <w:sz w:val="24"/>
        </w:rPr>
        <w:t xml:space="preserve"> De la revisión a la clasificación contable de los gastos, se observó que se registró en</w:t>
      </w:r>
      <w:r w:rsidR="00A407D5">
        <w:rPr>
          <w:rFonts w:ascii="Arial" w:hAnsi="Arial" w:cs="Arial"/>
          <w:sz w:val="24"/>
        </w:rPr>
        <w:t xml:space="preserve"> </w:t>
      </w:r>
      <w:r w:rsidRPr="00F438F7">
        <w:rPr>
          <w:rFonts w:ascii="Arial" w:hAnsi="Arial" w:cs="Arial"/>
          <w:sz w:val="24"/>
        </w:rPr>
        <w:t>la cuenta de servicios generales (mantenimiento de eq</w:t>
      </w:r>
      <w:r w:rsidR="00A407D5">
        <w:rPr>
          <w:rFonts w:ascii="Arial" w:hAnsi="Arial" w:cs="Arial"/>
          <w:sz w:val="24"/>
        </w:rPr>
        <w:t xml:space="preserve">uipo de cómputo) el servicio de </w:t>
      </w:r>
      <w:r w:rsidRPr="00F438F7">
        <w:rPr>
          <w:rFonts w:ascii="Arial" w:hAnsi="Arial" w:cs="Arial"/>
          <w:sz w:val="24"/>
        </w:rPr>
        <w:t>licenciamiento de equipo de cómputo (facturas 9822</w:t>
      </w:r>
      <w:r w:rsidR="00A407D5">
        <w:rPr>
          <w:rFonts w:ascii="Arial" w:hAnsi="Arial" w:cs="Arial"/>
          <w:sz w:val="24"/>
        </w:rPr>
        <w:t xml:space="preserve">685419, 9822680878 y 9822680879 </w:t>
      </w:r>
      <w:r w:rsidRPr="00F438F7">
        <w:rPr>
          <w:rFonts w:ascii="Arial" w:hAnsi="Arial" w:cs="Arial"/>
          <w:sz w:val="24"/>
        </w:rPr>
        <w:t xml:space="preserve">de Microsoft </w:t>
      </w:r>
      <w:proofErr w:type="spellStart"/>
      <w:r w:rsidRPr="00F438F7">
        <w:rPr>
          <w:rFonts w:ascii="Arial" w:hAnsi="Arial" w:cs="Arial"/>
          <w:sz w:val="24"/>
        </w:rPr>
        <w:t>Licensing</w:t>
      </w:r>
      <w:proofErr w:type="spellEnd"/>
      <w:r w:rsidRPr="00F438F7">
        <w:rPr>
          <w:rFonts w:ascii="Arial" w:hAnsi="Arial" w:cs="Arial"/>
          <w:sz w:val="24"/>
        </w:rPr>
        <w:t xml:space="preserve">, GP) por $4,891,505, mismos que </w:t>
      </w:r>
      <w:r w:rsidR="00A407D5">
        <w:rPr>
          <w:rFonts w:ascii="Arial" w:hAnsi="Arial" w:cs="Arial"/>
          <w:sz w:val="24"/>
        </w:rPr>
        <w:t xml:space="preserve">debieron registrarse en activos </w:t>
      </w:r>
      <w:r w:rsidRPr="00F438F7">
        <w:rPr>
          <w:rFonts w:ascii="Arial" w:hAnsi="Arial" w:cs="Arial"/>
          <w:sz w:val="24"/>
        </w:rPr>
        <w:t>intangibles, contraviniendo lo señalado en el capítulo III plan</w:t>
      </w:r>
      <w:r w:rsidR="00A407D5">
        <w:rPr>
          <w:rFonts w:ascii="Arial" w:hAnsi="Arial" w:cs="Arial"/>
          <w:sz w:val="24"/>
        </w:rPr>
        <w:t xml:space="preserve"> de cuentas (codificación1.2.5) </w:t>
      </w:r>
      <w:r w:rsidRPr="00F438F7">
        <w:rPr>
          <w:rFonts w:ascii="Arial" w:hAnsi="Arial" w:cs="Arial"/>
          <w:sz w:val="24"/>
        </w:rPr>
        <w:t>del Manual de contabilidad gubernamental, estableciéndose</w:t>
      </w:r>
      <w:r w:rsidR="00A407D5">
        <w:rPr>
          <w:rFonts w:ascii="Arial" w:hAnsi="Arial" w:cs="Arial"/>
          <w:sz w:val="24"/>
        </w:rPr>
        <w:t xml:space="preserve"> su observancia obligatoria, de </w:t>
      </w:r>
      <w:r w:rsidRPr="00F438F7">
        <w:rPr>
          <w:rFonts w:ascii="Arial" w:hAnsi="Arial" w:cs="Arial"/>
          <w:sz w:val="24"/>
        </w:rPr>
        <w:t>conformidad con el artículo 7 de la Ley General de Contabilidad Gubernamental.</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Análisis de la Auditoría Superior del Estado</w:t>
      </w:r>
    </w:p>
    <w:p w:rsidR="00F438F7" w:rsidRDefault="00F438F7" w:rsidP="00F438F7">
      <w:pPr>
        <w:spacing w:after="0" w:line="360" w:lineRule="auto"/>
        <w:contextualSpacing/>
        <w:jc w:val="both"/>
        <w:rPr>
          <w:rFonts w:ascii="Arial" w:hAnsi="Arial" w:cs="Arial"/>
          <w:sz w:val="24"/>
        </w:rPr>
      </w:pPr>
      <w:r w:rsidRPr="00F438F7">
        <w:rPr>
          <w:rFonts w:ascii="Arial" w:hAnsi="Arial" w:cs="Arial"/>
          <w:sz w:val="24"/>
        </w:rPr>
        <w:lastRenderedPageBreak/>
        <w:t xml:space="preserve">Se analizó la respuesta y documentación presentada </w:t>
      </w:r>
      <w:r w:rsidR="00A407D5">
        <w:rPr>
          <w:rFonts w:ascii="Arial" w:hAnsi="Arial" w:cs="Arial"/>
          <w:sz w:val="24"/>
        </w:rPr>
        <w:t xml:space="preserve">por el Ente Público, la cual se </w:t>
      </w:r>
      <w:r w:rsidRPr="00F438F7">
        <w:rPr>
          <w:rFonts w:ascii="Arial" w:hAnsi="Arial" w:cs="Arial"/>
          <w:sz w:val="24"/>
        </w:rPr>
        <w:t>solventa parcialmente, toda vez que a partir del ejercicio 2016 se contempla clasificar com</w:t>
      </w:r>
      <w:r w:rsidR="00A407D5">
        <w:rPr>
          <w:rFonts w:ascii="Arial" w:hAnsi="Arial" w:cs="Arial"/>
          <w:sz w:val="24"/>
        </w:rPr>
        <w:t xml:space="preserve">o </w:t>
      </w:r>
      <w:r w:rsidRPr="00F438F7">
        <w:rPr>
          <w:rFonts w:ascii="Arial" w:hAnsi="Arial" w:cs="Arial"/>
          <w:sz w:val="24"/>
        </w:rPr>
        <w:t>arrendamiento de activos intangibles.</w:t>
      </w:r>
    </w:p>
    <w:p w:rsidR="00A407D5" w:rsidRDefault="00A407D5"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Cabe señalar lo siguiente:</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El Acuerdo por el que se emiten las reglas específicas del regis</w:t>
      </w:r>
      <w:r w:rsidR="00A407D5">
        <w:rPr>
          <w:rFonts w:ascii="Arial" w:hAnsi="Arial" w:cs="Arial"/>
          <w:sz w:val="24"/>
        </w:rPr>
        <w:t xml:space="preserve">tro y valoración del patrimonio </w:t>
      </w:r>
      <w:r w:rsidRPr="00F438F7">
        <w:rPr>
          <w:rFonts w:ascii="Arial" w:hAnsi="Arial" w:cs="Arial"/>
          <w:sz w:val="24"/>
        </w:rPr>
        <w:t>(inciso B - punto 3-Activos intangibles) señala en el punto 3.</w:t>
      </w:r>
      <w:r w:rsidR="00A407D5">
        <w:rPr>
          <w:rFonts w:ascii="Arial" w:hAnsi="Arial" w:cs="Arial"/>
          <w:sz w:val="24"/>
        </w:rPr>
        <w:t xml:space="preserve">5 aplicaciones informáticas que </w:t>
      </w:r>
      <w:r w:rsidRPr="00F438F7">
        <w:rPr>
          <w:rFonts w:ascii="Arial" w:hAnsi="Arial" w:cs="Arial"/>
          <w:sz w:val="24"/>
        </w:rPr>
        <w:t>se incluirá en el activo el importe reconocido por los progra</w:t>
      </w:r>
      <w:r w:rsidR="00A407D5">
        <w:rPr>
          <w:rFonts w:ascii="Arial" w:hAnsi="Arial" w:cs="Arial"/>
          <w:sz w:val="24"/>
        </w:rPr>
        <w:t xml:space="preserve">mas informáticos, el derecho al </w:t>
      </w:r>
      <w:r w:rsidRPr="00F438F7">
        <w:rPr>
          <w:rFonts w:ascii="Arial" w:hAnsi="Arial" w:cs="Arial"/>
          <w:sz w:val="24"/>
        </w:rPr>
        <w:t xml:space="preserve">uso de los mismos, o el costo de producción de los elaborados por el </w:t>
      </w:r>
      <w:r w:rsidR="00A407D5">
        <w:rPr>
          <w:rFonts w:ascii="Arial" w:hAnsi="Arial" w:cs="Arial"/>
          <w:sz w:val="24"/>
        </w:rPr>
        <w:t xml:space="preserve">propio ente, cuando </w:t>
      </w:r>
      <w:r w:rsidRPr="00F438F7">
        <w:rPr>
          <w:rFonts w:ascii="Arial" w:hAnsi="Arial" w:cs="Arial"/>
          <w:sz w:val="24"/>
        </w:rPr>
        <w:t>esté prevista su utilización en varios ejercicios, situación q</w:t>
      </w:r>
      <w:r w:rsidR="00A407D5">
        <w:rPr>
          <w:rFonts w:ascii="Arial" w:hAnsi="Arial" w:cs="Arial"/>
          <w:sz w:val="24"/>
        </w:rPr>
        <w:t xml:space="preserve">ue corresponde a la adquisición </w:t>
      </w:r>
      <w:r w:rsidRPr="00F438F7">
        <w:rPr>
          <w:rFonts w:ascii="Arial" w:hAnsi="Arial" w:cs="Arial"/>
          <w:sz w:val="24"/>
        </w:rPr>
        <w:t>efectuada.</w:t>
      </w:r>
    </w:p>
    <w:p w:rsidR="00A407D5" w:rsidRDefault="00F438F7" w:rsidP="00F438F7">
      <w:pPr>
        <w:spacing w:after="0" w:line="360" w:lineRule="auto"/>
        <w:contextualSpacing/>
        <w:jc w:val="both"/>
        <w:rPr>
          <w:rFonts w:ascii="Arial" w:hAnsi="Arial" w:cs="Arial"/>
          <w:sz w:val="24"/>
        </w:rPr>
      </w:pPr>
      <w:r w:rsidRPr="00F438F7">
        <w:rPr>
          <w:rFonts w:ascii="Arial" w:hAnsi="Arial" w:cs="Arial"/>
          <w:sz w:val="24"/>
        </w:rPr>
        <w:t>Además el Acuerdo por el que se emite el clasific</w:t>
      </w:r>
      <w:r w:rsidR="00A407D5">
        <w:rPr>
          <w:rFonts w:ascii="Arial" w:hAnsi="Arial" w:cs="Arial"/>
          <w:sz w:val="24"/>
        </w:rPr>
        <w:t xml:space="preserve">ador por objeto del gasto en su </w:t>
      </w:r>
      <w:r w:rsidRPr="00F438F7">
        <w:rPr>
          <w:rFonts w:ascii="Arial" w:hAnsi="Arial" w:cs="Arial"/>
          <w:sz w:val="24"/>
        </w:rPr>
        <w:t>codificación "597" establece que las licencias informáti</w:t>
      </w:r>
      <w:r w:rsidR="00A407D5">
        <w:rPr>
          <w:rFonts w:ascii="Arial" w:hAnsi="Arial" w:cs="Arial"/>
          <w:sz w:val="24"/>
        </w:rPr>
        <w:t>cas corresponden al concepto de activos intangibles.</w:t>
      </w:r>
    </w:p>
    <w:p w:rsidR="00A407D5" w:rsidRDefault="00A407D5"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Así mismo el contrato celebrado establece el derecho de ac</w:t>
      </w:r>
      <w:r w:rsidR="00A407D5">
        <w:rPr>
          <w:rFonts w:ascii="Arial" w:hAnsi="Arial" w:cs="Arial"/>
          <w:sz w:val="24"/>
        </w:rPr>
        <w:t xml:space="preserve">tualización con una vigencia de </w:t>
      </w:r>
      <w:r w:rsidRPr="00F438F7">
        <w:rPr>
          <w:rFonts w:ascii="Arial" w:hAnsi="Arial" w:cs="Arial"/>
          <w:sz w:val="24"/>
        </w:rPr>
        <w:t>36 meses por lo que el uso de dichas licencias no involucra solo un ejercicio.</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u w:val="single"/>
        </w:rPr>
      </w:pPr>
      <w:r w:rsidRPr="00A407D5">
        <w:rPr>
          <w:rFonts w:ascii="Arial" w:hAnsi="Arial" w:cs="Arial"/>
          <w:b/>
          <w:sz w:val="24"/>
          <w:u w:val="single"/>
        </w:rPr>
        <w:t>Servicios telefónicos</w:t>
      </w:r>
    </w:p>
    <w:p w:rsidR="00F438F7" w:rsidRDefault="00F438F7" w:rsidP="00F438F7">
      <w:pPr>
        <w:spacing w:after="0" w:line="360" w:lineRule="auto"/>
        <w:contextualSpacing/>
        <w:jc w:val="both"/>
        <w:rPr>
          <w:rFonts w:ascii="Arial" w:hAnsi="Arial" w:cs="Arial"/>
          <w:sz w:val="24"/>
        </w:rPr>
      </w:pPr>
      <w:r w:rsidRPr="00A407D5">
        <w:rPr>
          <w:rFonts w:ascii="Arial" w:hAnsi="Arial" w:cs="Arial"/>
          <w:b/>
          <w:sz w:val="24"/>
        </w:rPr>
        <w:lastRenderedPageBreak/>
        <w:t>16.</w:t>
      </w:r>
      <w:r w:rsidRPr="00F438F7">
        <w:rPr>
          <w:rFonts w:ascii="Arial" w:hAnsi="Arial" w:cs="Arial"/>
          <w:sz w:val="24"/>
        </w:rPr>
        <w:t xml:space="preserve"> El Ente Público celebró contrato PJENL/18/2015 por conc</w:t>
      </w:r>
      <w:r w:rsidR="00A407D5">
        <w:rPr>
          <w:rFonts w:ascii="Arial" w:hAnsi="Arial" w:cs="Arial"/>
          <w:sz w:val="24"/>
        </w:rPr>
        <w:t xml:space="preserve">epto de servicios administrados </w:t>
      </w:r>
      <w:r w:rsidRPr="00F438F7">
        <w:rPr>
          <w:rFonts w:ascii="Arial" w:hAnsi="Arial" w:cs="Arial"/>
          <w:sz w:val="24"/>
        </w:rPr>
        <w:t>de telefonía y comunicaciones de fecha 21 de mayo de 2015 con el prov</w:t>
      </w:r>
      <w:r w:rsidR="00A407D5">
        <w:rPr>
          <w:rFonts w:ascii="Arial" w:hAnsi="Arial" w:cs="Arial"/>
          <w:sz w:val="24"/>
        </w:rPr>
        <w:t xml:space="preserve">eedor Axtel, S.A </w:t>
      </w:r>
      <w:r w:rsidRPr="00F438F7">
        <w:rPr>
          <w:rFonts w:ascii="Arial" w:hAnsi="Arial" w:cs="Arial"/>
          <w:sz w:val="24"/>
        </w:rPr>
        <w:t>de C.V. por $3,037,880 a través del procedimiento de a</w:t>
      </w:r>
      <w:r w:rsidR="00A407D5">
        <w:rPr>
          <w:rFonts w:ascii="Arial" w:hAnsi="Arial" w:cs="Arial"/>
          <w:sz w:val="24"/>
        </w:rPr>
        <w:t xml:space="preserve">djudicación directa en términos </w:t>
      </w:r>
      <w:r w:rsidRPr="00F438F7">
        <w:rPr>
          <w:rFonts w:ascii="Arial" w:hAnsi="Arial" w:cs="Arial"/>
          <w:sz w:val="24"/>
        </w:rPr>
        <w:t>de lo dispuesto por el artículo 42 fracción IX de la Ley d</w:t>
      </w:r>
      <w:r w:rsidR="00A407D5">
        <w:rPr>
          <w:rFonts w:ascii="Arial" w:hAnsi="Arial" w:cs="Arial"/>
          <w:sz w:val="24"/>
        </w:rPr>
        <w:t xml:space="preserve">e Adquisiciones, Arrendamientos </w:t>
      </w:r>
      <w:r w:rsidRPr="00F438F7">
        <w:rPr>
          <w:rFonts w:ascii="Arial" w:hAnsi="Arial" w:cs="Arial"/>
          <w:sz w:val="24"/>
        </w:rPr>
        <w:t>y Contratación de Servicios del Estado de Nuevo León, observand</w:t>
      </w:r>
      <w:r w:rsidR="00A407D5">
        <w:rPr>
          <w:rFonts w:ascii="Arial" w:hAnsi="Arial" w:cs="Arial"/>
          <w:sz w:val="24"/>
        </w:rPr>
        <w:t xml:space="preserve">o que la elección de </w:t>
      </w:r>
      <w:r w:rsidRPr="00F438F7">
        <w:rPr>
          <w:rFonts w:ascii="Arial" w:hAnsi="Arial" w:cs="Arial"/>
          <w:sz w:val="24"/>
        </w:rPr>
        <w:t>dicho procedimiento de contratación, no se encuentra just</w:t>
      </w:r>
      <w:r w:rsidR="00A407D5">
        <w:rPr>
          <w:rFonts w:ascii="Arial" w:hAnsi="Arial" w:cs="Arial"/>
          <w:sz w:val="24"/>
        </w:rPr>
        <w:t xml:space="preserve">ificada con la investigación de </w:t>
      </w:r>
      <w:r w:rsidRPr="00F438F7">
        <w:rPr>
          <w:rFonts w:ascii="Arial" w:hAnsi="Arial" w:cs="Arial"/>
          <w:sz w:val="24"/>
        </w:rPr>
        <w:t>mercado que haya servido de base para la selección de</w:t>
      </w:r>
      <w:r w:rsidR="00A407D5">
        <w:rPr>
          <w:rFonts w:ascii="Arial" w:hAnsi="Arial" w:cs="Arial"/>
          <w:sz w:val="24"/>
        </w:rPr>
        <w:t xml:space="preserve">l procedimiento de contratación </w:t>
      </w:r>
      <w:r w:rsidRPr="00F438F7">
        <w:rPr>
          <w:rFonts w:ascii="Arial" w:hAnsi="Arial" w:cs="Arial"/>
          <w:sz w:val="24"/>
        </w:rPr>
        <w:t>y determinación del precio máximo de referencia conforme a lo</w:t>
      </w:r>
      <w:r w:rsidR="00A407D5">
        <w:rPr>
          <w:rFonts w:ascii="Arial" w:hAnsi="Arial" w:cs="Arial"/>
          <w:sz w:val="24"/>
        </w:rPr>
        <w:t xml:space="preserve"> establecido en el artículo </w:t>
      </w:r>
      <w:r w:rsidRPr="00F438F7">
        <w:rPr>
          <w:rFonts w:ascii="Arial" w:hAnsi="Arial" w:cs="Arial"/>
          <w:sz w:val="24"/>
        </w:rPr>
        <w:t>26 de la Ley en mención en concordancia con los artícul</w:t>
      </w:r>
      <w:r w:rsidR="00A407D5">
        <w:rPr>
          <w:rFonts w:ascii="Arial" w:hAnsi="Arial" w:cs="Arial"/>
          <w:sz w:val="24"/>
        </w:rPr>
        <w:t xml:space="preserve">os 42 al 46 segundo párrafo del </w:t>
      </w:r>
      <w:r w:rsidRPr="00F438F7">
        <w:rPr>
          <w:rFonts w:ascii="Arial" w:hAnsi="Arial" w:cs="Arial"/>
          <w:sz w:val="24"/>
        </w:rPr>
        <w:t xml:space="preserve">Reglamento de la Ley de Adquisiciones, Arrendamientos </w:t>
      </w:r>
      <w:r w:rsidR="00A407D5">
        <w:rPr>
          <w:rFonts w:ascii="Arial" w:hAnsi="Arial" w:cs="Arial"/>
          <w:sz w:val="24"/>
        </w:rPr>
        <w:t xml:space="preserve">y Contratación de Servicios del </w:t>
      </w:r>
      <w:r w:rsidRPr="00F438F7">
        <w:rPr>
          <w:rFonts w:ascii="Arial" w:hAnsi="Arial" w:cs="Arial"/>
          <w:sz w:val="24"/>
        </w:rPr>
        <w:t>Estado de Nuevo León.</w:t>
      </w:r>
    </w:p>
    <w:p w:rsidR="00A407D5" w:rsidRDefault="00A407D5" w:rsidP="00F438F7">
      <w:pPr>
        <w:spacing w:after="0" w:line="360" w:lineRule="auto"/>
        <w:contextualSpacing/>
        <w:jc w:val="both"/>
        <w:rPr>
          <w:rFonts w:ascii="Arial" w:hAnsi="Arial" w:cs="Arial"/>
          <w:sz w:val="24"/>
        </w:rPr>
      </w:pPr>
    </w:p>
    <w:p w:rsidR="00A407D5" w:rsidRDefault="00A407D5" w:rsidP="00F438F7">
      <w:pPr>
        <w:spacing w:after="0" w:line="360" w:lineRule="auto"/>
        <w:contextualSpacing/>
        <w:jc w:val="both"/>
        <w:rPr>
          <w:rFonts w:ascii="Arial" w:hAnsi="Arial" w:cs="Arial"/>
          <w:sz w:val="24"/>
        </w:rPr>
      </w:pP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Análisis de la Auditoría Superior del Estado</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 xml:space="preserve">Se analizó la respuesta y documentación proporcionada </w:t>
      </w:r>
      <w:r w:rsidR="00A407D5">
        <w:rPr>
          <w:rFonts w:ascii="Arial" w:hAnsi="Arial" w:cs="Arial"/>
          <w:sz w:val="24"/>
        </w:rPr>
        <w:t xml:space="preserve">por el Ente Público, la cual se </w:t>
      </w:r>
      <w:r w:rsidRPr="00F438F7">
        <w:rPr>
          <w:rFonts w:ascii="Arial" w:hAnsi="Arial" w:cs="Arial"/>
          <w:sz w:val="24"/>
        </w:rPr>
        <w:t>solventa parcialmente, toda vez que no presentó la in</w:t>
      </w:r>
      <w:r w:rsidR="00A407D5">
        <w:rPr>
          <w:rFonts w:ascii="Arial" w:hAnsi="Arial" w:cs="Arial"/>
          <w:sz w:val="24"/>
        </w:rPr>
        <w:t xml:space="preserve">vestigación de mercado que haya </w:t>
      </w:r>
      <w:r w:rsidRPr="00F438F7">
        <w:rPr>
          <w:rFonts w:ascii="Arial" w:hAnsi="Arial" w:cs="Arial"/>
          <w:sz w:val="24"/>
        </w:rPr>
        <w:t>servido de base para la selección del procedimiento de c</w:t>
      </w:r>
      <w:r w:rsidR="00A407D5">
        <w:rPr>
          <w:rFonts w:ascii="Arial" w:hAnsi="Arial" w:cs="Arial"/>
          <w:sz w:val="24"/>
        </w:rPr>
        <w:t xml:space="preserve">ontratación y determinación del </w:t>
      </w:r>
      <w:r w:rsidRPr="00F438F7">
        <w:rPr>
          <w:rFonts w:ascii="Arial" w:hAnsi="Arial" w:cs="Arial"/>
          <w:sz w:val="24"/>
        </w:rPr>
        <w:t>precio máximo de referencia.</w:t>
      </w:r>
    </w:p>
    <w:p w:rsidR="00A407D5" w:rsidRDefault="00A407D5"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 xml:space="preserve">Cabe señalar que la adjudicación fue realizada en términos </w:t>
      </w:r>
      <w:r w:rsidR="00A407D5">
        <w:rPr>
          <w:rFonts w:ascii="Arial" w:hAnsi="Arial" w:cs="Arial"/>
          <w:sz w:val="24"/>
        </w:rPr>
        <w:t xml:space="preserve">de lo dispuesto por el artículo </w:t>
      </w:r>
      <w:r w:rsidRPr="00F438F7">
        <w:rPr>
          <w:rFonts w:ascii="Arial" w:hAnsi="Arial" w:cs="Arial"/>
          <w:sz w:val="24"/>
        </w:rPr>
        <w:t xml:space="preserve">42 fracción IX de la Ley de Adquisiciones, Arrendamientos </w:t>
      </w:r>
      <w:r w:rsidR="00A407D5">
        <w:rPr>
          <w:rFonts w:ascii="Arial" w:hAnsi="Arial" w:cs="Arial"/>
          <w:sz w:val="24"/>
        </w:rPr>
        <w:t xml:space="preserve">y Contratación de Servicios del </w:t>
      </w:r>
      <w:r w:rsidRPr="00F438F7">
        <w:rPr>
          <w:rFonts w:ascii="Arial" w:hAnsi="Arial" w:cs="Arial"/>
          <w:sz w:val="24"/>
        </w:rPr>
        <w:t xml:space="preserve">Estado de Nuevo León, por lo que dicha </w:t>
      </w:r>
      <w:r w:rsidRPr="00F438F7">
        <w:rPr>
          <w:rFonts w:ascii="Arial" w:hAnsi="Arial" w:cs="Arial"/>
          <w:sz w:val="24"/>
        </w:rPr>
        <w:lastRenderedPageBreak/>
        <w:t>fracción no la exime de cump</w:t>
      </w:r>
      <w:r w:rsidR="00A407D5">
        <w:rPr>
          <w:rFonts w:ascii="Arial" w:hAnsi="Arial" w:cs="Arial"/>
          <w:sz w:val="24"/>
        </w:rPr>
        <w:t xml:space="preserve">lir con lo señalado </w:t>
      </w:r>
      <w:r w:rsidRPr="00F438F7">
        <w:rPr>
          <w:rFonts w:ascii="Arial" w:hAnsi="Arial" w:cs="Arial"/>
          <w:sz w:val="24"/>
        </w:rPr>
        <w:t xml:space="preserve">en la observación, dado que no se encuentra dentro de </w:t>
      </w:r>
      <w:r w:rsidR="00A407D5">
        <w:rPr>
          <w:rFonts w:ascii="Arial" w:hAnsi="Arial" w:cs="Arial"/>
          <w:sz w:val="24"/>
        </w:rPr>
        <w:t xml:space="preserve">las excepciones del artículo 46 </w:t>
      </w:r>
      <w:r w:rsidRPr="00F438F7">
        <w:rPr>
          <w:rFonts w:ascii="Arial" w:hAnsi="Arial" w:cs="Arial"/>
          <w:sz w:val="24"/>
        </w:rPr>
        <w:t>primer párrafo del Reglamento de la Ley de Adquisiciones</w:t>
      </w:r>
      <w:r w:rsidR="00A407D5">
        <w:rPr>
          <w:rFonts w:ascii="Arial" w:hAnsi="Arial" w:cs="Arial"/>
          <w:sz w:val="24"/>
        </w:rPr>
        <w:t xml:space="preserve">, Arrendamientos y Contratación </w:t>
      </w:r>
      <w:r w:rsidRPr="00F438F7">
        <w:rPr>
          <w:rFonts w:ascii="Arial" w:hAnsi="Arial" w:cs="Arial"/>
          <w:sz w:val="24"/>
        </w:rPr>
        <w:t>de Servicios del Estado de Nuevo León.</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rPr>
      </w:pPr>
      <w:r w:rsidRPr="00A407D5">
        <w:rPr>
          <w:rFonts w:ascii="Arial" w:hAnsi="Arial" w:cs="Arial"/>
          <w:b/>
          <w:sz w:val="24"/>
        </w:rPr>
        <w:t>Acción(es) o recomendación(es) emitida(s)</w:t>
      </w:r>
    </w:p>
    <w:p w:rsidR="00F438F7" w:rsidRPr="00A407D5" w:rsidRDefault="00F438F7" w:rsidP="00F438F7">
      <w:pPr>
        <w:spacing w:after="0" w:line="360" w:lineRule="auto"/>
        <w:contextualSpacing/>
        <w:jc w:val="both"/>
        <w:rPr>
          <w:rFonts w:ascii="Arial" w:hAnsi="Arial" w:cs="Arial"/>
          <w:i/>
          <w:sz w:val="24"/>
        </w:rPr>
      </w:pPr>
      <w:r w:rsidRPr="00A407D5">
        <w:rPr>
          <w:rFonts w:ascii="Arial" w:hAnsi="Arial" w:cs="Arial"/>
          <w:i/>
          <w:sz w:val="24"/>
        </w:rPr>
        <w:t xml:space="preserve">Promoción de </w:t>
      </w:r>
      <w:proofErr w:type="spellStart"/>
      <w:r w:rsidRPr="00A407D5">
        <w:rPr>
          <w:rFonts w:ascii="Arial" w:hAnsi="Arial" w:cs="Arial"/>
          <w:i/>
          <w:sz w:val="24"/>
        </w:rPr>
        <w:t>Fincamiento</w:t>
      </w:r>
      <w:proofErr w:type="spellEnd"/>
      <w:r w:rsidRPr="00A407D5">
        <w:rPr>
          <w:rFonts w:ascii="Arial" w:hAnsi="Arial" w:cs="Arial"/>
          <w:i/>
          <w:sz w:val="24"/>
        </w:rPr>
        <w:t xml:space="preserve"> de Responsabilidad Administrativa.</w:t>
      </w:r>
    </w:p>
    <w:p w:rsidR="00A407D5" w:rsidRDefault="00A407D5" w:rsidP="00F438F7">
      <w:pPr>
        <w:spacing w:after="0" w:line="360" w:lineRule="auto"/>
        <w:contextualSpacing/>
        <w:jc w:val="both"/>
        <w:rPr>
          <w:rFonts w:ascii="Arial" w:hAnsi="Arial" w:cs="Arial"/>
          <w:sz w:val="24"/>
        </w:rPr>
      </w:pPr>
    </w:p>
    <w:p w:rsidR="00F438F7" w:rsidRPr="00A407D5" w:rsidRDefault="00F438F7" w:rsidP="00F438F7">
      <w:pPr>
        <w:spacing w:after="0" w:line="360" w:lineRule="auto"/>
        <w:contextualSpacing/>
        <w:jc w:val="both"/>
        <w:rPr>
          <w:rFonts w:ascii="Arial" w:hAnsi="Arial" w:cs="Arial"/>
          <w:b/>
          <w:sz w:val="24"/>
          <w:u w:val="single"/>
        </w:rPr>
      </w:pPr>
      <w:r w:rsidRPr="00A407D5">
        <w:rPr>
          <w:rFonts w:ascii="Arial" w:hAnsi="Arial" w:cs="Arial"/>
          <w:b/>
          <w:sz w:val="24"/>
          <w:u w:val="single"/>
        </w:rPr>
        <w:t>Servicios personales</w:t>
      </w:r>
    </w:p>
    <w:p w:rsidR="00F438F7" w:rsidRPr="00A407D5" w:rsidRDefault="00F438F7" w:rsidP="00F438F7">
      <w:pPr>
        <w:spacing w:after="0" w:line="360" w:lineRule="auto"/>
        <w:contextualSpacing/>
        <w:jc w:val="both"/>
        <w:rPr>
          <w:rFonts w:ascii="Arial" w:hAnsi="Arial" w:cs="Arial"/>
          <w:b/>
          <w:sz w:val="24"/>
          <w:u w:val="single"/>
        </w:rPr>
      </w:pPr>
      <w:r w:rsidRPr="00A407D5">
        <w:rPr>
          <w:rFonts w:ascii="Arial" w:hAnsi="Arial" w:cs="Arial"/>
          <w:b/>
          <w:sz w:val="24"/>
          <w:u w:val="single"/>
        </w:rPr>
        <w:t>Apoyo guardería y preescolar</w:t>
      </w:r>
    </w:p>
    <w:p w:rsidR="00F438F7" w:rsidRDefault="00F438F7" w:rsidP="00F438F7">
      <w:pPr>
        <w:spacing w:after="0" w:line="360" w:lineRule="auto"/>
        <w:contextualSpacing/>
        <w:jc w:val="both"/>
        <w:rPr>
          <w:rFonts w:ascii="Arial" w:hAnsi="Arial" w:cs="Arial"/>
          <w:sz w:val="24"/>
        </w:rPr>
      </w:pPr>
      <w:r w:rsidRPr="00A407D5">
        <w:rPr>
          <w:rFonts w:ascii="Arial" w:hAnsi="Arial" w:cs="Arial"/>
          <w:b/>
          <w:sz w:val="24"/>
        </w:rPr>
        <w:t>17.</w:t>
      </w:r>
      <w:r w:rsidRPr="00F438F7">
        <w:rPr>
          <w:rFonts w:ascii="Arial" w:hAnsi="Arial" w:cs="Arial"/>
          <w:sz w:val="24"/>
        </w:rPr>
        <w:t xml:space="preserve"> En el ejercicio 2015 el Ente Público entregó a diverso pers</w:t>
      </w:r>
      <w:r w:rsidR="00A407D5">
        <w:rPr>
          <w:rFonts w:ascii="Arial" w:hAnsi="Arial" w:cs="Arial"/>
          <w:sz w:val="24"/>
        </w:rPr>
        <w:t xml:space="preserve">onal prestaciones, en los meses </w:t>
      </w:r>
      <w:r w:rsidRPr="00F438F7">
        <w:rPr>
          <w:rFonts w:ascii="Arial" w:hAnsi="Arial" w:cs="Arial"/>
          <w:sz w:val="24"/>
        </w:rPr>
        <w:t>de septiembre y octubre ayuda de primaria y secunda</w:t>
      </w:r>
      <w:r w:rsidR="00A407D5">
        <w:rPr>
          <w:rFonts w:ascii="Arial" w:hAnsi="Arial" w:cs="Arial"/>
          <w:sz w:val="24"/>
        </w:rPr>
        <w:t xml:space="preserve">ria autorizado en acta de pleno </w:t>
      </w:r>
      <w:r w:rsidRPr="00F438F7">
        <w:rPr>
          <w:rFonts w:ascii="Arial" w:hAnsi="Arial" w:cs="Arial"/>
          <w:sz w:val="24"/>
        </w:rPr>
        <w:t>24/2015 del 16 de junio de 2015 y de marzo a octubre</w:t>
      </w:r>
      <w:r w:rsidR="00A407D5">
        <w:rPr>
          <w:rFonts w:ascii="Arial" w:hAnsi="Arial" w:cs="Arial"/>
          <w:sz w:val="24"/>
        </w:rPr>
        <w:t xml:space="preserve"> ayuda de guardería y educación </w:t>
      </w:r>
      <w:r w:rsidRPr="00F438F7">
        <w:rPr>
          <w:rFonts w:ascii="Arial" w:hAnsi="Arial" w:cs="Arial"/>
          <w:sz w:val="24"/>
        </w:rPr>
        <w:t>pre-escolar autorizado en acta de pleno 27/2014 del 8 de</w:t>
      </w:r>
      <w:r w:rsidR="00A407D5">
        <w:rPr>
          <w:rFonts w:ascii="Arial" w:hAnsi="Arial" w:cs="Arial"/>
          <w:sz w:val="24"/>
        </w:rPr>
        <w:t xml:space="preserve"> julio de 2014, por un total de </w:t>
      </w:r>
      <w:r w:rsidRPr="00F438F7">
        <w:rPr>
          <w:rFonts w:ascii="Arial" w:hAnsi="Arial" w:cs="Arial"/>
          <w:sz w:val="24"/>
        </w:rPr>
        <w:t>$4,950,952, de acuerdo a lo siguiente:</w:t>
      </w:r>
    </w:p>
    <w:p w:rsidR="00F438F7" w:rsidRDefault="00F438F7" w:rsidP="00F438F7">
      <w:pPr>
        <w:spacing w:after="0" w:line="360" w:lineRule="auto"/>
        <w:contextualSpacing/>
        <w:jc w:val="both"/>
        <w:rPr>
          <w:rFonts w:ascii="Arial" w:hAnsi="Arial" w:cs="Arial"/>
          <w:sz w:val="24"/>
        </w:rPr>
      </w:pPr>
    </w:p>
    <w:p w:rsidR="00F438F7" w:rsidRDefault="00F438F7" w:rsidP="00F438F7">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832985" cy="2101850"/>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2985" cy="2101850"/>
                    </a:xfrm>
                    <a:prstGeom prst="rect">
                      <a:avLst/>
                    </a:prstGeom>
                    <a:noFill/>
                    <a:ln>
                      <a:noFill/>
                    </a:ln>
                  </pic:spPr>
                </pic:pic>
              </a:graphicData>
            </a:graphic>
          </wp:inline>
        </w:drawing>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lastRenderedPageBreak/>
        <w:t>De lo anterior se observó que dichas prestaciones no</w:t>
      </w:r>
      <w:r w:rsidR="00A407D5">
        <w:rPr>
          <w:rFonts w:ascii="Arial" w:hAnsi="Arial" w:cs="Arial"/>
          <w:sz w:val="24"/>
        </w:rPr>
        <w:t xml:space="preserve"> se acumulan a los ingresos del </w:t>
      </w:r>
      <w:r w:rsidRPr="00F438F7">
        <w:rPr>
          <w:rFonts w:ascii="Arial" w:hAnsi="Arial" w:cs="Arial"/>
          <w:sz w:val="24"/>
        </w:rPr>
        <w:t xml:space="preserve">personal y en consecuencia, el Ente Público no efectuó las </w:t>
      </w:r>
      <w:r w:rsidR="00A407D5">
        <w:rPr>
          <w:rFonts w:ascii="Arial" w:hAnsi="Arial" w:cs="Arial"/>
          <w:sz w:val="24"/>
        </w:rPr>
        <w:t xml:space="preserve">retenciones y enteros mensuales </w:t>
      </w:r>
      <w:r w:rsidRPr="00F438F7">
        <w:rPr>
          <w:rFonts w:ascii="Arial" w:hAnsi="Arial" w:cs="Arial"/>
          <w:sz w:val="24"/>
        </w:rPr>
        <w:t>atinentes al pago provisional a cuenta del Impuesto Sobre la Renta anual de los empleado</w:t>
      </w:r>
      <w:r w:rsidR="006F3B57">
        <w:rPr>
          <w:rFonts w:ascii="Arial" w:hAnsi="Arial" w:cs="Arial"/>
          <w:sz w:val="24"/>
        </w:rPr>
        <w:t xml:space="preserve">s, </w:t>
      </w:r>
      <w:r w:rsidRPr="00F438F7">
        <w:rPr>
          <w:rFonts w:ascii="Arial" w:hAnsi="Arial" w:cs="Arial"/>
          <w:sz w:val="24"/>
        </w:rPr>
        <w:t>contraviniendo lo estipulado en los artículos 94 fracción I, 96 primero y penúltimo párrafo y</w:t>
      </w:r>
    </w:p>
    <w:p w:rsidR="006F3B57" w:rsidRDefault="00F438F7" w:rsidP="00F438F7">
      <w:pPr>
        <w:spacing w:after="0" w:line="360" w:lineRule="auto"/>
        <w:contextualSpacing/>
        <w:jc w:val="both"/>
        <w:rPr>
          <w:rFonts w:ascii="Arial" w:hAnsi="Arial" w:cs="Arial"/>
          <w:sz w:val="24"/>
        </w:rPr>
      </w:pPr>
      <w:r w:rsidRPr="00F438F7">
        <w:rPr>
          <w:rFonts w:ascii="Arial" w:hAnsi="Arial" w:cs="Arial"/>
          <w:sz w:val="24"/>
        </w:rPr>
        <w:t>99 fracción I de la L</w:t>
      </w:r>
      <w:r w:rsidR="006F3B57">
        <w:rPr>
          <w:rFonts w:ascii="Arial" w:hAnsi="Arial" w:cs="Arial"/>
          <w:sz w:val="24"/>
        </w:rPr>
        <w:t xml:space="preserve">ey del Impuesto Sobre la Renta. </w:t>
      </w:r>
    </w:p>
    <w:p w:rsidR="006F3B57" w:rsidRDefault="006F3B57" w:rsidP="00F438F7">
      <w:pPr>
        <w:spacing w:after="0" w:line="360" w:lineRule="auto"/>
        <w:contextualSpacing/>
        <w:jc w:val="both"/>
        <w:rPr>
          <w:rFonts w:ascii="Arial" w:hAnsi="Arial" w:cs="Arial"/>
          <w:sz w:val="24"/>
        </w:rPr>
      </w:pPr>
    </w:p>
    <w:p w:rsidR="006F3B57" w:rsidRDefault="00F438F7" w:rsidP="00F438F7">
      <w:pPr>
        <w:spacing w:after="0" w:line="360" w:lineRule="auto"/>
        <w:contextualSpacing/>
        <w:jc w:val="both"/>
        <w:rPr>
          <w:rFonts w:ascii="Arial" w:hAnsi="Arial" w:cs="Arial"/>
          <w:sz w:val="24"/>
        </w:rPr>
      </w:pPr>
      <w:r w:rsidRPr="00F438F7">
        <w:rPr>
          <w:rFonts w:ascii="Arial" w:hAnsi="Arial" w:cs="Arial"/>
          <w:sz w:val="24"/>
        </w:rPr>
        <w:t>Como consecuencia del párrafo que antecede la decla</w:t>
      </w:r>
      <w:r w:rsidR="006F3B57">
        <w:rPr>
          <w:rFonts w:ascii="Arial" w:hAnsi="Arial" w:cs="Arial"/>
          <w:sz w:val="24"/>
        </w:rPr>
        <w:t xml:space="preserve">ración informativa de sueldos y </w:t>
      </w:r>
      <w:r w:rsidRPr="00F438F7">
        <w:rPr>
          <w:rFonts w:ascii="Arial" w:hAnsi="Arial" w:cs="Arial"/>
          <w:sz w:val="24"/>
        </w:rPr>
        <w:t>salarios de sus empleados no presenta el total de sus</w:t>
      </w:r>
      <w:r w:rsidR="006F3B57">
        <w:rPr>
          <w:rFonts w:ascii="Arial" w:hAnsi="Arial" w:cs="Arial"/>
          <w:sz w:val="24"/>
        </w:rPr>
        <w:t xml:space="preserve"> ingresos acumulados durante el </w:t>
      </w:r>
      <w:r w:rsidRPr="00F438F7">
        <w:rPr>
          <w:rFonts w:ascii="Arial" w:hAnsi="Arial" w:cs="Arial"/>
          <w:sz w:val="24"/>
        </w:rPr>
        <w:t>ejercicio 2015 como lo señala el artículo 9 fracción X de las d</w:t>
      </w:r>
      <w:r w:rsidR="006F3B57">
        <w:rPr>
          <w:rFonts w:ascii="Arial" w:hAnsi="Arial" w:cs="Arial"/>
          <w:sz w:val="24"/>
        </w:rPr>
        <w:t xml:space="preserve">isposiciones transitorias de la </w:t>
      </w:r>
      <w:r w:rsidRPr="00F438F7">
        <w:rPr>
          <w:rFonts w:ascii="Arial" w:hAnsi="Arial" w:cs="Arial"/>
          <w:sz w:val="24"/>
        </w:rPr>
        <w:t>Ley del Impuesto Sobre la Renta, en concordancia con el ar</w:t>
      </w:r>
      <w:r w:rsidR="006F3B57">
        <w:rPr>
          <w:rFonts w:ascii="Arial" w:hAnsi="Arial" w:cs="Arial"/>
          <w:sz w:val="24"/>
        </w:rPr>
        <w:t xml:space="preserve">tículo 118 fracción V de la Ley </w:t>
      </w:r>
      <w:r w:rsidRPr="00F438F7">
        <w:rPr>
          <w:rFonts w:ascii="Arial" w:hAnsi="Arial" w:cs="Arial"/>
          <w:sz w:val="24"/>
        </w:rPr>
        <w:t>del Impuesto Sobre la Renta abrogada a</w:t>
      </w:r>
      <w:r w:rsidR="006F3B57">
        <w:rPr>
          <w:rFonts w:ascii="Arial" w:hAnsi="Arial" w:cs="Arial"/>
          <w:sz w:val="24"/>
        </w:rPr>
        <w:t xml:space="preserve"> partir del 1 de enero de 2014. </w:t>
      </w:r>
    </w:p>
    <w:p w:rsidR="006F3B57" w:rsidRDefault="006F3B57"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Además el artículo 34 último párrafo de la Ley de Egresos d</w:t>
      </w:r>
      <w:r w:rsidR="006F3B57">
        <w:rPr>
          <w:rFonts w:ascii="Arial" w:hAnsi="Arial" w:cs="Arial"/>
          <w:sz w:val="24"/>
        </w:rPr>
        <w:t xml:space="preserve">el Estado de Nuevo León para el </w:t>
      </w:r>
      <w:r w:rsidRPr="00F438F7">
        <w:rPr>
          <w:rFonts w:ascii="Arial" w:hAnsi="Arial" w:cs="Arial"/>
          <w:sz w:val="24"/>
        </w:rPr>
        <w:t>año 2015, señala que se considera remuneración, toda perce</w:t>
      </w:r>
      <w:r w:rsidR="006F3B57">
        <w:rPr>
          <w:rFonts w:ascii="Arial" w:hAnsi="Arial" w:cs="Arial"/>
          <w:sz w:val="24"/>
        </w:rPr>
        <w:t xml:space="preserve">pción en efectivo o en especie, </w:t>
      </w:r>
      <w:r w:rsidRPr="00F438F7">
        <w:rPr>
          <w:rFonts w:ascii="Arial" w:hAnsi="Arial" w:cs="Arial"/>
          <w:sz w:val="24"/>
        </w:rPr>
        <w:t>incluyendo dietas, aguinaldos, gratificaciones, premios,</w:t>
      </w:r>
      <w:r w:rsidR="006F3B57">
        <w:rPr>
          <w:rFonts w:ascii="Arial" w:hAnsi="Arial" w:cs="Arial"/>
          <w:sz w:val="24"/>
        </w:rPr>
        <w:t xml:space="preserve"> recompensas, bonos, estímulos, </w:t>
      </w:r>
      <w:r w:rsidRPr="00F438F7">
        <w:rPr>
          <w:rFonts w:ascii="Arial" w:hAnsi="Arial" w:cs="Arial"/>
          <w:sz w:val="24"/>
        </w:rPr>
        <w:t>comisiones, compensaciones y cualquier otra; y el articulo 7 en su fracción III de la Ley de</w:t>
      </w:r>
    </w:p>
    <w:p w:rsidR="00F438F7" w:rsidRDefault="00F438F7" w:rsidP="00F438F7">
      <w:pPr>
        <w:spacing w:after="0" w:line="360" w:lineRule="auto"/>
        <w:contextualSpacing/>
        <w:jc w:val="both"/>
        <w:rPr>
          <w:rFonts w:ascii="Arial" w:hAnsi="Arial" w:cs="Arial"/>
          <w:sz w:val="24"/>
        </w:rPr>
      </w:pPr>
      <w:r w:rsidRPr="00F438F7">
        <w:rPr>
          <w:rFonts w:ascii="Arial" w:hAnsi="Arial" w:cs="Arial"/>
          <w:sz w:val="24"/>
        </w:rPr>
        <w:t>Remuneraciones de los Servidores Públicos, menciona que la remuneración es la suma del</w:t>
      </w:r>
      <w:r>
        <w:rPr>
          <w:rFonts w:ascii="Arial" w:hAnsi="Arial" w:cs="Arial"/>
          <w:sz w:val="24"/>
        </w:rPr>
        <w:t xml:space="preserve"> </w:t>
      </w:r>
      <w:r w:rsidRPr="00F438F7">
        <w:rPr>
          <w:rFonts w:ascii="Arial" w:hAnsi="Arial" w:cs="Arial"/>
          <w:sz w:val="24"/>
        </w:rPr>
        <w:t>sueldo, las prestaciones en efectivo, en crédito, en especie y e</w:t>
      </w:r>
      <w:r w:rsidR="006F3B57">
        <w:rPr>
          <w:rFonts w:ascii="Arial" w:hAnsi="Arial" w:cs="Arial"/>
          <w:sz w:val="24"/>
        </w:rPr>
        <w:t xml:space="preserve">n servicios, fijas o variables; </w:t>
      </w:r>
      <w:r w:rsidRPr="00F438F7">
        <w:rPr>
          <w:rFonts w:ascii="Arial" w:hAnsi="Arial" w:cs="Arial"/>
          <w:sz w:val="24"/>
        </w:rPr>
        <w:t>y en general de toda percepción a que tenga derecho en forma</w:t>
      </w:r>
      <w:r w:rsidR="006F3B57">
        <w:rPr>
          <w:rFonts w:ascii="Arial" w:hAnsi="Arial" w:cs="Arial"/>
          <w:sz w:val="24"/>
        </w:rPr>
        <w:t xml:space="preserve"> individual el servidor público </w:t>
      </w:r>
      <w:r w:rsidRPr="00F438F7">
        <w:rPr>
          <w:rFonts w:ascii="Arial" w:hAnsi="Arial" w:cs="Arial"/>
          <w:sz w:val="24"/>
        </w:rPr>
        <w:t>en virtud de su función, empleo, cargo o comisión.</w:t>
      </w:r>
    </w:p>
    <w:p w:rsidR="006F3B57" w:rsidRDefault="006F3B57"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lastRenderedPageBreak/>
        <w:t>Cabe señalar que la ley del ISR en su artículo 93 señal</w:t>
      </w:r>
      <w:r w:rsidR="006F3B57">
        <w:rPr>
          <w:rFonts w:ascii="Arial" w:hAnsi="Arial" w:cs="Arial"/>
          <w:sz w:val="24"/>
        </w:rPr>
        <w:t xml:space="preserve">a que "No se pagará el impuesto </w:t>
      </w:r>
      <w:r w:rsidRPr="00F438F7">
        <w:rPr>
          <w:rFonts w:ascii="Arial" w:hAnsi="Arial" w:cs="Arial"/>
          <w:sz w:val="24"/>
        </w:rPr>
        <w:t>sobre la renta por la obtención de los siguientes ingresos:" :</w:t>
      </w: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Fracción VIII "Los percibidos con motivo de subsidios por incapacid</w:t>
      </w:r>
      <w:r w:rsidR="006F3B57">
        <w:rPr>
          <w:rFonts w:ascii="Arial" w:hAnsi="Arial" w:cs="Arial"/>
          <w:sz w:val="24"/>
        </w:rPr>
        <w:t xml:space="preserve">ad, becas educacionales </w:t>
      </w:r>
      <w:r w:rsidRPr="00F438F7">
        <w:rPr>
          <w:rFonts w:ascii="Arial" w:hAnsi="Arial" w:cs="Arial"/>
          <w:sz w:val="24"/>
        </w:rPr>
        <w:t>para los trabajadores o sus hijos, guarderías infantiles, activid</w:t>
      </w:r>
      <w:r w:rsidR="006F3B57">
        <w:rPr>
          <w:rFonts w:ascii="Arial" w:hAnsi="Arial" w:cs="Arial"/>
          <w:sz w:val="24"/>
        </w:rPr>
        <w:t xml:space="preserve">ades culturales y deportivas, y </w:t>
      </w:r>
      <w:r w:rsidRPr="00F438F7">
        <w:rPr>
          <w:rFonts w:ascii="Arial" w:hAnsi="Arial" w:cs="Arial"/>
          <w:sz w:val="24"/>
        </w:rPr>
        <w:t>otras prestaciones de previsión social, de naturaleza aná</w:t>
      </w:r>
      <w:r w:rsidR="006F3B57">
        <w:rPr>
          <w:rFonts w:ascii="Arial" w:hAnsi="Arial" w:cs="Arial"/>
          <w:sz w:val="24"/>
        </w:rPr>
        <w:t xml:space="preserve">loga, que se concedan de manera </w:t>
      </w:r>
      <w:r w:rsidRPr="00F438F7">
        <w:rPr>
          <w:rFonts w:ascii="Arial" w:hAnsi="Arial" w:cs="Arial"/>
          <w:sz w:val="24"/>
        </w:rPr>
        <w:t>general, de acuerdo con las leyes o por contra</w:t>
      </w:r>
      <w:r w:rsidR="006F3B57">
        <w:rPr>
          <w:rFonts w:ascii="Arial" w:hAnsi="Arial" w:cs="Arial"/>
          <w:sz w:val="24"/>
        </w:rPr>
        <w:t xml:space="preserve">tos de trabajo." </w:t>
      </w:r>
      <w:r w:rsidRPr="00F438F7">
        <w:rPr>
          <w:rFonts w:ascii="Arial" w:hAnsi="Arial" w:cs="Arial"/>
          <w:sz w:val="24"/>
        </w:rPr>
        <w:t>y en la fracción IX "La previsión social a que se refiere la frac</w:t>
      </w:r>
      <w:r w:rsidR="006F3B57">
        <w:rPr>
          <w:rFonts w:ascii="Arial" w:hAnsi="Arial" w:cs="Arial"/>
          <w:sz w:val="24"/>
        </w:rPr>
        <w:t xml:space="preserve">ción anterior es la establecida </w:t>
      </w:r>
      <w:r w:rsidRPr="00F438F7">
        <w:rPr>
          <w:rFonts w:ascii="Arial" w:hAnsi="Arial" w:cs="Arial"/>
          <w:sz w:val="24"/>
        </w:rPr>
        <w:t>en el artículo 7, quinto párrafo de esta Ley."</w:t>
      </w:r>
    </w:p>
    <w:p w:rsidR="006F3B57" w:rsidRDefault="006F3B57" w:rsidP="00F438F7">
      <w:pPr>
        <w:spacing w:after="0" w:line="360" w:lineRule="auto"/>
        <w:contextualSpacing/>
        <w:jc w:val="both"/>
        <w:rPr>
          <w:rFonts w:ascii="Arial" w:hAnsi="Arial" w:cs="Arial"/>
          <w:sz w:val="24"/>
        </w:rPr>
      </w:pPr>
    </w:p>
    <w:p w:rsidR="00F438F7" w:rsidRPr="00F438F7" w:rsidRDefault="00F438F7" w:rsidP="00F438F7">
      <w:pPr>
        <w:spacing w:after="0" w:line="360" w:lineRule="auto"/>
        <w:contextualSpacing/>
        <w:jc w:val="both"/>
        <w:rPr>
          <w:rFonts w:ascii="Arial" w:hAnsi="Arial" w:cs="Arial"/>
          <w:sz w:val="24"/>
        </w:rPr>
      </w:pPr>
      <w:r w:rsidRPr="00F438F7">
        <w:rPr>
          <w:rFonts w:ascii="Arial" w:hAnsi="Arial" w:cs="Arial"/>
          <w:sz w:val="24"/>
        </w:rPr>
        <w:t xml:space="preserve">Finalmente, en el penúltimo párrafo del citado artículo señala </w:t>
      </w:r>
      <w:r w:rsidR="006F3B57">
        <w:rPr>
          <w:rFonts w:ascii="Arial" w:hAnsi="Arial" w:cs="Arial"/>
          <w:sz w:val="24"/>
        </w:rPr>
        <w:t xml:space="preserve">que la exención aplicable a los </w:t>
      </w:r>
      <w:r w:rsidRPr="00F438F7">
        <w:rPr>
          <w:rFonts w:ascii="Arial" w:hAnsi="Arial" w:cs="Arial"/>
          <w:sz w:val="24"/>
        </w:rPr>
        <w:t>ingresos obtenidos por concepto de prestaciones de previsi</w:t>
      </w:r>
      <w:r w:rsidR="006F3B57">
        <w:rPr>
          <w:rFonts w:ascii="Arial" w:hAnsi="Arial" w:cs="Arial"/>
          <w:sz w:val="24"/>
        </w:rPr>
        <w:t xml:space="preserve">ón social se limitará cuando la </w:t>
      </w:r>
      <w:r w:rsidRPr="00F438F7">
        <w:rPr>
          <w:rFonts w:ascii="Arial" w:hAnsi="Arial" w:cs="Arial"/>
          <w:sz w:val="24"/>
        </w:rPr>
        <w:t>suma de los ingresos por la prestación de servicios person</w:t>
      </w:r>
      <w:r w:rsidR="006F3B57">
        <w:rPr>
          <w:rFonts w:ascii="Arial" w:hAnsi="Arial" w:cs="Arial"/>
          <w:sz w:val="24"/>
        </w:rPr>
        <w:t xml:space="preserve">ales subordinados y el monto de </w:t>
      </w:r>
      <w:r w:rsidRPr="00F438F7">
        <w:rPr>
          <w:rFonts w:ascii="Arial" w:hAnsi="Arial" w:cs="Arial"/>
          <w:sz w:val="24"/>
        </w:rPr>
        <w:t>la exención exceda de una cantidad equivalente a siete veces el salario míni</w:t>
      </w:r>
      <w:r w:rsidR="006F3B57">
        <w:rPr>
          <w:rFonts w:ascii="Arial" w:hAnsi="Arial" w:cs="Arial"/>
          <w:sz w:val="24"/>
        </w:rPr>
        <w:t xml:space="preserve">mo general del </w:t>
      </w:r>
      <w:r w:rsidRPr="00F438F7">
        <w:rPr>
          <w:rFonts w:ascii="Arial" w:hAnsi="Arial" w:cs="Arial"/>
          <w:sz w:val="24"/>
        </w:rPr>
        <w:t>área geográfica del contribuyente, elevado al año ($179,10</w:t>
      </w:r>
      <w:r w:rsidR="006F3B57">
        <w:rPr>
          <w:rFonts w:ascii="Arial" w:hAnsi="Arial" w:cs="Arial"/>
          <w:sz w:val="24"/>
        </w:rPr>
        <w:t xml:space="preserve">6); cuando dicha suma exceda de </w:t>
      </w:r>
      <w:r w:rsidRPr="00F438F7">
        <w:rPr>
          <w:rFonts w:ascii="Arial" w:hAnsi="Arial" w:cs="Arial"/>
          <w:sz w:val="24"/>
        </w:rPr>
        <w:t>la cantidad citada, solamente se considerará como ingreso no sujeto al pago del impuesto</w:t>
      </w:r>
      <w:r>
        <w:rPr>
          <w:rFonts w:ascii="Arial" w:hAnsi="Arial" w:cs="Arial"/>
          <w:sz w:val="24"/>
        </w:rPr>
        <w:t xml:space="preserve"> </w:t>
      </w:r>
      <w:r w:rsidRPr="00F438F7">
        <w:rPr>
          <w:rFonts w:ascii="Arial" w:hAnsi="Arial" w:cs="Arial"/>
          <w:sz w:val="24"/>
        </w:rPr>
        <w:t>un monto hasta de un salario mínimo general del área geográ</w:t>
      </w:r>
      <w:r w:rsidR="006F3B57">
        <w:rPr>
          <w:rFonts w:ascii="Arial" w:hAnsi="Arial" w:cs="Arial"/>
          <w:sz w:val="24"/>
        </w:rPr>
        <w:t xml:space="preserve">fica del contribuyente, elevado </w:t>
      </w:r>
      <w:r w:rsidRPr="00F438F7">
        <w:rPr>
          <w:rFonts w:ascii="Arial" w:hAnsi="Arial" w:cs="Arial"/>
          <w:sz w:val="24"/>
        </w:rPr>
        <w:t>al año ($25,587).</w:t>
      </w:r>
    </w:p>
    <w:p w:rsidR="006F3B57" w:rsidRDefault="006F3B57" w:rsidP="00F438F7">
      <w:pPr>
        <w:spacing w:after="0" w:line="360" w:lineRule="auto"/>
        <w:contextualSpacing/>
        <w:jc w:val="both"/>
        <w:rPr>
          <w:rFonts w:ascii="Arial" w:hAnsi="Arial" w:cs="Arial"/>
          <w:sz w:val="24"/>
        </w:rPr>
      </w:pPr>
    </w:p>
    <w:p w:rsidR="00F438F7" w:rsidRPr="006F3B57" w:rsidRDefault="00F438F7" w:rsidP="00F438F7">
      <w:pPr>
        <w:spacing w:after="0" w:line="360" w:lineRule="auto"/>
        <w:contextualSpacing/>
        <w:jc w:val="both"/>
        <w:rPr>
          <w:rFonts w:ascii="Arial" w:hAnsi="Arial" w:cs="Arial"/>
          <w:b/>
          <w:sz w:val="24"/>
        </w:rPr>
      </w:pPr>
      <w:r w:rsidRPr="006F3B57">
        <w:rPr>
          <w:rFonts w:ascii="Arial" w:hAnsi="Arial" w:cs="Arial"/>
          <w:b/>
          <w:sz w:val="24"/>
        </w:rPr>
        <w:t>Acción(es) o recomendación(es) emitida(s)</w:t>
      </w:r>
    </w:p>
    <w:p w:rsidR="00F438F7" w:rsidRPr="006F3B57" w:rsidRDefault="00F438F7" w:rsidP="00F438F7">
      <w:pPr>
        <w:spacing w:after="0" w:line="360" w:lineRule="auto"/>
        <w:contextualSpacing/>
        <w:jc w:val="both"/>
        <w:rPr>
          <w:rFonts w:ascii="Arial" w:hAnsi="Arial" w:cs="Arial"/>
          <w:i/>
          <w:sz w:val="24"/>
        </w:rPr>
      </w:pPr>
      <w:r w:rsidRPr="006F3B57">
        <w:rPr>
          <w:rFonts w:ascii="Arial" w:hAnsi="Arial" w:cs="Arial"/>
          <w:i/>
          <w:sz w:val="24"/>
        </w:rPr>
        <w:t xml:space="preserve">Promoción de </w:t>
      </w:r>
      <w:proofErr w:type="spellStart"/>
      <w:r w:rsidRPr="006F3B57">
        <w:rPr>
          <w:rFonts w:ascii="Arial" w:hAnsi="Arial" w:cs="Arial"/>
          <w:i/>
          <w:sz w:val="24"/>
        </w:rPr>
        <w:t>Fincamiento</w:t>
      </w:r>
      <w:proofErr w:type="spellEnd"/>
      <w:r w:rsidRPr="006F3B57">
        <w:rPr>
          <w:rFonts w:ascii="Arial" w:hAnsi="Arial" w:cs="Arial"/>
          <w:i/>
          <w:sz w:val="24"/>
        </w:rPr>
        <w:t xml:space="preserve"> de Responsabilidad Administrativa.</w:t>
      </w:r>
    </w:p>
    <w:p w:rsidR="00F438F7" w:rsidRPr="00E143F3" w:rsidRDefault="00F438F7" w:rsidP="00F438F7">
      <w:pPr>
        <w:spacing w:after="0" w:line="360" w:lineRule="auto"/>
        <w:contextualSpacing/>
        <w:jc w:val="both"/>
        <w:rPr>
          <w:rFonts w:ascii="Arial" w:hAnsi="Arial" w:cs="Arial"/>
          <w:i/>
          <w:sz w:val="24"/>
        </w:rPr>
      </w:pPr>
      <w:r w:rsidRPr="00E143F3">
        <w:rPr>
          <w:rFonts w:ascii="Arial" w:hAnsi="Arial" w:cs="Arial"/>
          <w:i/>
          <w:sz w:val="24"/>
        </w:rPr>
        <w:t>Promoción del Ejercicio de la Facultad de Comprobación Fiscal.</w:t>
      </w:r>
    </w:p>
    <w:p w:rsidR="00E143F3" w:rsidRDefault="00E143F3" w:rsidP="00F438F7">
      <w:pPr>
        <w:spacing w:after="0" w:line="360" w:lineRule="auto"/>
        <w:contextualSpacing/>
        <w:jc w:val="both"/>
        <w:rPr>
          <w:rFonts w:ascii="Arial" w:hAnsi="Arial" w:cs="Arial"/>
          <w:sz w:val="24"/>
        </w:rPr>
      </w:pPr>
    </w:p>
    <w:p w:rsidR="00F438F7" w:rsidRPr="00E143F3" w:rsidRDefault="00F438F7" w:rsidP="00F438F7">
      <w:pPr>
        <w:spacing w:after="0" w:line="360" w:lineRule="auto"/>
        <w:contextualSpacing/>
        <w:jc w:val="both"/>
        <w:rPr>
          <w:rFonts w:ascii="Arial" w:hAnsi="Arial" w:cs="Arial"/>
          <w:b/>
          <w:sz w:val="24"/>
          <w:u w:val="single"/>
        </w:rPr>
      </w:pPr>
      <w:r w:rsidRPr="00E143F3">
        <w:rPr>
          <w:rFonts w:ascii="Arial" w:hAnsi="Arial" w:cs="Arial"/>
          <w:b/>
          <w:sz w:val="24"/>
          <w:u w:val="single"/>
        </w:rPr>
        <w:t>Transferencias, asignaciones, subsidios y otras ayudas</w:t>
      </w:r>
    </w:p>
    <w:p w:rsidR="00F438F7" w:rsidRPr="00E143F3" w:rsidRDefault="00F438F7" w:rsidP="00F438F7">
      <w:pPr>
        <w:spacing w:after="0" w:line="360" w:lineRule="auto"/>
        <w:contextualSpacing/>
        <w:jc w:val="both"/>
        <w:rPr>
          <w:rFonts w:ascii="Arial" w:hAnsi="Arial" w:cs="Arial"/>
          <w:b/>
          <w:sz w:val="24"/>
          <w:u w:val="single"/>
        </w:rPr>
      </w:pPr>
      <w:r w:rsidRPr="00E143F3">
        <w:rPr>
          <w:rFonts w:ascii="Arial" w:hAnsi="Arial" w:cs="Arial"/>
          <w:b/>
          <w:sz w:val="24"/>
          <w:u w:val="single"/>
        </w:rPr>
        <w:lastRenderedPageBreak/>
        <w:t>Ayudas sociales</w:t>
      </w:r>
    </w:p>
    <w:p w:rsidR="00F438F7" w:rsidRDefault="00F438F7" w:rsidP="00F438F7">
      <w:pPr>
        <w:spacing w:after="0" w:line="360" w:lineRule="auto"/>
        <w:contextualSpacing/>
        <w:jc w:val="both"/>
        <w:rPr>
          <w:rFonts w:ascii="Arial" w:hAnsi="Arial" w:cs="Arial"/>
          <w:sz w:val="24"/>
        </w:rPr>
      </w:pPr>
      <w:r w:rsidRPr="00E143F3">
        <w:rPr>
          <w:rFonts w:ascii="Arial" w:hAnsi="Arial" w:cs="Arial"/>
          <w:b/>
          <w:sz w:val="24"/>
        </w:rPr>
        <w:t>18.</w:t>
      </w:r>
      <w:r w:rsidRPr="00F438F7">
        <w:rPr>
          <w:rFonts w:ascii="Arial" w:hAnsi="Arial" w:cs="Arial"/>
          <w:sz w:val="24"/>
        </w:rPr>
        <w:t xml:space="preserve"> De la revisión a la presentación de los gastos en la Cuent</w:t>
      </w:r>
      <w:r w:rsidR="00E143F3">
        <w:rPr>
          <w:rFonts w:ascii="Arial" w:hAnsi="Arial" w:cs="Arial"/>
          <w:sz w:val="24"/>
        </w:rPr>
        <w:t xml:space="preserve">a Pública al 31 de diciembre de </w:t>
      </w:r>
      <w:r w:rsidRPr="00F438F7">
        <w:rPr>
          <w:rFonts w:ascii="Arial" w:hAnsi="Arial" w:cs="Arial"/>
          <w:sz w:val="24"/>
        </w:rPr>
        <w:t>2015, se observó que se registró en la cuenta de transferen</w:t>
      </w:r>
      <w:r w:rsidR="00E143F3">
        <w:rPr>
          <w:rFonts w:ascii="Arial" w:hAnsi="Arial" w:cs="Arial"/>
          <w:sz w:val="24"/>
        </w:rPr>
        <w:t xml:space="preserve">cias, asignaciones, subsidios y </w:t>
      </w:r>
      <w:r w:rsidRPr="00F438F7">
        <w:rPr>
          <w:rFonts w:ascii="Arial" w:hAnsi="Arial" w:cs="Arial"/>
          <w:sz w:val="24"/>
        </w:rPr>
        <w:t>otras ayudas (ayudas sociales) becas para capacitación a</w:t>
      </w:r>
      <w:r w:rsidR="00E143F3">
        <w:rPr>
          <w:rFonts w:ascii="Arial" w:hAnsi="Arial" w:cs="Arial"/>
          <w:sz w:val="24"/>
        </w:rPr>
        <w:t xml:space="preserve"> empleados del Ente Público por </w:t>
      </w:r>
      <w:r w:rsidRPr="00F438F7">
        <w:rPr>
          <w:rFonts w:ascii="Arial" w:hAnsi="Arial" w:cs="Arial"/>
          <w:sz w:val="24"/>
        </w:rPr>
        <w:t>$204,952, mismos que debieron registrarse en la cuenta de</w:t>
      </w:r>
      <w:r w:rsidR="00E143F3">
        <w:rPr>
          <w:rFonts w:ascii="Arial" w:hAnsi="Arial" w:cs="Arial"/>
          <w:sz w:val="24"/>
        </w:rPr>
        <w:t xml:space="preserve"> servicios generales (servicios </w:t>
      </w:r>
      <w:r w:rsidRPr="00F438F7">
        <w:rPr>
          <w:rFonts w:ascii="Arial" w:hAnsi="Arial" w:cs="Arial"/>
          <w:sz w:val="24"/>
        </w:rPr>
        <w:t>profesionales, científicos y técnicos y otros servicios), c</w:t>
      </w:r>
      <w:r w:rsidR="00E143F3">
        <w:rPr>
          <w:rFonts w:ascii="Arial" w:hAnsi="Arial" w:cs="Arial"/>
          <w:sz w:val="24"/>
        </w:rPr>
        <w:t xml:space="preserve">ontraviniendo lo señalado en el </w:t>
      </w:r>
      <w:r w:rsidRPr="00F438F7">
        <w:rPr>
          <w:rFonts w:ascii="Arial" w:hAnsi="Arial" w:cs="Arial"/>
          <w:sz w:val="24"/>
        </w:rPr>
        <w:t xml:space="preserve">Clasificador por objeto del gasto apartado D (relación de </w:t>
      </w:r>
      <w:r w:rsidR="00E143F3">
        <w:rPr>
          <w:rFonts w:ascii="Arial" w:hAnsi="Arial" w:cs="Arial"/>
          <w:sz w:val="24"/>
        </w:rPr>
        <w:t xml:space="preserve">capítulos, conceptos y partidas </w:t>
      </w:r>
      <w:r w:rsidRPr="00F438F7">
        <w:rPr>
          <w:rFonts w:ascii="Arial" w:hAnsi="Arial" w:cs="Arial"/>
          <w:sz w:val="24"/>
        </w:rPr>
        <w:t>genéricas de la codificación 334) y el capítulo III plan de</w:t>
      </w:r>
      <w:r w:rsidR="00E143F3">
        <w:rPr>
          <w:rFonts w:ascii="Arial" w:hAnsi="Arial" w:cs="Arial"/>
          <w:sz w:val="24"/>
        </w:rPr>
        <w:t xml:space="preserve"> cuentas (codificación 5.1.3.3) </w:t>
      </w:r>
      <w:r w:rsidRPr="00F438F7">
        <w:rPr>
          <w:rFonts w:ascii="Arial" w:hAnsi="Arial" w:cs="Arial"/>
          <w:sz w:val="24"/>
        </w:rPr>
        <w:t>del Manual de contabilidad gubernamental, estableciendo</w:t>
      </w:r>
      <w:r w:rsidR="00E143F3">
        <w:rPr>
          <w:rFonts w:ascii="Arial" w:hAnsi="Arial" w:cs="Arial"/>
          <w:sz w:val="24"/>
        </w:rPr>
        <w:t xml:space="preserve"> su observancia obligatoria, de </w:t>
      </w:r>
      <w:r w:rsidRPr="00F438F7">
        <w:rPr>
          <w:rFonts w:ascii="Arial" w:hAnsi="Arial" w:cs="Arial"/>
          <w:sz w:val="24"/>
        </w:rPr>
        <w:t>conformidad con el artículo 7 de la Ley General de Contabilidad Gubernamental.</w:t>
      </w:r>
    </w:p>
    <w:p w:rsidR="00E143F3" w:rsidRDefault="00E143F3" w:rsidP="00F438F7">
      <w:pPr>
        <w:spacing w:after="0" w:line="360" w:lineRule="auto"/>
        <w:contextualSpacing/>
        <w:jc w:val="both"/>
        <w:rPr>
          <w:rFonts w:ascii="Arial" w:hAnsi="Arial" w:cs="Arial"/>
          <w:sz w:val="24"/>
        </w:rPr>
      </w:pPr>
    </w:p>
    <w:p w:rsidR="00F438F7" w:rsidRPr="00E143F3" w:rsidRDefault="00F438F7" w:rsidP="00F438F7">
      <w:pPr>
        <w:spacing w:after="0" w:line="360" w:lineRule="auto"/>
        <w:contextualSpacing/>
        <w:jc w:val="both"/>
        <w:rPr>
          <w:rFonts w:ascii="Arial" w:hAnsi="Arial" w:cs="Arial"/>
          <w:b/>
          <w:sz w:val="24"/>
        </w:rPr>
      </w:pPr>
      <w:r w:rsidRPr="00E143F3">
        <w:rPr>
          <w:rFonts w:ascii="Arial" w:hAnsi="Arial" w:cs="Arial"/>
          <w:b/>
          <w:sz w:val="24"/>
        </w:rPr>
        <w:t>Análisis de la Auditoría Superior del Estado</w:t>
      </w:r>
    </w:p>
    <w:p w:rsidR="00F438F7" w:rsidRDefault="00F438F7" w:rsidP="00F438F7">
      <w:pPr>
        <w:spacing w:after="0" w:line="360" w:lineRule="auto"/>
        <w:contextualSpacing/>
        <w:jc w:val="both"/>
        <w:rPr>
          <w:rFonts w:ascii="Arial" w:hAnsi="Arial" w:cs="Arial"/>
          <w:sz w:val="24"/>
        </w:rPr>
      </w:pPr>
      <w:r w:rsidRPr="00F438F7">
        <w:rPr>
          <w:rFonts w:ascii="Arial" w:hAnsi="Arial" w:cs="Arial"/>
          <w:sz w:val="24"/>
        </w:rPr>
        <w:t>Se analizó la respuesta y documentación proporcionada por el</w:t>
      </w:r>
      <w:r w:rsidR="00E143F3">
        <w:rPr>
          <w:rFonts w:ascii="Arial" w:hAnsi="Arial" w:cs="Arial"/>
          <w:sz w:val="24"/>
        </w:rPr>
        <w:t xml:space="preserve"> Ente Público, la cual solventa </w:t>
      </w:r>
      <w:r w:rsidRPr="00F438F7">
        <w:rPr>
          <w:rFonts w:ascii="Arial" w:hAnsi="Arial" w:cs="Arial"/>
          <w:sz w:val="24"/>
        </w:rPr>
        <w:t>parcialmente, toda vez que se implementaron medidas correc</w:t>
      </w:r>
      <w:r w:rsidR="00E143F3">
        <w:rPr>
          <w:rFonts w:ascii="Arial" w:hAnsi="Arial" w:cs="Arial"/>
          <w:sz w:val="24"/>
        </w:rPr>
        <w:t xml:space="preserve">tivas para registrar de acuerdo </w:t>
      </w:r>
      <w:r w:rsidRPr="00F438F7">
        <w:rPr>
          <w:rFonts w:ascii="Arial" w:hAnsi="Arial" w:cs="Arial"/>
          <w:sz w:val="24"/>
        </w:rPr>
        <w:t>al plan de cuentas, pero no acompañó evidencia documen</w:t>
      </w:r>
      <w:r w:rsidR="00E143F3">
        <w:rPr>
          <w:rFonts w:ascii="Arial" w:hAnsi="Arial" w:cs="Arial"/>
          <w:sz w:val="24"/>
        </w:rPr>
        <w:t xml:space="preserve">tal que demuestre su dicho, por </w:t>
      </w:r>
      <w:r w:rsidR="008E14DB">
        <w:rPr>
          <w:rFonts w:ascii="Arial" w:hAnsi="Arial" w:cs="Arial"/>
          <w:sz w:val="24"/>
        </w:rPr>
        <w:t xml:space="preserve">lo que </w:t>
      </w:r>
      <w:proofErr w:type="spellStart"/>
      <w:r w:rsidR="008E14DB">
        <w:rPr>
          <w:rFonts w:ascii="Arial" w:hAnsi="Arial" w:cs="Arial"/>
          <w:sz w:val="24"/>
        </w:rPr>
        <w:t>daran</w:t>
      </w:r>
      <w:proofErr w:type="spellEnd"/>
      <w:r w:rsidRPr="00F438F7">
        <w:rPr>
          <w:rFonts w:ascii="Arial" w:hAnsi="Arial" w:cs="Arial"/>
          <w:sz w:val="24"/>
        </w:rPr>
        <w:t xml:space="preserve"> seguimiento en la revisión de la Cuenta Pública 2016.</w:t>
      </w:r>
    </w:p>
    <w:p w:rsidR="00E143F3" w:rsidRDefault="00E143F3" w:rsidP="00F438F7">
      <w:pPr>
        <w:spacing w:after="0" w:line="360" w:lineRule="auto"/>
        <w:contextualSpacing/>
        <w:jc w:val="both"/>
        <w:rPr>
          <w:rFonts w:ascii="Arial" w:hAnsi="Arial" w:cs="Arial"/>
          <w:sz w:val="24"/>
        </w:rPr>
      </w:pPr>
    </w:p>
    <w:p w:rsidR="00F438F7" w:rsidRPr="00E143F3" w:rsidRDefault="00F438F7" w:rsidP="00F438F7">
      <w:pPr>
        <w:spacing w:after="0" w:line="360" w:lineRule="auto"/>
        <w:contextualSpacing/>
        <w:jc w:val="both"/>
        <w:rPr>
          <w:rFonts w:ascii="Arial" w:hAnsi="Arial" w:cs="Arial"/>
          <w:b/>
          <w:sz w:val="24"/>
        </w:rPr>
      </w:pPr>
      <w:r w:rsidRPr="00E143F3">
        <w:rPr>
          <w:rFonts w:ascii="Arial" w:hAnsi="Arial" w:cs="Arial"/>
          <w:b/>
          <w:sz w:val="24"/>
        </w:rPr>
        <w:t>Acción(es) o recomendación(es) emitida(s)</w:t>
      </w:r>
    </w:p>
    <w:p w:rsidR="00F438F7" w:rsidRPr="00E143F3" w:rsidRDefault="00F438F7" w:rsidP="00F438F7">
      <w:pPr>
        <w:spacing w:after="0" w:line="360" w:lineRule="auto"/>
        <w:contextualSpacing/>
        <w:jc w:val="both"/>
        <w:rPr>
          <w:rFonts w:ascii="Arial" w:hAnsi="Arial" w:cs="Arial"/>
          <w:i/>
          <w:sz w:val="24"/>
        </w:rPr>
      </w:pPr>
      <w:r w:rsidRPr="00E143F3">
        <w:rPr>
          <w:rFonts w:ascii="Arial" w:hAnsi="Arial" w:cs="Arial"/>
          <w:i/>
          <w:sz w:val="24"/>
        </w:rPr>
        <w:t xml:space="preserve">Promoción de </w:t>
      </w:r>
      <w:proofErr w:type="spellStart"/>
      <w:r w:rsidRPr="00E143F3">
        <w:rPr>
          <w:rFonts w:ascii="Arial" w:hAnsi="Arial" w:cs="Arial"/>
          <w:i/>
          <w:sz w:val="24"/>
        </w:rPr>
        <w:t>Fincamiento</w:t>
      </w:r>
      <w:proofErr w:type="spellEnd"/>
      <w:r w:rsidRPr="00E143F3">
        <w:rPr>
          <w:rFonts w:ascii="Arial" w:hAnsi="Arial" w:cs="Arial"/>
          <w:i/>
          <w:sz w:val="24"/>
        </w:rPr>
        <w:t xml:space="preserve"> de Responsabilidad Administrativa.</w:t>
      </w:r>
    </w:p>
    <w:p w:rsidR="00F438F7" w:rsidRDefault="00F438F7" w:rsidP="00F438F7">
      <w:pPr>
        <w:spacing w:after="0" w:line="360" w:lineRule="auto"/>
        <w:contextualSpacing/>
        <w:jc w:val="both"/>
        <w:rPr>
          <w:rFonts w:ascii="Arial" w:hAnsi="Arial" w:cs="Arial"/>
          <w:sz w:val="24"/>
        </w:rPr>
      </w:pPr>
    </w:p>
    <w:p w:rsidR="0030407F" w:rsidRPr="007110C7" w:rsidRDefault="0030407F" w:rsidP="007110C7">
      <w:pPr>
        <w:spacing w:after="0" w:line="360" w:lineRule="auto"/>
        <w:contextualSpacing/>
        <w:jc w:val="both"/>
        <w:rPr>
          <w:rFonts w:ascii="Arial" w:hAnsi="Arial" w:cs="Arial"/>
          <w:sz w:val="24"/>
        </w:rPr>
      </w:pPr>
    </w:p>
    <w:p w:rsidR="009C0345" w:rsidRPr="008C13D5"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8C13D5" w:rsidRDefault="008C13D5" w:rsidP="008C13D5">
      <w:pPr>
        <w:pStyle w:val="Prrafodelista"/>
        <w:spacing w:after="0"/>
        <w:ind w:left="426"/>
        <w:contextualSpacing/>
        <w:jc w:val="both"/>
        <w:rPr>
          <w:rFonts w:ascii="Arial" w:hAnsi="Arial" w:cs="Arial"/>
          <w:b/>
          <w:bCs/>
          <w:sz w:val="24"/>
        </w:rPr>
      </w:pPr>
    </w:p>
    <w:p w:rsidR="008C13D5" w:rsidRPr="00E143F3" w:rsidRDefault="008C13D5" w:rsidP="008C13D5">
      <w:pPr>
        <w:pStyle w:val="Prrafodelista"/>
        <w:spacing w:after="0"/>
        <w:ind w:left="426"/>
        <w:contextualSpacing/>
        <w:jc w:val="both"/>
        <w:rPr>
          <w:rFonts w:ascii="Arial" w:hAnsi="Arial" w:cs="Arial"/>
          <w:b/>
          <w:bCs/>
          <w:sz w:val="24"/>
        </w:rPr>
      </w:pPr>
      <w:r w:rsidRPr="00E143F3">
        <w:rPr>
          <w:rFonts w:ascii="Arial" w:hAnsi="Arial" w:cs="Arial"/>
          <w:b/>
          <w:bCs/>
          <w:sz w:val="24"/>
        </w:rPr>
        <w:t>Solicitud.-</w:t>
      </w:r>
    </w:p>
    <w:p w:rsidR="008C13D5" w:rsidRPr="00E143F3" w:rsidRDefault="008C13D5" w:rsidP="00E143F3">
      <w:pPr>
        <w:pStyle w:val="Prrafodelista"/>
        <w:spacing w:after="0"/>
        <w:ind w:left="426"/>
        <w:contextualSpacing/>
        <w:jc w:val="both"/>
        <w:rPr>
          <w:rFonts w:ascii="Arial" w:hAnsi="Arial" w:cs="Arial"/>
          <w:bCs/>
          <w:sz w:val="24"/>
        </w:rPr>
      </w:pPr>
      <w:r w:rsidRPr="008C13D5">
        <w:rPr>
          <w:rFonts w:ascii="Arial" w:hAnsi="Arial" w:cs="Arial"/>
          <w:bCs/>
          <w:sz w:val="24"/>
        </w:rPr>
        <w:t xml:space="preserve">Contenida en el acuerdo Legislativo número 321, tomado por </w:t>
      </w:r>
      <w:r w:rsidR="00E143F3">
        <w:rPr>
          <w:rFonts w:ascii="Arial" w:hAnsi="Arial" w:cs="Arial"/>
          <w:bCs/>
          <w:sz w:val="24"/>
        </w:rPr>
        <w:t xml:space="preserve">el Pleno en la sesión del 30 de </w:t>
      </w:r>
      <w:r w:rsidRPr="00E143F3">
        <w:rPr>
          <w:rFonts w:ascii="Arial" w:hAnsi="Arial" w:cs="Arial"/>
          <w:bCs/>
          <w:sz w:val="24"/>
        </w:rPr>
        <w:t>septiembre de 2013, publicado en el Periódico Oficial del Estado de fecha 7 de octubre de 2013,</w:t>
      </w:r>
      <w:r w:rsidR="00E143F3">
        <w:rPr>
          <w:rFonts w:ascii="Arial" w:hAnsi="Arial" w:cs="Arial"/>
          <w:bCs/>
          <w:sz w:val="24"/>
        </w:rPr>
        <w:t xml:space="preserve"> </w:t>
      </w:r>
      <w:r w:rsidR="008E14DB">
        <w:rPr>
          <w:rFonts w:ascii="Arial" w:hAnsi="Arial" w:cs="Arial"/>
          <w:bCs/>
          <w:sz w:val="24"/>
        </w:rPr>
        <w:t>remitido a la</w:t>
      </w:r>
      <w:r w:rsidRPr="00E143F3">
        <w:rPr>
          <w:rFonts w:ascii="Arial" w:hAnsi="Arial" w:cs="Arial"/>
          <w:bCs/>
          <w:sz w:val="24"/>
        </w:rPr>
        <w:t xml:space="preserve"> Auditoría Superior del Estado, en fecha 10 de octubre de 2013 mediante el oficio</w:t>
      </w:r>
      <w:r w:rsidR="00E143F3">
        <w:rPr>
          <w:rFonts w:ascii="Arial" w:hAnsi="Arial" w:cs="Arial"/>
          <w:bCs/>
          <w:sz w:val="24"/>
        </w:rPr>
        <w:t xml:space="preserve"> </w:t>
      </w:r>
      <w:r w:rsidRPr="00E143F3">
        <w:rPr>
          <w:rFonts w:ascii="Arial" w:hAnsi="Arial" w:cs="Arial"/>
          <w:bCs/>
          <w:sz w:val="24"/>
        </w:rPr>
        <w:t>número C.V.1388/2013, emitido por los CC. Presidenta y Secretario de la Comisión de Vigilancia</w:t>
      </w:r>
      <w:r w:rsidR="00E143F3">
        <w:rPr>
          <w:rFonts w:ascii="Arial" w:hAnsi="Arial" w:cs="Arial"/>
          <w:bCs/>
          <w:sz w:val="24"/>
        </w:rPr>
        <w:t xml:space="preserve"> </w:t>
      </w:r>
      <w:r w:rsidRPr="00E143F3">
        <w:rPr>
          <w:rFonts w:ascii="Arial" w:hAnsi="Arial" w:cs="Arial"/>
          <w:bCs/>
          <w:sz w:val="24"/>
        </w:rPr>
        <w:t>del H. Congreso del Estado, en virtud del cual se instruye a este Órgano Superior de Fiscalización,</w:t>
      </w:r>
      <w:r w:rsidR="00E143F3">
        <w:rPr>
          <w:rFonts w:ascii="Arial" w:hAnsi="Arial" w:cs="Arial"/>
          <w:bCs/>
          <w:sz w:val="24"/>
        </w:rPr>
        <w:t xml:space="preserve"> </w:t>
      </w:r>
      <w:r w:rsidRPr="00E143F3">
        <w:rPr>
          <w:rFonts w:ascii="Arial" w:hAnsi="Arial" w:cs="Arial"/>
          <w:bCs/>
          <w:sz w:val="24"/>
        </w:rPr>
        <w:t>para que en cumplimiento a lo preceptuado por la Ley de Fiscalización Superior del Estado de</w:t>
      </w:r>
      <w:r w:rsidR="00E143F3">
        <w:rPr>
          <w:rFonts w:ascii="Arial" w:hAnsi="Arial" w:cs="Arial"/>
          <w:bCs/>
          <w:sz w:val="24"/>
        </w:rPr>
        <w:t xml:space="preserve"> </w:t>
      </w:r>
      <w:r w:rsidRPr="00E143F3">
        <w:rPr>
          <w:rFonts w:ascii="Arial" w:hAnsi="Arial" w:cs="Arial"/>
          <w:bCs/>
          <w:sz w:val="24"/>
        </w:rPr>
        <w:t xml:space="preserve">Nuevo León, verifique la aplicación por parte del ente </w:t>
      </w:r>
      <w:proofErr w:type="spellStart"/>
      <w:r w:rsidRPr="00E143F3">
        <w:rPr>
          <w:rFonts w:ascii="Arial" w:hAnsi="Arial" w:cs="Arial"/>
          <w:bCs/>
          <w:sz w:val="24"/>
        </w:rPr>
        <w:t>fiscalizado</w:t>
      </w:r>
      <w:proofErr w:type="spellEnd"/>
      <w:r w:rsidRPr="00E143F3">
        <w:rPr>
          <w:rFonts w:ascii="Arial" w:hAnsi="Arial" w:cs="Arial"/>
          <w:bCs/>
          <w:sz w:val="24"/>
        </w:rPr>
        <w:t>, de la Ley General de</w:t>
      </w:r>
      <w:r w:rsidR="00E143F3">
        <w:rPr>
          <w:rFonts w:ascii="Arial" w:hAnsi="Arial" w:cs="Arial"/>
          <w:bCs/>
          <w:sz w:val="24"/>
        </w:rPr>
        <w:t xml:space="preserve"> </w:t>
      </w:r>
      <w:r w:rsidRPr="00E143F3">
        <w:rPr>
          <w:rFonts w:ascii="Arial" w:hAnsi="Arial" w:cs="Arial"/>
          <w:bCs/>
          <w:sz w:val="24"/>
        </w:rPr>
        <w:t>Contabilidad Gubernamental (LGCG), así como las disposiciones normativas emitidas por el</w:t>
      </w:r>
      <w:r w:rsidR="00E143F3">
        <w:rPr>
          <w:rFonts w:ascii="Arial" w:hAnsi="Arial" w:cs="Arial"/>
          <w:bCs/>
          <w:sz w:val="24"/>
        </w:rPr>
        <w:t xml:space="preserve"> </w:t>
      </w:r>
      <w:r w:rsidRPr="00E143F3">
        <w:rPr>
          <w:rFonts w:ascii="Arial" w:hAnsi="Arial" w:cs="Arial"/>
          <w:bCs/>
          <w:sz w:val="24"/>
        </w:rPr>
        <w:t>Consejo Nacional de Armonización Contable (</w:t>
      </w:r>
      <w:proofErr w:type="spellStart"/>
      <w:r w:rsidRPr="00E143F3">
        <w:rPr>
          <w:rFonts w:ascii="Arial" w:hAnsi="Arial" w:cs="Arial"/>
          <w:bCs/>
          <w:sz w:val="24"/>
        </w:rPr>
        <w:t>Conac</w:t>
      </w:r>
      <w:proofErr w:type="spellEnd"/>
      <w:r w:rsidRPr="00E143F3">
        <w:rPr>
          <w:rFonts w:ascii="Arial" w:hAnsi="Arial" w:cs="Arial"/>
          <w:bCs/>
          <w:sz w:val="24"/>
        </w:rPr>
        <w:t>).</w:t>
      </w:r>
    </w:p>
    <w:p w:rsidR="00E143F3" w:rsidRDefault="00E143F3" w:rsidP="008C13D5">
      <w:pPr>
        <w:pStyle w:val="Prrafodelista"/>
        <w:spacing w:after="0"/>
        <w:ind w:left="426"/>
        <w:contextualSpacing/>
        <w:jc w:val="both"/>
        <w:rPr>
          <w:rFonts w:ascii="Arial" w:hAnsi="Arial" w:cs="Arial"/>
          <w:bCs/>
          <w:sz w:val="24"/>
        </w:rPr>
      </w:pPr>
    </w:p>
    <w:p w:rsidR="008C13D5" w:rsidRPr="00E143F3" w:rsidRDefault="008C13D5" w:rsidP="008C13D5">
      <w:pPr>
        <w:pStyle w:val="Prrafodelista"/>
        <w:spacing w:after="0"/>
        <w:ind w:left="426"/>
        <w:contextualSpacing/>
        <w:jc w:val="both"/>
        <w:rPr>
          <w:rFonts w:ascii="Arial" w:hAnsi="Arial" w:cs="Arial"/>
          <w:b/>
          <w:bCs/>
          <w:sz w:val="24"/>
        </w:rPr>
      </w:pPr>
      <w:r w:rsidRPr="00E143F3">
        <w:rPr>
          <w:rFonts w:ascii="Arial" w:hAnsi="Arial" w:cs="Arial"/>
          <w:b/>
          <w:bCs/>
          <w:sz w:val="24"/>
        </w:rPr>
        <w:t>Objeto de la revisión.-</w:t>
      </w:r>
    </w:p>
    <w:p w:rsidR="00E143F3" w:rsidRDefault="008C13D5" w:rsidP="00E143F3">
      <w:pPr>
        <w:pStyle w:val="Prrafodelista"/>
        <w:spacing w:after="0"/>
        <w:ind w:left="426"/>
        <w:contextualSpacing/>
        <w:jc w:val="both"/>
        <w:rPr>
          <w:rFonts w:ascii="Arial" w:hAnsi="Arial" w:cs="Arial"/>
          <w:bCs/>
          <w:sz w:val="24"/>
        </w:rPr>
      </w:pPr>
      <w:r w:rsidRPr="008C13D5">
        <w:rPr>
          <w:rFonts w:ascii="Arial" w:hAnsi="Arial" w:cs="Arial"/>
          <w:bCs/>
          <w:sz w:val="24"/>
        </w:rPr>
        <w:t xml:space="preserve">Para </w:t>
      </w:r>
      <w:r w:rsidR="008E14DB">
        <w:rPr>
          <w:rFonts w:ascii="Arial" w:hAnsi="Arial" w:cs="Arial"/>
          <w:bCs/>
          <w:sz w:val="24"/>
        </w:rPr>
        <w:t xml:space="preserve">cumplir con lo solicitado, la </w:t>
      </w:r>
      <w:r w:rsidRPr="008C13D5">
        <w:rPr>
          <w:rFonts w:ascii="Arial" w:hAnsi="Arial" w:cs="Arial"/>
          <w:bCs/>
          <w:sz w:val="24"/>
        </w:rPr>
        <w:t>Auditoría Superior de</w:t>
      </w:r>
      <w:r w:rsidR="00E143F3">
        <w:rPr>
          <w:rFonts w:ascii="Arial" w:hAnsi="Arial" w:cs="Arial"/>
          <w:bCs/>
          <w:sz w:val="24"/>
        </w:rPr>
        <w:t xml:space="preserve">l Estado, programó una revisión </w:t>
      </w:r>
      <w:r w:rsidRPr="00E143F3">
        <w:rPr>
          <w:rFonts w:ascii="Arial" w:hAnsi="Arial" w:cs="Arial"/>
          <w:bCs/>
          <w:sz w:val="24"/>
        </w:rPr>
        <w:t>específica con el objeto de verificar si la operación de los sistemas de registro y contabilidad, se</w:t>
      </w:r>
      <w:r w:rsidR="00E143F3">
        <w:rPr>
          <w:rFonts w:ascii="Arial" w:hAnsi="Arial" w:cs="Arial"/>
          <w:bCs/>
          <w:sz w:val="24"/>
        </w:rPr>
        <w:t xml:space="preserve"> </w:t>
      </w:r>
      <w:r w:rsidRPr="00E143F3">
        <w:rPr>
          <w:rFonts w:ascii="Arial" w:hAnsi="Arial" w:cs="Arial"/>
          <w:bCs/>
          <w:sz w:val="24"/>
        </w:rPr>
        <w:t xml:space="preserve">encuentran alineados a la LGCG y a la normativa emitida por el </w:t>
      </w:r>
      <w:proofErr w:type="spellStart"/>
      <w:r w:rsidRPr="00E143F3">
        <w:rPr>
          <w:rFonts w:ascii="Arial" w:hAnsi="Arial" w:cs="Arial"/>
          <w:bCs/>
          <w:sz w:val="24"/>
        </w:rPr>
        <w:t>Conac</w:t>
      </w:r>
      <w:proofErr w:type="spellEnd"/>
      <w:r w:rsidRPr="00E143F3">
        <w:rPr>
          <w:rFonts w:ascii="Arial" w:hAnsi="Arial" w:cs="Arial"/>
          <w:bCs/>
          <w:sz w:val="24"/>
        </w:rPr>
        <w:t xml:space="preserve"> en la materia.</w:t>
      </w:r>
      <w:r w:rsidR="00E143F3">
        <w:rPr>
          <w:rFonts w:ascii="Arial" w:hAnsi="Arial" w:cs="Arial"/>
          <w:bCs/>
          <w:sz w:val="24"/>
        </w:rPr>
        <w:t xml:space="preserve"> </w:t>
      </w:r>
    </w:p>
    <w:p w:rsidR="00E143F3" w:rsidRDefault="00E143F3" w:rsidP="00E143F3">
      <w:pPr>
        <w:pStyle w:val="Prrafodelista"/>
        <w:spacing w:after="0"/>
        <w:ind w:left="426"/>
        <w:contextualSpacing/>
        <w:jc w:val="both"/>
        <w:rPr>
          <w:rFonts w:ascii="Arial" w:hAnsi="Arial" w:cs="Arial"/>
          <w:bCs/>
          <w:sz w:val="24"/>
        </w:rPr>
      </w:pPr>
    </w:p>
    <w:p w:rsidR="008C13D5" w:rsidRPr="00E143F3" w:rsidRDefault="008C13D5" w:rsidP="00E143F3">
      <w:pPr>
        <w:pStyle w:val="Prrafodelista"/>
        <w:spacing w:after="0"/>
        <w:ind w:left="426"/>
        <w:contextualSpacing/>
        <w:jc w:val="both"/>
        <w:rPr>
          <w:rFonts w:ascii="Arial" w:hAnsi="Arial" w:cs="Arial"/>
          <w:b/>
          <w:bCs/>
          <w:sz w:val="24"/>
        </w:rPr>
      </w:pPr>
      <w:r w:rsidRPr="00E143F3">
        <w:rPr>
          <w:rFonts w:ascii="Arial" w:hAnsi="Arial" w:cs="Arial"/>
          <w:b/>
          <w:bCs/>
          <w:sz w:val="24"/>
        </w:rPr>
        <w:t>Procedimientos de auditoría realizados.-</w:t>
      </w:r>
    </w:p>
    <w:p w:rsidR="008C13D5" w:rsidRPr="00E143F3" w:rsidRDefault="008C13D5" w:rsidP="00E143F3">
      <w:pPr>
        <w:pStyle w:val="Prrafodelista"/>
        <w:spacing w:after="0"/>
        <w:ind w:left="426"/>
        <w:contextualSpacing/>
        <w:jc w:val="both"/>
        <w:rPr>
          <w:rFonts w:ascii="Arial" w:hAnsi="Arial" w:cs="Arial"/>
          <w:bCs/>
          <w:sz w:val="24"/>
        </w:rPr>
      </w:pPr>
      <w:r w:rsidRPr="008C13D5">
        <w:rPr>
          <w:rFonts w:ascii="Arial" w:hAnsi="Arial" w:cs="Arial"/>
          <w:bCs/>
          <w:sz w:val="24"/>
        </w:rPr>
        <w:t xml:space="preserve">Para efectuar lo anterior, el procedimiento consistió en aplicar en </w:t>
      </w:r>
      <w:r w:rsidR="00E143F3">
        <w:rPr>
          <w:rFonts w:ascii="Arial" w:hAnsi="Arial" w:cs="Arial"/>
          <w:bCs/>
          <w:sz w:val="24"/>
        </w:rPr>
        <w:t xml:space="preserve">el Ente Público un cuestionario </w:t>
      </w:r>
      <w:r w:rsidRPr="00E143F3">
        <w:rPr>
          <w:rFonts w:ascii="Arial" w:hAnsi="Arial" w:cs="Arial"/>
          <w:bCs/>
          <w:sz w:val="24"/>
        </w:rPr>
        <w:t>basado en las Guías de Revisión para el Cumplimiento de la LGCG y los documentos emitidos por</w:t>
      </w:r>
      <w:r w:rsidR="00E143F3">
        <w:rPr>
          <w:rFonts w:ascii="Arial" w:hAnsi="Arial" w:cs="Arial"/>
          <w:bCs/>
          <w:sz w:val="24"/>
        </w:rPr>
        <w:t xml:space="preserve"> </w:t>
      </w:r>
      <w:r w:rsidRPr="00E143F3">
        <w:rPr>
          <w:rFonts w:ascii="Arial" w:hAnsi="Arial" w:cs="Arial"/>
          <w:bCs/>
          <w:sz w:val="24"/>
        </w:rPr>
        <w:t xml:space="preserve">el </w:t>
      </w:r>
      <w:proofErr w:type="spellStart"/>
      <w:r w:rsidRPr="00E143F3">
        <w:rPr>
          <w:rFonts w:ascii="Arial" w:hAnsi="Arial" w:cs="Arial"/>
          <w:bCs/>
          <w:sz w:val="24"/>
        </w:rPr>
        <w:t>Conac</w:t>
      </w:r>
      <w:proofErr w:type="spellEnd"/>
      <w:r w:rsidRPr="00E143F3">
        <w:rPr>
          <w:rFonts w:ascii="Arial" w:hAnsi="Arial" w:cs="Arial"/>
          <w:bCs/>
          <w:sz w:val="24"/>
        </w:rPr>
        <w:t>, recabando evidencia y evaluando el grado de avance en la implementación y</w:t>
      </w:r>
      <w:r w:rsidR="00E143F3">
        <w:rPr>
          <w:rFonts w:ascii="Arial" w:hAnsi="Arial" w:cs="Arial"/>
          <w:bCs/>
          <w:sz w:val="24"/>
        </w:rPr>
        <w:t xml:space="preserve"> </w:t>
      </w:r>
      <w:r w:rsidRPr="00E143F3">
        <w:rPr>
          <w:rFonts w:ascii="Arial" w:hAnsi="Arial" w:cs="Arial"/>
          <w:bCs/>
          <w:sz w:val="24"/>
        </w:rPr>
        <w:t>observancia de la normativa vigente en la materia.</w:t>
      </w:r>
    </w:p>
    <w:p w:rsidR="00E143F3" w:rsidRDefault="00E143F3" w:rsidP="008C13D5">
      <w:pPr>
        <w:pStyle w:val="Prrafodelista"/>
        <w:spacing w:after="0"/>
        <w:ind w:left="426"/>
        <w:contextualSpacing/>
        <w:jc w:val="both"/>
        <w:rPr>
          <w:rFonts w:ascii="Arial" w:hAnsi="Arial" w:cs="Arial"/>
          <w:bCs/>
          <w:sz w:val="24"/>
        </w:rPr>
      </w:pPr>
    </w:p>
    <w:p w:rsidR="008C13D5" w:rsidRPr="00E143F3" w:rsidRDefault="008C13D5" w:rsidP="008C13D5">
      <w:pPr>
        <w:pStyle w:val="Prrafodelista"/>
        <w:spacing w:after="0"/>
        <w:ind w:left="426"/>
        <w:contextualSpacing/>
        <w:jc w:val="both"/>
        <w:rPr>
          <w:rFonts w:ascii="Arial" w:hAnsi="Arial" w:cs="Arial"/>
          <w:b/>
          <w:bCs/>
          <w:sz w:val="24"/>
        </w:rPr>
      </w:pPr>
      <w:r w:rsidRPr="00E143F3">
        <w:rPr>
          <w:rFonts w:ascii="Arial" w:hAnsi="Arial" w:cs="Arial"/>
          <w:b/>
          <w:bCs/>
          <w:sz w:val="24"/>
        </w:rPr>
        <w:t>Resultados obtenidos.-</w:t>
      </w:r>
    </w:p>
    <w:p w:rsidR="008C13D5" w:rsidRDefault="008C13D5" w:rsidP="00E143F3">
      <w:pPr>
        <w:pStyle w:val="Prrafodelista"/>
        <w:spacing w:after="0"/>
        <w:ind w:left="426"/>
        <w:contextualSpacing/>
        <w:jc w:val="both"/>
        <w:rPr>
          <w:rFonts w:ascii="Arial" w:hAnsi="Arial" w:cs="Arial"/>
          <w:bCs/>
          <w:sz w:val="24"/>
        </w:rPr>
      </w:pPr>
      <w:r w:rsidRPr="008C13D5">
        <w:rPr>
          <w:rFonts w:ascii="Arial" w:hAnsi="Arial" w:cs="Arial"/>
          <w:bCs/>
          <w:sz w:val="24"/>
        </w:rPr>
        <w:t>Los resultados obtenidos de la referida revisión, se reflejan en</w:t>
      </w:r>
      <w:r w:rsidR="00E143F3">
        <w:rPr>
          <w:rFonts w:ascii="Arial" w:hAnsi="Arial" w:cs="Arial"/>
          <w:bCs/>
          <w:sz w:val="24"/>
        </w:rPr>
        <w:t xml:space="preserve"> la observación indicada con el </w:t>
      </w:r>
      <w:r w:rsidRPr="00E143F3">
        <w:rPr>
          <w:rFonts w:ascii="Arial" w:hAnsi="Arial" w:cs="Arial"/>
          <w:bCs/>
          <w:sz w:val="24"/>
        </w:rPr>
        <w:t>número 1, en el apartado VII del presente informe.</w:t>
      </w:r>
    </w:p>
    <w:p w:rsidR="00E143F3" w:rsidRPr="00E143F3" w:rsidRDefault="00E143F3" w:rsidP="00E143F3">
      <w:pPr>
        <w:pStyle w:val="Prrafodelista"/>
        <w:spacing w:after="0"/>
        <w:ind w:left="426"/>
        <w:contextualSpacing/>
        <w:jc w:val="both"/>
        <w:rPr>
          <w:rFonts w:ascii="Arial" w:hAnsi="Arial" w:cs="Arial"/>
          <w:bCs/>
          <w:sz w:val="24"/>
        </w:rPr>
      </w:pPr>
    </w:p>
    <w:p w:rsidR="008C13D5" w:rsidRPr="00B67BEE" w:rsidRDefault="008C13D5" w:rsidP="008C13D5">
      <w:pPr>
        <w:pStyle w:val="Prrafodelista"/>
        <w:spacing w:after="0"/>
        <w:ind w:left="426"/>
        <w:contextualSpacing/>
        <w:jc w:val="both"/>
        <w:rPr>
          <w:rFonts w:ascii="Arial" w:hAnsi="Arial" w:cs="Arial"/>
          <w:b/>
          <w:sz w:val="24"/>
        </w:rPr>
      </w:pPr>
    </w:p>
    <w:p w:rsidR="009C0345" w:rsidRPr="00B67BEE" w:rsidRDefault="009C0345" w:rsidP="007B122C">
      <w:pPr>
        <w:spacing w:after="0"/>
        <w:ind w:left="708"/>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proofErr w:type="spellStart"/>
      <w:r w:rsidR="00EF3C47">
        <w:rPr>
          <w:rFonts w:ascii="Arial" w:hAnsi="Arial" w:cs="Arial"/>
          <w:bCs/>
          <w:sz w:val="24"/>
        </w:rPr>
        <w:t>Organo</w:t>
      </w:r>
      <w:proofErr w:type="spellEnd"/>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hAnsi="Arial" w:cs="Arial"/>
          <w:bCs/>
          <w:sz w:val="24"/>
        </w:rPr>
      </w:pPr>
      <w:r>
        <w:rPr>
          <w:rFonts w:ascii="Arial" w:hAnsi="Arial" w:cs="Arial"/>
          <w:bCs/>
          <w:sz w:val="24"/>
        </w:rPr>
        <w:t>En este apartado, l</w:t>
      </w:r>
      <w:r w:rsidR="00807DB8">
        <w:rPr>
          <w:rFonts w:ascii="Arial" w:hAnsi="Arial" w:cs="Arial"/>
          <w:bCs/>
          <w:sz w:val="24"/>
        </w:rPr>
        <w:t>a Auditoría nos</w:t>
      </w:r>
      <w:r w:rsidR="00D20613">
        <w:rPr>
          <w:rFonts w:ascii="Arial" w:hAnsi="Arial" w:cs="Arial"/>
          <w:bCs/>
          <w:sz w:val="24"/>
        </w:rPr>
        <w:t xml:space="preserve"> indica</w:t>
      </w:r>
      <w:r w:rsidR="00807DB8">
        <w:rPr>
          <w:rFonts w:ascii="Arial" w:hAnsi="Arial" w:cs="Arial"/>
          <w:bCs/>
          <w:sz w:val="24"/>
        </w:rPr>
        <w:t xml:space="preserve"> </w:t>
      </w:r>
      <w:r w:rsidR="008C13D5">
        <w:rPr>
          <w:rFonts w:ascii="Arial" w:hAnsi="Arial" w:cs="Arial"/>
          <w:bCs/>
          <w:sz w:val="24"/>
        </w:rPr>
        <w:t xml:space="preserve">que existe una promoción del </w:t>
      </w:r>
      <w:proofErr w:type="spellStart"/>
      <w:r w:rsidR="008C13D5">
        <w:rPr>
          <w:rFonts w:ascii="Arial" w:hAnsi="Arial" w:cs="Arial"/>
          <w:bCs/>
          <w:sz w:val="24"/>
        </w:rPr>
        <w:t>f</w:t>
      </w:r>
      <w:r w:rsidR="008C13D5" w:rsidRPr="008C13D5">
        <w:rPr>
          <w:rFonts w:ascii="Arial" w:hAnsi="Arial" w:cs="Arial"/>
          <w:bCs/>
          <w:sz w:val="24"/>
        </w:rPr>
        <w:t>inc</w:t>
      </w:r>
      <w:r w:rsidR="008C13D5">
        <w:rPr>
          <w:rFonts w:ascii="Arial" w:hAnsi="Arial" w:cs="Arial"/>
          <w:bCs/>
          <w:sz w:val="24"/>
        </w:rPr>
        <w:t>amiento</w:t>
      </w:r>
      <w:proofErr w:type="spellEnd"/>
      <w:r w:rsidR="008C13D5">
        <w:rPr>
          <w:rFonts w:ascii="Arial" w:hAnsi="Arial" w:cs="Arial"/>
          <w:bCs/>
          <w:sz w:val="24"/>
        </w:rPr>
        <w:t xml:space="preserve"> de responsabilidad a</w:t>
      </w:r>
      <w:r w:rsidR="008C13D5" w:rsidRPr="008C13D5">
        <w:rPr>
          <w:rFonts w:ascii="Arial" w:hAnsi="Arial" w:cs="Arial"/>
          <w:bCs/>
          <w:sz w:val="24"/>
        </w:rPr>
        <w:t>dministrativa (PFRA)</w:t>
      </w:r>
      <w:r w:rsidR="007B122C">
        <w:rPr>
          <w:rFonts w:ascii="Arial" w:hAnsi="Arial" w:cs="Arial"/>
          <w:bCs/>
          <w:sz w:val="24"/>
        </w:rPr>
        <w:t xml:space="preserve"> </w:t>
      </w:r>
      <w:r w:rsidR="008C13D5">
        <w:rPr>
          <w:rFonts w:ascii="Arial" w:hAnsi="Arial" w:cs="Arial"/>
          <w:bCs/>
          <w:sz w:val="24"/>
        </w:rPr>
        <w:t>pendientes de trámite correspondiente al ejercicio fiscal 2014.</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7B122C" w:rsidRPr="007B122C" w:rsidRDefault="00FA27A6" w:rsidP="007B122C">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w:t>
      </w:r>
      <w:r w:rsidR="00342167" w:rsidRPr="00342167">
        <w:rPr>
          <w:rFonts w:ascii="Arial" w:hAnsi="Arial" w:cs="Arial"/>
          <w:bCs/>
          <w:sz w:val="24"/>
          <w:szCs w:val="24"/>
        </w:rPr>
        <w:t>del Poder Judicial del Estado de Nuevo L</w:t>
      </w:r>
      <w:r w:rsidR="00342167">
        <w:rPr>
          <w:rFonts w:ascii="Arial" w:hAnsi="Arial" w:cs="Arial"/>
          <w:bCs/>
          <w:sz w:val="24"/>
          <w:szCs w:val="24"/>
        </w:rPr>
        <w:t xml:space="preserve">eón H. Consejo de la Judicatura, </w:t>
      </w:r>
      <w:r w:rsidR="007B122C" w:rsidRPr="007B122C">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007B122C" w:rsidRPr="007B122C">
        <w:rPr>
          <w:rFonts w:ascii="Arial" w:hAnsi="Arial" w:cs="Arial"/>
          <w:bCs/>
          <w:sz w:val="24"/>
          <w:szCs w:val="24"/>
        </w:rPr>
        <w:t>fiscalizado</w:t>
      </w:r>
      <w:proofErr w:type="spellEnd"/>
      <w:r w:rsidR="007B122C" w:rsidRPr="007B122C">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w:t>
      </w:r>
    </w:p>
    <w:p w:rsidR="009C0345" w:rsidRPr="00295C16" w:rsidRDefault="007B122C" w:rsidP="008C13D5">
      <w:pPr>
        <w:spacing w:before="240" w:line="360" w:lineRule="auto"/>
        <w:ind w:firstLine="709"/>
        <w:jc w:val="both"/>
        <w:rPr>
          <w:rFonts w:ascii="Arial" w:hAnsi="Arial" w:cs="Arial"/>
          <w:bCs/>
          <w:sz w:val="24"/>
          <w:szCs w:val="24"/>
        </w:rPr>
      </w:pPr>
      <w:r w:rsidRPr="007B122C">
        <w:rPr>
          <w:rFonts w:ascii="Arial" w:hAnsi="Arial" w:cs="Arial"/>
          <w:bCs/>
          <w:sz w:val="24"/>
          <w:szCs w:val="24"/>
        </w:rPr>
        <w:lastRenderedPageBreak/>
        <w:t xml:space="preserve">En lo particular, conviene resaltar que en el Dictamen de Revisión que acompaña al informe de resultados, signado por el Titular de la Auditoría Superior del Estado, se indica que la información presentada en </w:t>
      </w:r>
      <w:r w:rsidR="008C13D5">
        <w:rPr>
          <w:rFonts w:ascii="Arial" w:hAnsi="Arial" w:cs="Arial"/>
          <w:bCs/>
          <w:sz w:val="24"/>
          <w:szCs w:val="24"/>
        </w:rPr>
        <w:t>la cuenta pública es razonable.</w:t>
      </w:r>
    </w:p>
    <w:p w:rsidR="007B122C" w:rsidRPr="007B122C" w:rsidRDefault="009C0345" w:rsidP="008C13D5">
      <w:pPr>
        <w:spacing w:line="360" w:lineRule="auto"/>
        <w:ind w:firstLine="708"/>
        <w:jc w:val="both"/>
        <w:rPr>
          <w:rFonts w:ascii="Arial" w:hAnsi="Arial" w:cs="Arial"/>
          <w:bCs/>
          <w:sz w:val="24"/>
          <w:szCs w:val="24"/>
        </w:rPr>
      </w:pPr>
      <w:r w:rsidRPr="00295C16">
        <w:rPr>
          <w:rFonts w:ascii="Arial" w:hAnsi="Arial" w:cs="Arial"/>
          <w:b/>
          <w:bCs/>
          <w:sz w:val="24"/>
          <w:szCs w:val="24"/>
        </w:rPr>
        <w:t xml:space="preserve">TERCERA: </w:t>
      </w:r>
      <w:r w:rsidR="007B122C" w:rsidRPr="007B122C">
        <w:rPr>
          <w:rFonts w:ascii="Arial" w:hAnsi="Arial" w:cs="Arial"/>
          <w:bCs/>
          <w:sz w:val="24"/>
          <w:szCs w:val="24"/>
        </w:rPr>
        <w:t xml:space="preserve">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w:t>
      </w:r>
      <w:r w:rsidR="008C13D5">
        <w:rPr>
          <w:rFonts w:ascii="Arial" w:hAnsi="Arial" w:cs="Arial"/>
          <w:bCs/>
          <w:sz w:val="24"/>
          <w:szCs w:val="24"/>
        </w:rPr>
        <w:t>que considere pertinente hacer.</w:t>
      </w:r>
    </w:p>
    <w:p w:rsidR="007B122C" w:rsidRPr="007B122C" w:rsidRDefault="007B122C" w:rsidP="007B122C">
      <w:pPr>
        <w:spacing w:line="360" w:lineRule="auto"/>
        <w:ind w:firstLine="708"/>
        <w:jc w:val="both"/>
        <w:rPr>
          <w:rFonts w:ascii="Arial" w:hAnsi="Arial" w:cs="Arial"/>
          <w:sz w:val="24"/>
          <w:szCs w:val="24"/>
        </w:rPr>
      </w:pPr>
      <w:r w:rsidRPr="007B122C">
        <w:rPr>
          <w:rFonts w:ascii="Arial" w:hAnsi="Arial" w:cs="Arial"/>
          <w:bCs/>
          <w:sz w:val="24"/>
          <w:szCs w:val="24"/>
        </w:rPr>
        <w:t xml:space="preserve">Al respecto, la Auditoría Superior revisó los argumentos establecidos por el titular del ente </w:t>
      </w:r>
      <w:proofErr w:type="spellStart"/>
      <w:r w:rsidRPr="007B122C">
        <w:rPr>
          <w:rFonts w:ascii="Arial" w:hAnsi="Arial" w:cs="Arial"/>
          <w:bCs/>
          <w:sz w:val="24"/>
          <w:szCs w:val="24"/>
        </w:rPr>
        <w:t>fiscalizado</w:t>
      </w:r>
      <w:proofErr w:type="spellEnd"/>
      <w:r w:rsidRPr="007B122C">
        <w:rPr>
          <w:rFonts w:ascii="Arial" w:hAnsi="Arial" w:cs="Arial"/>
          <w:bCs/>
          <w:sz w:val="24"/>
          <w:szCs w:val="24"/>
        </w:rPr>
        <w:t>,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007B122C">
        <w:rPr>
          <w:rFonts w:ascii="Arial" w:hAnsi="Arial" w:cs="Arial"/>
          <w:sz w:val="24"/>
          <w:szCs w:val="24"/>
        </w:rPr>
        <w:t xml:space="preserve">La Auditoría nos informa también que </w:t>
      </w:r>
      <w:r w:rsidR="007B122C" w:rsidRPr="00975896">
        <w:rPr>
          <w:rFonts w:ascii="Arial" w:hAnsi="Arial" w:cs="Arial"/>
          <w:sz w:val="24"/>
          <w:szCs w:val="24"/>
        </w:rPr>
        <w:t>respecto al</w:t>
      </w:r>
      <w:r w:rsidR="007B122C">
        <w:rPr>
          <w:rFonts w:ascii="Arial" w:hAnsi="Arial" w:cs="Arial"/>
          <w:sz w:val="24"/>
          <w:szCs w:val="24"/>
        </w:rPr>
        <w:t xml:space="preserve"> trámite y resultados obtenidos, </w:t>
      </w:r>
      <w:r w:rsidR="007B122C" w:rsidRPr="00975896">
        <w:rPr>
          <w:rFonts w:ascii="Arial" w:hAnsi="Arial" w:cs="Arial"/>
          <w:sz w:val="24"/>
          <w:szCs w:val="24"/>
        </w:rPr>
        <w:t xml:space="preserve">derivados de las solicitudes formuladas </w:t>
      </w:r>
      <w:r w:rsidR="007B122C">
        <w:rPr>
          <w:rFonts w:ascii="Arial" w:hAnsi="Arial" w:cs="Arial"/>
          <w:sz w:val="24"/>
          <w:szCs w:val="24"/>
        </w:rPr>
        <w:t xml:space="preserve">que en su caso </w:t>
      </w:r>
      <w:r w:rsidR="007B122C" w:rsidRPr="00975896">
        <w:rPr>
          <w:rFonts w:ascii="Arial" w:hAnsi="Arial" w:cs="Arial"/>
          <w:sz w:val="24"/>
          <w:szCs w:val="24"/>
        </w:rPr>
        <w:t xml:space="preserve"> el Congreso del Estado</w:t>
      </w:r>
      <w:r w:rsidR="007B122C">
        <w:rPr>
          <w:rFonts w:ascii="Arial" w:hAnsi="Arial" w:cs="Arial"/>
          <w:sz w:val="24"/>
          <w:szCs w:val="24"/>
        </w:rPr>
        <w:t xml:space="preserve"> considerara necesarias solicitar para ser atendidas en </w:t>
      </w:r>
      <w:r w:rsidR="007B122C">
        <w:rPr>
          <w:rFonts w:ascii="Arial" w:hAnsi="Arial" w:cs="Arial"/>
          <w:sz w:val="24"/>
          <w:szCs w:val="24"/>
        </w:rPr>
        <w:lastRenderedPageBreak/>
        <w:t xml:space="preserve">el proceso de auditoría que se realizó al Ente Público, es de destacar que los resultados de dichas solicitudes se incluye en el informe de resultados que se analiza, en el apartado de observaciones.  </w:t>
      </w:r>
    </w:p>
    <w:p w:rsidR="00975896" w:rsidRPr="00975896" w:rsidRDefault="00E72928" w:rsidP="009A7A82">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7B122C" w:rsidRPr="007F5756">
        <w:rPr>
          <w:rFonts w:ascii="Arial" w:hAnsi="Arial" w:cs="Arial"/>
          <w:sz w:val="24"/>
          <w:szCs w:val="24"/>
        </w:rPr>
        <w:t>Adicionalmente</w:t>
      </w:r>
      <w:r w:rsidR="007B122C">
        <w:rPr>
          <w:rFonts w:ascii="Arial" w:hAnsi="Arial" w:cs="Arial"/>
          <w:sz w:val="24"/>
          <w:szCs w:val="24"/>
        </w:rPr>
        <w:t>,</w:t>
      </w:r>
      <w:r w:rsidR="007B122C" w:rsidRPr="007F5756">
        <w:rPr>
          <w:rFonts w:ascii="Arial" w:hAnsi="Arial" w:cs="Arial"/>
          <w:sz w:val="24"/>
          <w:szCs w:val="24"/>
        </w:rPr>
        <w:t xml:space="preserve"> se nos informa que durante </w:t>
      </w:r>
      <w:r w:rsidR="008C13D5">
        <w:rPr>
          <w:rFonts w:ascii="Arial" w:hAnsi="Arial" w:cs="Arial"/>
          <w:sz w:val="24"/>
          <w:szCs w:val="24"/>
        </w:rPr>
        <w:t>el ejercicio 2015</w:t>
      </w:r>
      <w:r w:rsidR="007B122C">
        <w:rPr>
          <w:rFonts w:ascii="Arial" w:hAnsi="Arial" w:cs="Arial"/>
          <w:sz w:val="24"/>
          <w:szCs w:val="24"/>
        </w:rPr>
        <w:t xml:space="preserve">, </w:t>
      </w:r>
      <w:r w:rsidR="007B122C" w:rsidRPr="007F5756">
        <w:rPr>
          <w:rFonts w:ascii="Arial" w:hAnsi="Arial" w:cs="Arial"/>
          <w:sz w:val="24"/>
          <w:szCs w:val="24"/>
        </w:rPr>
        <w:t>no se recibieron solicitudes de revisión de situaciones excepcionales en relación a la cuenta pública</w:t>
      </w:r>
      <w:r w:rsidR="007B122C">
        <w:rPr>
          <w:rFonts w:ascii="Arial" w:hAnsi="Arial" w:cs="Arial"/>
          <w:sz w:val="24"/>
          <w:szCs w:val="24"/>
        </w:rPr>
        <w:t xml:space="preserve"> del Organismo</w:t>
      </w:r>
      <w:r w:rsidR="007B122C" w:rsidRPr="007F5756">
        <w:rPr>
          <w:rFonts w:ascii="Arial" w:hAnsi="Arial" w:cs="Arial"/>
          <w:sz w:val="24"/>
          <w:szCs w:val="24"/>
        </w:rPr>
        <w:t xml:space="preserve"> </w:t>
      </w:r>
      <w:r w:rsidR="007B122C">
        <w:rPr>
          <w:rFonts w:ascii="Arial" w:hAnsi="Arial" w:cs="Arial"/>
          <w:sz w:val="24"/>
          <w:szCs w:val="24"/>
        </w:rPr>
        <w:t>auditado.</w:t>
      </w:r>
    </w:p>
    <w:p w:rsidR="00975896" w:rsidRPr="00EB01DD" w:rsidRDefault="00975896" w:rsidP="009A7A82">
      <w:pPr>
        <w:spacing w:after="0" w:line="360" w:lineRule="auto"/>
        <w:ind w:left="708" w:firstLine="708"/>
        <w:jc w:val="both"/>
        <w:rPr>
          <w:rFonts w:ascii="Arial" w:hAnsi="Arial" w:cs="Arial"/>
        </w:rPr>
      </w:pPr>
    </w:p>
    <w:p w:rsidR="007F5756" w:rsidRDefault="00975896" w:rsidP="009A7A82">
      <w:pPr>
        <w:autoSpaceDE w:val="0"/>
        <w:autoSpaceDN w:val="0"/>
        <w:adjustRightInd w:val="0"/>
        <w:spacing w:after="0" w:line="360" w:lineRule="auto"/>
        <w:ind w:firstLine="708"/>
        <w:jc w:val="both"/>
        <w:rPr>
          <w:rFonts w:ascii="Arial" w:hAnsi="Arial" w:cs="Arial"/>
          <w:bCs/>
          <w:sz w:val="24"/>
        </w:rPr>
      </w:pPr>
      <w:r w:rsidRPr="00E72928">
        <w:rPr>
          <w:rFonts w:ascii="Arial" w:hAnsi="Arial" w:cs="Arial"/>
          <w:b/>
          <w:sz w:val="24"/>
          <w:szCs w:val="24"/>
        </w:rPr>
        <w:t>SEXTA:</w:t>
      </w:r>
      <w:r w:rsidRPr="00EB01DD">
        <w:rPr>
          <w:rFonts w:ascii="Arial" w:hAnsi="Arial" w:cs="Arial"/>
          <w:b/>
        </w:rPr>
        <w:t xml:space="preserve"> </w:t>
      </w:r>
      <w:r w:rsidR="007B122C" w:rsidRPr="008C13D5">
        <w:rPr>
          <w:rFonts w:ascii="Arial" w:hAnsi="Arial" w:cs="Arial"/>
        </w:rPr>
        <w:t>En cuanto a la s</w:t>
      </w:r>
      <w:r w:rsidR="007B122C" w:rsidRPr="008C13D5">
        <w:rPr>
          <w:rFonts w:ascii="Arial" w:hAnsi="Arial" w:cs="Arial"/>
          <w:sz w:val="24"/>
        </w:rPr>
        <w:t>ituación</w:t>
      </w:r>
      <w:r w:rsidR="007B122C" w:rsidRPr="007B122C">
        <w:rPr>
          <w:rFonts w:ascii="Arial" w:hAnsi="Arial" w:cs="Arial"/>
          <w:sz w:val="24"/>
        </w:rPr>
        <w:t xml:space="preserve"> que guardan las observaciones, recomendaciones y acciones promovidas, respecto de las Cuentas Públicas de los ejercicios anteriores, la Auditoría nos</w:t>
      </w:r>
      <w:r w:rsidR="007B122C">
        <w:rPr>
          <w:rFonts w:ascii="Arial" w:hAnsi="Arial" w:cs="Arial"/>
          <w:sz w:val="24"/>
        </w:rPr>
        <w:t xml:space="preserve"> informa</w:t>
      </w:r>
      <w:r w:rsidR="007B122C" w:rsidRPr="007B122C">
        <w:rPr>
          <w:rFonts w:ascii="Arial" w:hAnsi="Arial" w:cs="Arial"/>
          <w:sz w:val="24"/>
        </w:rPr>
        <w:t xml:space="preserve"> que </w:t>
      </w:r>
      <w:r w:rsidR="008C13D5">
        <w:rPr>
          <w:rFonts w:ascii="Arial" w:hAnsi="Arial" w:cs="Arial"/>
          <w:bCs/>
          <w:sz w:val="24"/>
        </w:rPr>
        <w:t xml:space="preserve">existe una promoción del </w:t>
      </w:r>
      <w:proofErr w:type="spellStart"/>
      <w:r w:rsidR="008C13D5">
        <w:rPr>
          <w:rFonts w:ascii="Arial" w:hAnsi="Arial" w:cs="Arial"/>
          <w:bCs/>
          <w:sz w:val="24"/>
        </w:rPr>
        <w:t>f</w:t>
      </w:r>
      <w:r w:rsidR="008C13D5" w:rsidRPr="008C13D5">
        <w:rPr>
          <w:rFonts w:ascii="Arial" w:hAnsi="Arial" w:cs="Arial"/>
          <w:bCs/>
          <w:sz w:val="24"/>
        </w:rPr>
        <w:t>inc</w:t>
      </w:r>
      <w:r w:rsidR="008C13D5">
        <w:rPr>
          <w:rFonts w:ascii="Arial" w:hAnsi="Arial" w:cs="Arial"/>
          <w:bCs/>
          <w:sz w:val="24"/>
        </w:rPr>
        <w:t>amiento</w:t>
      </w:r>
      <w:proofErr w:type="spellEnd"/>
      <w:r w:rsidR="008C13D5">
        <w:rPr>
          <w:rFonts w:ascii="Arial" w:hAnsi="Arial" w:cs="Arial"/>
          <w:bCs/>
          <w:sz w:val="24"/>
        </w:rPr>
        <w:t xml:space="preserve"> de responsabilidad a</w:t>
      </w:r>
      <w:r w:rsidR="008C13D5" w:rsidRPr="008C13D5">
        <w:rPr>
          <w:rFonts w:ascii="Arial" w:hAnsi="Arial" w:cs="Arial"/>
          <w:bCs/>
          <w:sz w:val="24"/>
        </w:rPr>
        <w:t>dministrativa (PFRA)</w:t>
      </w:r>
      <w:r w:rsidR="008C13D5">
        <w:rPr>
          <w:rFonts w:ascii="Arial" w:hAnsi="Arial" w:cs="Arial"/>
          <w:bCs/>
          <w:sz w:val="24"/>
        </w:rPr>
        <w:t xml:space="preserve"> pendientes de trámite correspondiente al ejercicio fiscal 2014.</w:t>
      </w:r>
    </w:p>
    <w:p w:rsidR="008C13D5" w:rsidRPr="007F5756" w:rsidRDefault="008C13D5" w:rsidP="009A7A82">
      <w:pPr>
        <w:autoSpaceDE w:val="0"/>
        <w:autoSpaceDN w:val="0"/>
        <w:adjustRightInd w:val="0"/>
        <w:spacing w:after="0" w:line="360" w:lineRule="auto"/>
        <w:ind w:firstLine="708"/>
        <w:jc w:val="both"/>
        <w:rPr>
          <w:rFonts w:ascii="Arial" w:hAnsi="Arial" w:cs="Arial"/>
          <w:sz w:val="24"/>
          <w:szCs w:val="24"/>
        </w:rPr>
      </w:pPr>
    </w:p>
    <w:p w:rsidR="00807DB8" w:rsidRDefault="00E72928" w:rsidP="00807DB8">
      <w:pPr>
        <w:spacing w:after="0" w:line="360" w:lineRule="auto"/>
        <w:ind w:firstLine="708"/>
        <w:jc w:val="both"/>
        <w:rPr>
          <w:rFonts w:ascii="Arial" w:hAnsi="Arial" w:cs="Arial"/>
          <w:b/>
          <w:bCs/>
          <w:sz w:val="24"/>
          <w:szCs w:val="24"/>
        </w:rPr>
      </w:pPr>
      <w:r>
        <w:rPr>
          <w:rFonts w:ascii="Arial" w:hAnsi="Arial" w:cs="Arial"/>
          <w:b/>
          <w:sz w:val="24"/>
          <w:szCs w:val="24"/>
        </w:rPr>
        <w:t>SEPTIMA</w:t>
      </w:r>
      <w:r w:rsidR="00975896" w:rsidRPr="007F779D">
        <w:rPr>
          <w:rFonts w:ascii="Arial" w:hAnsi="Arial" w:cs="Arial"/>
          <w:b/>
          <w:sz w:val="24"/>
          <w:szCs w:val="24"/>
        </w:rPr>
        <w:t>:</w:t>
      </w:r>
      <w:r w:rsidR="00975896" w:rsidRPr="00975896">
        <w:rPr>
          <w:rFonts w:ascii="Arial" w:hAnsi="Arial" w:cs="Arial"/>
          <w:sz w:val="24"/>
          <w:szCs w:val="24"/>
        </w:rPr>
        <w:t xml:space="preserve"> 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Pr>
          <w:rFonts w:ascii="Arial" w:hAnsi="Arial" w:cs="Arial"/>
          <w:bCs/>
          <w:sz w:val="24"/>
          <w:szCs w:val="24"/>
        </w:rPr>
        <w:t xml:space="preserve">al </w:t>
      </w:r>
      <w:r w:rsidR="00275AFD" w:rsidRPr="00C57BD9">
        <w:rPr>
          <w:rFonts w:ascii="Arial" w:hAnsi="Arial" w:cs="Arial"/>
          <w:b/>
          <w:bCs/>
          <w:sz w:val="24"/>
          <w:szCs w:val="24"/>
        </w:rPr>
        <w:t>PODER JUDICIAL DEL ESTADO DE NUEVO LEÓN H. CONSEJO DE LA JUDICATURA</w:t>
      </w:r>
      <w:r w:rsidR="00C57BD9" w:rsidRPr="00C57BD9">
        <w:rPr>
          <w:rFonts w:ascii="Arial" w:hAnsi="Arial" w:cs="Arial"/>
          <w:b/>
          <w:bCs/>
          <w:sz w:val="24"/>
          <w:szCs w:val="24"/>
        </w:rPr>
        <w:t>.</w:t>
      </w:r>
    </w:p>
    <w:p w:rsidR="00275AFD" w:rsidRDefault="002034D6" w:rsidP="002034D6">
      <w:pPr>
        <w:spacing w:before="240" w:line="360" w:lineRule="auto"/>
        <w:ind w:firstLine="708"/>
        <w:jc w:val="both"/>
        <w:rPr>
          <w:rFonts w:ascii="Arial" w:hAnsi="Arial" w:cs="Arial"/>
          <w:sz w:val="24"/>
          <w:szCs w:val="24"/>
          <w:lang w:val="es-MX"/>
        </w:rPr>
      </w:pPr>
      <w:r>
        <w:rPr>
          <w:rFonts w:ascii="Arial" w:hAnsi="Arial" w:cs="Arial"/>
          <w:sz w:val="24"/>
          <w:szCs w:val="24"/>
          <w:lang w:val="es-MX"/>
        </w:rPr>
        <w:t xml:space="preserve">Quienes integramos la comisión que suscribe, consideramos que </w:t>
      </w:r>
      <w:r w:rsidR="00275AFD" w:rsidRPr="00326CE5">
        <w:rPr>
          <w:rFonts w:ascii="Arial" w:hAnsi="Arial" w:cs="Arial"/>
          <w:sz w:val="24"/>
          <w:szCs w:val="24"/>
          <w:lang w:val="es-MX"/>
        </w:rPr>
        <w:t xml:space="preserve">las observaciones contenidas en el informe de resultados en estudio, </w:t>
      </w:r>
      <w:r w:rsidR="00275AFD">
        <w:rPr>
          <w:rFonts w:ascii="Arial" w:hAnsi="Arial" w:cs="Arial"/>
          <w:sz w:val="24"/>
          <w:szCs w:val="24"/>
          <w:lang w:val="es-MX"/>
        </w:rPr>
        <w:t>no</w:t>
      </w:r>
      <w:r w:rsidR="00275AFD" w:rsidRPr="00326CE5">
        <w:rPr>
          <w:rFonts w:ascii="Arial" w:hAnsi="Arial" w:cs="Arial"/>
          <w:sz w:val="24"/>
          <w:szCs w:val="24"/>
          <w:lang w:val="es-MX"/>
        </w:rPr>
        <w:t xml:space="preserve"> son causa suficiente para considerar que la generalidad de la actuación del ente revisado deba estimarse como deficiente y por lo mismo, </w:t>
      </w:r>
      <w:r w:rsidR="00275AFD" w:rsidRPr="00447FD9">
        <w:rPr>
          <w:rFonts w:ascii="Arial" w:hAnsi="Arial" w:cs="Arial"/>
          <w:sz w:val="24"/>
          <w:szCs w:val="24"/>
          <w:lang w:val="es-MX"/>
        </w:rPr>
        <w:t xml:space="preserve">la entidad revisada </w:t>
      </w:r>
      <w:r w:rsidR="00275AFD" w:rsidRPr="00447FD9">
        <w:rPr>
          <w:rFonts w:ascii="Arial" w:hAnsi="Arial" w:cs="Arial"/>
          <w:sz w:val="24"/>
          <w:szCs w:val="24"/>
          <w:lang w:val="es-MX"/>
        </w:rPr>
        <w:lastRenderedPageBreak/>
        <w:t xml:space="preserve">es acreedora a una manifestación de aprobación </w:t>
      </w:r>
      <w:r w:rsidR="00275AFD" w:rsidRPr="00326CE5">
        <w:rPr>
          <w:rFonts w:ascii="Arial" w:hAnsi="Arial" w:cs="Arial"/>
          <w:sz w:val="24"/>
          <w:szCs w:val="24"/>
          <w:lang w:val="es-MX"/>
        </w:rPr>
        <w:t>de parte de este Poder Legislativo respecto a su Cuenta Pública para el ejercicio fiscal 201</w:t>
      </w:r>
      <w:r w:rsidR="008C13D5">
        <w:rPr>
          <w:rFonts w:ascii="Arial" w:hAnsi="Arial" w:cs="Arial"/>
          <w:sz w:val="24"/>
          <w:szCs w:val="24"/>
          <w:lang w:val="es-MX"/>
        </w:rPr>
        <w:t>5</w:t>
      </w:r>
      <w:r w:rsidR="00275AFD" w:rsidRPr="00326CE5">
        <w:rPr>
          <w:rFonts w:ascii="Arial" w:hAnsi="Arial" w:cs="Arial"/>
          <w:sz w:val="24"/>
          <w:szCs w:val="24"/>
          <w:lang w:val="es-MX"/>
        </w:rPr>
        <w:t>.</w:t>
      </w:r>
    </w:p>
    <w:p w:rsidR="00275AFD" w:rsidRDefault="00275AFD" w:rsidP="00275AFD">
      <w:pPr>
        <w:spacing w:before="240" w:line="360" w:lineRule="auto"/>
        <w:ind w:firstLine="709"/>
        <w:jc w:val="both"/>
        <w:rPr>
          <w:rFonts w:ascii="Arial" w:hAnsi="Arial" w:cs="Arial"/>
          <w:sz w:val="24"/>
          <w:szCs w:val="24"/>
        </w:rPr>
      </w:pPr>
      <w:r>
        <w:rPr>
          <w:rFonts w:ascii="Arial" w:hAnsi="Arial" w:cs="Arial"/>
          <w:sz w:val="24"/>
          <w:szCs w:val="24"/>
        </w:rPr>
        <w:t>Cabe señalar que la aprobación o rechazo de una cuenta pública, no implica la suspensión de las acciones de promoción de responsabilidad que legítimamente corresponde a la Auditoría Superior del Estado llevar a cabo. Así mismo, tampoco prejuzga sobre la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Default="007E6300" w:rsidP="006C2B1B">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E82188" w:rsidRPr="00F072A9" w:rsidRDefault="00E82188" w:rsidP="00F072A9">
      <w:pPr>
        <w:pStyle w:val="Prrafodelista"/>
        <w:spacing w:before="240" w:line="360" w:lineRule="auto"/>
        <w:ind w:left="2880"/>
        <w:rPr>
          <w:rFonts w:ascii="Arial" w:hAnsi="Arial" w:cs="Arial"/>
          <w:b/>
          <w:sz w:val="24"/>
          <w:szCs w:val="24"/>
        </w:rPr>
      </w:pPr>
    </w:p>
    <w:p w:rsidR="00E82188" w:rsidRDefault="007E6300" w:rsidP="00C57BD9">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de</w:t>
      </w:r>
      <w:r w:rsidR="00275AFD">
        <w:rPr>
          <w:rFonts w:ascii="Arial" w:hAnsi="Arial" w:cs="Arial"/>
          <w:bCs/>
          <w:sz w:val="24"/>
          <w:szCs w:val="24"/>
        </w:rPr>
        <w:t xml:space="preserve"> la revisión de</w:t>
      </w:r>
      <w:r w:rsidR="008C13D5">
        <w:rPr>
          <w:rFonts w:ascii="Arial" w:hAnsi="Arial" w:cs="Arial"/>
          <w:bCs/>
          <w:sz w:val="24"/>
          <w:szCs w:val="24"/>
        </w:rPr>
        <w:t xml:space="preserve"> la Cuenta Pública 2015</w:t>
      </w:r>
      <w:r>
        <w:rPr>
          <w:rFonts w:ascii="Arial" w:hAnsi="Arial" w:cs="Arial"/>
          <w:bCs/>
          <w:sz w:val="24"/>
          <w:szCs w:val="24"/>
        </w:rPr>
        <w:t xml:space="preserve">, del </w:t>
      </w:r>
      <w:r w:rsidR="00C57BD9">
        <w:rPr>
          <w:rFonts w:ascii="Arial" w:hAnsi="Arial" w:cs="Arial"/>
          <w:b/>
          <w:bCs/>
          <w:sz w:val="24"/>
          <w:szCs w:val="24"/>
        </w:rPr>
        <w:t>PODER JUDICIAL DEL ESTADO DE NUEVO LEÓN H. CONSEJO DE LA JUDICATURA</w:t>
      </w:r>
      <w:r w:rsidR="00C57BD9" w:rsidRPr="00C57BD9">
        <w:rPr>
          <w:rFonts w:ascii="Arial" w:hAnsi="Arial" w:cs="Arial"/>
          <w:b/>
          <w:bCs/>
          <w:sz w:val="24"/>
          <w:szCs w:val="24"/>
        </w:rPr>
        <w:t>.</w:t>
      </w:r>
    </w:p>
    <w:p w:rsidR="00C57BD9" w:rsidRDefault="00C57BD9" w:rsidP="00275AFD">
      <w:pPr>
        <w:spacing w:after="0" w:line="360" w:lineRule="auto"/>
        <w:ind w:firstLine="708"/>
        <w:jc w:val="both"/>
        <w:rPr>
          <w:rFonts w:ascii="Arial" w:hAnsi="Arial" w:cs="Arial"/>
          <w:b/>
          <w:bCs/>
          <w:sz w:val="24"/>
          <w:szCs w:val="24"/>
        </w:rPr>
      </w:pPr>
    </w:p>
    <w:p w:rsidR="00275AFD" w:rsidRPr="008C13D5" w:rsidRDefault="00275AFD" w:rsidP="00275AFD">
      <w:pPr>
        <w:spacing w:line="360" w:lineRule="auto"/>
        <w:ind w:firstLine="708"/>
        <w:jc w:val="both"/>
        <w:rPr>
          <w:rFonts w:ascii="Arial" w:hAnsi="Arial" w:cs="Arial"/>
          <w:b/>
          <w:bCs/>
          <w:sz w:val="24"/>
          <w:szCs w:val="24"/>
          <w:u w:val="single"/>
        </w:rPr>
      </w:pPr>
      <w:r>
        <w:rPr>
          <w:rFonts w:ascii="Arial" w:hAnsi="Arial" w:cs="Arial"/>
          <w:b/>
          <w:bCs/>
          <w:sz w:val="24"/>
          <w:szCs w:val="24"/>
        </w:rPr>
        <w:t>SEGUNDO.-</w:t>
      </w:r>
      <w:r>
        <w:rPr>
          <w:rFonts w:ascii="Arial" w:hAnsi="Arial" w:cs="Arial"/>
          <w:bCs/>
          <w:sz w:val="24"/>
          <w:szCs w:val="24"/>
        </w:rPr>
        <w:t xml:space="preserve"> </w:t>
      </w:r>
      <w:r w:rsidRPr="00642B92">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w:t>
      </w:r>
      <w:r w:rsidRPr="002034D6">
        <w:rPr>
          <w:rFonts w:ascii="Arial" w:hAnsi="Arial" w:cs="Arial"/>
          <w:bCs/>
          <w:sz w:val="24"/>
          <w:szCs w:val="24"/>
          <w:lang w:val="es-MX"/>
        </w:rPr>
        <w:lastRenderedPageBreak/>
        <w:t xml:space="preserve">números 1 al </w:t>
      </w:r>
      <w:r w:rsidR="002034D6" w:rsidRPr="002034D6">
        <w:rPr>
          <w:rFonts w:ascii="Arial" w:hAnsi="Arial" w:cs="Arial"/>
          <w:bCs/>
          <w:sz w:val="24"/>
          <w:szCs w:val="24"/>
          <w:lang w:val="es-MX"/>
        </w:rPr>
        <w:t>18</w:t>
      </w:r>
      <w:r w:rsidRPr="002034D6">
        <w:rPr>
          <w:rFonts w:ascii="Arial" w:hAnsi="Arial" w:cs="Arial"/>
          <w:bCs/>
          <w:sz w:val="24"/>
          <w:szCs w:val="24"/>
          <w:lang w:val="es-MX"/>
        </w:rPr>
        <w:t xml:space="preserve"> respecto a las cuales </w:t>
      </w:r>
      <w:r w:rsidR="002034D6" w:rsidRPr="002034D6">
        <w:rPr>
          <w:rFonts w:ascii="Arial" w:hAnsi="Arial" w:cs="Arial"/>
          <w:bCs/>
          <w:sz w:val="24"/>
          <w:szCs w:val="24"/>
          <w:lang w:val="es-MX"/>
        </w:rPr>
        <w:t>no</w:t>
      </w:r>
      <w:r w:rsidRPr="002034D6">
        <w:rPr>
          <w:rFonts w:ascii="Arial" w:hAnsi="Arial" w:cs="Arial"/>
          <w:bCs/>
          <w:sz w:val="24"/>
          <w:szCs w:val="24"/>
          <w:lang w:val="es-MX"/>
        </w:rPr>
        <w:t xml:space="preserve"> se determinó emitir pliegos presuntivos de responsabilidades, ya que </w:t>
      </w:r>
      <w:r w:rsidR="002034D6" w:rsidRPr="002034D6">
        <w:rPr>
          <w:rFonts w:ascii="Arial" w:hAnsi="Arial" w:cs="Arial"/>
          <w:bCs/>
          <w:sz w:val="24"/>
          <w:szCs w:val="24"/>
          <w:lang w:val="es-MX"/>
        </w:rPr>
        <w:t xml:space="preserve">no se </w:t>
      </w:r>
      <w:r w:rsidRPr="002034D6">
        <w:rPr>
          <w:rFonts w:ascii="Arial" w:hAnsi="Arial" w:cs="Arial"/>
          <w:bCs/>
          <w:sz w:val="24"/>
          <w:szCs w:val="24"/>
          <w:lang w:val="es-MX"/>
        </w:rPr>
        <w:t>apreci</w:t>
      </w:r>
      <w:r w:rsidR="002034D6" w:rsidRPr="002034D6">
        <w:rPr>
          <w:rFonts w:ascii="Arial" w:hAnsi="Arial" w:cs="Arial"/>
          <w:bCs/>
          <w:sz w:val="24"/>
          <w:szCs w:val="24"/>
          <w:lang w:val="es-MX"/>
        </w:rPr>
        <w:t>aron observaciones</w:t>
      </w:r>
      <w:r w:rsidRPr="002034D6">
        <w:rPr>
          <w:rFonts w:ascii="Arial" w:hAnsi="Arial" w:cs="Arial"/>
          <w:bCs/>
          <w:sz w:val="24"/>
          <w:szCs w:val="24"/>
          <w:lang w:val="es-MX"/>
        </w:rPr>
        <w:t xml:space="preserve"> susceptible</w:t>
      </w:r>
      <w:r w:rsidR="002034D6" w:rsidRPr="002034D6">
        <w:rPr>
          <w:rFonts w:ascii="Arial" w:hAnsi="Arial" w:cs="Arial"/>
          <w:bCs/>
          <w:sz w:val="24"/>
          <w:szCs w:val="24"/>
          <w:lang w:val="es-MX"/>
        </w:rPr>
        <w:t>s</w:t>
      </w:r>
      <w:r w:rsidRPr="002034D6">
        <w:rPr>
          <w:rFonts w:ascii="Arial" w:hAnsi="Arial" w:cs="Arial"/>
          <w:bCs/>
          <w:sz w:val="24"/>
          <w:szCs w:val="24"/>
          <w:lang w:val="es-MX"/>
        </w:rPr>
        <w:t xml:space="preserve"> de generar afectación económica.</w:t>
      </w:r>
    </w:p>
    <w:p w:rsidR="00275AFD" w:rsidRPr="002034D6" w:rsidRDefault="00275AFD" w:rsidP="00275AFD">
      <w:pPr>
        <w:spacing w:line="360" w:lineRule="auto"/>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w:t>
      </w:r>
      <w:r>
        <w:rPr>
          <w:rFonts w:ascii="Arial" w:hAnsi="Arial" w:cs="Arial"/>
          <w:bCs/>
          <w:sz w:val="24"/>
          <w:szCs w:val="24"/>
          <w:lang w:val="es-MX"/>
        </w:rPr>
        <w:t xml:space="preserve"> causa de promoción de </w:t>
      </w:r>
      <w:proofErr w:type="spellStart"/>
      <w:r>
        <w:rPr>
          <w:rFonts w:ascii="Arial" w:hAnsi="Arial" w:cs="Arial"/>
          <w:bCs/>
          <w:sz w:val="24"/>
          <w:szCs w:val="24"/>
          <w:lang w:val="es-MX"/>
        </w:rPr>
        <w:t>fincamiento</w:t>
      </w:r>
      <w:proofErr w:type="spellEnd"/>
      <w:r>
        <w:rPr>
          <w:rFonts w:ascii="Arial" w:hAnsi="Arial" w:cs="Arial"/>
          <w:bCs/>
          <w:sz w:val="24"/>
          <w:szCs w:val="24"/>
          <w:lang w:val="es-MX"/>
        </w:rPr>
        <w:t xml:space="preserve"> de responsabilidades administrativas</w:t>
      </w:r>
      <w:r w:rsidR="002034D6">
        <w:rPr>
          <w:rFonts w:ascii="Arial" w:hAnsi="Arial" w:cs="Arial"/>
          <w:bCs/>
          <w:sz w:val="24"/>
          <w:szCs w:val="24"/>
          <w:lang w:val="es-MX"/>
        </w:rPr>
        <w:t>, promoción del ejercicio de facultad comprobatoria fiscal</w:t>
      </w:r>
      <w:r>
        <w:rPr>
          <w:rFonts w:ascii="Arial" w:hAnsi="Arial" w:cs="Arial"/>
          <w:bCs/>
          <w:sz w:val="24"/>
          <w:szCs w:val="24"/>
          <w:lang w:val="es-MX"/>
        </w:rPr>
        <w:t xml:space="preserve"> </w:t>
      </w:r>
      <w:r w:rsidRPr="00190C96">
        <w:rPr>
          <w:rFonts w:ascii="Arial" w:hAnsi="Arial" w:cs="Arial"/>
          <w:bCs/>
          <w:sz w:val="24"/>
          <w:szCs w:val="24"/>
          <w:lang w:val="es-MX"/>
        </w:rPr>
        <w:t>y recomendaciones a la gestión</w:t>
      </w:r>
      <w:r>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y considerando</w:t>
      </w:r>
      <w:r w:rsidRPr="00190C96">
        <w:rPr>
          <w:rFonts w:ascii="Arial" w:hAnsi="Arial" w:cs="Arial"/>
          <w:bCs/>
          <w:sz w:val="24"/>
          <w:szCs w:val="24"/>
          <w:lang w:val="es-MX"/>
        </w:rPr>
        <w:t xml:space="preserve"> </w:t>
      </w:r>
      <w:r>
        <w:rPr>
          <w:rFonts w:ascii="Arial" w:hAnsi="Arial" w:cs="Arial"/>
          <w:bCs/>
          <w:sz w:val="24"/>
          <w:szCs w:val="24"/>
          <w:lang w:val="es-MX"/>
        </w:rPr>
        <w:t>que dichas observaciones no afectan la gestión del ente</w:t>
      </w:r>
      <w:r w:rsidRPr="00190C96">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r w:rsidRPr="00190C96">
        <w:rPr>
          <w:rFonts w:ascii="Arial" w:hAnsi="Arial" w:cs="Arial"/>
          <w:bCs/>
          <w:sz w:val="24"/>
          <w:szCs w:val="24"/>
          <w:lang w:val="es-MX"/>
        </w:rPr>
        <w:t xml:space="preserve">, se estima que la </w:t>
      </w:r>
      <w:r w:rsidR="008C13D5">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l </w:t>
      </w:r>
      <w:r>
        <w:rPr>
          <w:rFonts w:ascii="Arial" w:hAnsi="Arial" w:cs="Arial"/>
          <w:b/>
          <w:bCs/>
          <w:sz w:val="24"/>
          <w:szCs w:val="24"/>
        </w:rPr>
        <w:t>PODER JUDICIAL DEL ESTADO DE NUEVO LEÓN H. CONSEJO DE LA JUDICATURA</w:t>
      </w:r>
      <w:r w:rsidRPr="00190C96">
        <w:rPr>
          <w:rFonts w:ascii="Arial" w:hAnsi="Arial" w:cs="Arial"/>
          <w:bCs/>
          <w:sz w:val="24"/>
          <w:szCs w:val="24"/>
          <w:lang w:val="es-MX"/>
        </w:rPr>
        <w:t xml:space="preserve"> </w:t>
      </w:r>
      <w:r w:rsidRPr="002034D6">
        <w:rPr>
          <w:rFonts w:ascii="Arial" w:hAnsi="Arial" w:cs="Arial"/>
          <w:bCs/>
          <w:sz w:val="24"/>
          <w:szCs w:val="24"/>
          <w:lang w:val="es-MX"/>
        </w:rPr>
        <w:t>es susceptible de aprobación.</w:t>
      </w:r>
    </w:p>
    <w:p w:rsidR="00275AFD" w:rsidRPr="00190C96" w:rsidRDefault="00275AFD" w:rsidP="00275AFD">
      <w:pPr>
        <w:spacing w:line="360" w:lineRule="auto"/>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4B2C48">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w:t>
      </w:r>
      <w:r w:rsidRPr="002034D6">
        <w:rPr>
          <w:rFonts w:ascii="Arial" w:hAnsi="Arial" w:cs="Arial"/>
          <w:b/>
          <w:bCs/>
          <w:sz w:val="24"/>
          <w:szCs w:val="24"/>
          <w:lang w:val="es-MX"/>
        </w:rPr>
        <w:t>SE 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Pr="00190C96">
        <w:rPr>
          <w:rFonts w:ascii="Arial" w:hAnsi="Arial" w:cs="Arial"/>
          <w:b/>
          <w:bCs/>
          <w:sz w:val="24"/>
          <w:szCs w:val="24"/>
          <w:lang w:val="es-MX"/>
        </w:rPr>
        <w:t xml:space="preserve"> 201</w:t>
      </w:r>
      <w:r w:rsidR="008C13D5">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l </w:t>
      </w:r>
      <w:r>
        <w:rPr>
          <w:rFonts w:ascii="Arial" w:hAnsi="Arial" w:cs="Arial"/>
          <w:b/>
          <w:bCs/>
          <w:sz w:val="24"/>
          <w:szCs w:val="24"/>
        </w:rPr>
        <w:t>PODER JUDICIAL DEL ESTADO DE NUEVO LEÓN H. CONSEJO DE LA JUDICATURA</w:t>
      </w:r>
      <w:r>
        <w:rPr>
          <w:rFonts w:ascii="Arial" w:hAnsi="Arial" w:cs="Arial"/>
          <w:b/>
          <w:sz w:val="24"/>
        </w:rPr>
        <w:t>.</w:t>
      </w:r>
    </w:p>
    <w:p w:rsidR="00275AFD" w:rsidRPr="00190C96" w:rsidRDefault="00275AFD" w:rsidP="00275AFD">
      <w:pPr>
        <w:spacing w:line="360" w:lineRule="auto"/>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EXPIDA EL FINIQUITO CORRESPONDIENTE, </w:t>
      </w:r>
      <w:r w:rsidRPr="00190C96">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w:t>
      </w:r>
      <w:r w:rsidRPr="00190C96">
        <w:rPr>
          <w:rFonts w:ascii="Arial" w:hAnsi="Arial" w:cs="Arial"/>
          <w:bCs/>
          <w:sz w:val="24"/>
          <w:szCs w:val="24"/>
        </w:rPr>
        <w:lastRenderedPageBreak/>
        <w:t xml:space="preserve">de las señaladas en el artículo 53 de la citada Ley, derivadas de la revisión de la cuenta pública </w:t>
      </w:r>
      <w:r w:rsidRPr="00190C96">
        <w:rPr>
          <w:rFonts w:ascii="Arial" w:hAnsi="Arial" w:cs="Arial"/>
          <w:bCs/>
          <w:sz w:val="24"/>
          <w:szCs w:val="24"/>
          <w:lang w:val="es-MX"/>
        </w:rPr>
        <w:t>de</w:t>
      </w:r>
      <w:r>
        <w:rPr>
          <w:rFonts w:ascii="Arial" w:hAnsi="Arial" w:cs="Arial"/>
          <w:bCs/>
          <w:sz w:val="24"/>
          <w:szCs w:val="24"/>
          <w:lang w:val="es-MX"/>
        </w:rPr>
        <w:t xml:space="preserve">l </w:t>
      </w:r>
      <w:r>
        <w:rPr>
          <w:rFonts w:ascii="Arial" w:hAnsi="Arial" w:cs="Arial"/>
          <w:b/>
          <w:bCs/>
          <w:sz w:val="24"/>
          <w:szCs w:val="24"/>
        </w:rPr>
        <w:t>PODER JUDICIAL DEL ESTADO DE NUEVO LEÓN H. CONSEJO DE LA JUDICATURA</w:t>
      </w:r>
      <w:r w:rsidRPr="00190C96">
        <w:rPr>
          <w:rFonts w:ascii="Arial" w:hAnsi="Arial" w:cs="Arial"/>
          <w:b/>
          <w:bCs/>
          <w:sz w:val="24"/>
          <w:szCs w:val="24"/>
          <w:lang w:val="es-MX"/>
        </w:rPr>
        <w:t xml:space="preserve">, </w:t>
      </w:r>
      <w:r w:rsidRPr="00190C96">
        <w:rPr>
          <w:rFonts w:ascii="Arial" w:hAnsi="Arial" w:cs="Arial"/>
          <w:bCs/>
          <w:sz w:val="24"/>
          <w:szCs w:val="24"/>
        </w:rPr>
        <w:t xml:space="preserve">correspondiente al ejercicio </w:t>
      </w:r>
      <w:r w:rsidRPr="00190C96">
        <w:rPr>
          <w:rFonts w:ascii="Arial" w:hAnsi="Arial" w:cs="Arial"/>
          <w:b/>
          <w:bCs/>
          <w:sz w:val="24"/>
          <w:szCs w:val="24"/>
        </w:rPr>
        <w:t>201</w:t>
      </w:r>
      <w:r w:rsidR="008C13D5">
        <w:rPr>
          <w:rFonts w:ascii="Arial" w:hAnsi="Arial" w:cs="Arial"/>
          <w:b/>
          <w:bCs/>
          <w:sz w:val="24"/>
          <w:szCs w:val="24"/>
        </w:rPr>
        <w:t>5</w:t>
      </w:r>
      <w:r w:rsidRPr="00190C96">
        <w:rPr>
          <w:rFonts w:ascii="Arial" w:hAnsi="Arial" w:cs="Arial"/>
          <w:b/>
          <w:bCs/>
          <w:sz w:val="24"/>
          <w:szCs w:val="24"/>
        </w:rPr>
        <w:t xml:space="preserve">. </w:t>
      </w:r>
    </w:p>
    <w:p w:rsidR="003C6162" w:rsidRPr="006C2B1B" w:rsidRDefault="00275AFD"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C57BD9" w:rsidRPr="00C57BD9">
        <w:rPr>
          <w:rFonts w:ascii="Arial" w:hAnsi="Arial" w:cs="Arial"/>
          <w:b/>
          <w:bCs/>
          <w:sz w:val="24"/>
          <w:szCs w:val="24"/>
        </w:rPr>
        <w:t>PODER JUDICIAL DEL ESTADO DE NUEVO L</w:t>
      </w:r>
      <w:r w:rsidR="00C57BD9">
        <w:rPr>
          <w:rFonts w:ascii="Arial" w:hAnsi="Arial" w:cs="Arial"/>
          <w:b/>
          <w:bCs/>
          <w:sz w:val="24"/>
          <w:szCs w:val="24"/>
        </w:rPr>
        <w:t>EÓN H. CONSEJO DE LA JUDICATURA</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C57BD9" w:rsidP="00C57BD9">
      <w:pPr>
        <w:tabs>
          <w:tab w:val="left" w:pos="5407"/>
        </w:tabs>
        <w:spacing w:line="360" w:lineRule="auto"/>
        <w:ind w:firstLine="709"/>
        <w:jc w:val="both"/>
        <w:rPr>
          <w:rFonts w:ascii="Arial" w:hAnsi="Arial" w:cs="Arial"/>
          <w:bCs/>
          <w:sz w:val="24"/>
          <w:szCs w:val="24"/>
        </w:rPr>
      </w:pPr>
      <w:r>
        <w:rPr>
          <w:rFonts w:ascii="Arial" w:hAnsi="Arial" w:cs="Arial"/>
          <w:bCs/>
          <w:sz w:val="24"/>
          <w:szCs w:val="24"/>
        </w:rPr>
        <w:tab/>
      </w: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B764ED" w:rsidRPr="009A7A82" w:rsidRDefault="00B764ED" w:rsidP="00B764ED">
      <w:pPr>
        <w:rPr>
          <w:lang w:val="es-ES_tradnl" w:eastAsia="ar-SA"/>
        </w:rPr>
      </w:pPr>
    </w:p>
    <w:p w:rsidR="00B764ED" w:rsidRDefault="00E143F3" w:rsidP="00B764E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B764ED">
        <w:rPr>
          <w:rFonts w:ascii="Arial" w:hAnsi="Arial" w:cs="Arial"/>
          <w:b/>
          <w:lang w:val="es-ES_tradnl"/>
        </w:rPr>
        <w:t>:</w:t>
      </w:r>
    </w:p>
    <w:p w:rsidR="00D20613" w:rsidRDefault="00D20613" w:rsidP="00B764ED">
      <w:pPr>
        <w:pStyle w:val="Body1"/>
        <w:widowControl w:val="0"/>
        <w:tabs>
          <w:tab w:val="left" w:pos="3828"/>
        </w:tabs>
        <w:suppressAutoHyphens/>
        <w:spacing w:after="120"/>
        <w:jc w:val="center"/>
        <w:rPr>
          <w:rFonts w:ascii="Arial" w:hAnsi="Arial" w:cs="Arial"/>
          <w:b/>
          <w:lang w:val="es-ES_tradnl"/>
        </w:rPr>
      </w:pPr>
    </w:p>
    <w:p w:rsidR="00D20613" w:rsidRDefault="00D20613" w:rsidP="00D20613">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B764ED" w:rsidRPr="006743D1" w:rsidRDefault="00B764ED" w:rsidP="00B764E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B764ED" w:rsidTr="0080593D">
        <w:trPr>
          <w:cantSplit/>
          <w:trHeight w:val="340"/>
          <w:jc w:val="center"/>
        </w:trPr>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764ED" w:rsidRDefault="00B764ED" w:rsidP="0080593D">
            <w:pP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764ED" w:rsidTr="0080593D">
        <w:trPr>
          <w:cantSplit/>
          <w:trHeight w:val="340"/>
          <w:jc w:val="center"/>
        </w:trPr>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764ED" w:rsidTr="0080593D">
        <w:trPr>
          <w:cantSplit/>
          <w:trHeight w:val="340"/>
          <w:jc w:val="center"/>
        </w:trPr>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764ED" w:rsidTr="0080593D">
        <w:trPr>
          <w:cantSplit/>
          <w:trHeight w:val="340"/>
          <w:jc w:val="center"/>
        </w:trPr>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764ED" w:rsidRDefault="00B764ED" w:rsidP="0080593D">
            <w:pPr>
              <w:jc w:val="center"/>
              <w:outlineLvl w:val="0"/>
              <w:rPr>
                <w:rFonts w:ascii="Arial" w:eastAsia="Arial Unicode MS" w:hAnsi="Arial" w:cs="Arial"/>
                <w:b/>
                <w:color w:val="000000"/>
                <w:lang w:val="it-IT"/>
              </w:rPr>
            </w:pPr>
          </w:p>
          <w:p w:rsidR="00B764ED" w:rsidRDefault="00B764ED" w:rsidP="0080593D">
            <w:pPr>
              <w:outlineLvl w:val="0"/>
              <w:rPr>
                <w:rFonts w:ascii="Arial" w:eastAsia="Arial Unicode MS" w:hAnsi="Arial" w:cs="Arial"/>
                <w:b/>
                <w:color w:val="000000"/>
                <w:lang w:val="it-IT"/>
              </w:rPr>
            </w:pPr>
          </w:p>
          <w:p w:rsidR="00B764ED" w:rsidRDefault="00B764ED" w:rsidP="0080593D">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764ED" w:rsidTr="0080593D">
        <w:trPr>
          <w:cantSplit/>
          <w:trHeight w:val="340"/>
          <w:jc w:val="center"/>
        </w:trPr>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Default="00B764ED" w:rsidP="0080593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80593D">
            <w:pP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b/>
                <w:color w:val="000000"/>
                <w:lang w:val="es-MX"/>
              </w:rPr>
            </w:pPr>
          </w:p>
          <w:p w:rsidR="00B764ED" w:rsidRDefault="00B764ED" w:rsidP="0080593D">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F35039">
      <w:footerReference w:type="default" r:id="rId2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46" w:rsidRDefault="00DA7C46" w:rsidP="005003EB">
      <w:pPr>
        <w:spacing w:after="0" w:line="240" w:lineRule="auto"/>
      </w:pPr>
      <w:r>
        <w:separator/>
      </w:r>
    </w:p>
  </w:endnote>
  <w:endnote w:type="continuationSeparator" w:id="0">
    <w:p w:rsidR="00DA7C46" w:rsidRDefault="00DA7C46"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57" w:rsidRPr="0088072B" w:rsidRDefault="006F3B57">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E10CF8">
      <w:rPr>
        <w:rFonts w:ascii="Century Gothic" w:hAnsi="Century Gothic"/>
        <w:noProof/>
        <w:sz w:val="20"/>
        <w:szCs w:val="20"/>
      </w:rPr>
      <w:t>49</w:t>
    </w:r>
    <w:r w:rsidRPr="0088072B">
      <w:rPr>
        <w:rFonts w:ascii="Century Gothic" w:hAnsi="Century Gothic"/>
        <w:sz w:val="20"/>
        <w:szCs w:val="20"/>
      </w:rPr>
      <w:fldChar w:fldCharType="end"/>
    </w:r>
  </w:p>
  <w:p w:rsidR="006F3B57" w:rsidRPr="00513CE9" w:rsidRDefault="006F3B57"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6F3B57" w:rsidRPr="00513CE9" w:rsidRDefault="00E143F3" w:rsidP="007E057C">
    <w:pPr>
      <w:pStyle w:val="Piedepgina"/>
      <w:jc w:val="center"/>
      <w:rPr>
        <w:rFonts w:ascii="Century Gothic" w:hAnsi="Century Gothic"/>
        <w:sz w:val="14"/>
        <w:szCs w:val="14"/>
      </w:rPr>
    </w:pPr>
    <w:r>
      <w:rPr>
        <w:rFonts w:ascii="Arial" w:hAnsi="Arial" w:cs="Arial"/>
        <w:sz w:val="14"/>
        <w:szCs w:val="14"/>
      </w:rPr>
      <w:t>Dictamen del Expediente 10409/LXXIV Cuenta Pública 2015</w:t>
    </w:r>
    <w:r w:rsidR="006F3B57" w:rsidRPr="00513CE9">
      <w:rPr>
        <w:rFonts w:ascii="Arial" w:hAnsi="Arial" w:cs="Arial"/>
        <w:sz w:val="14"/>
        <w:szCs w:val="14"/>
      </w:rPr>
      <w:t xml:space="preserve"> de</w:t>
    </w:r>
    <w:r w:rsidR="006F3B57">
      <w:rPr>
        <w:rFonts w:ascii="Arial" w:hAnsi="Arial" w:cs="Arial"/>
        <w:sz w:val="14"/>
        <w:szCs w:val="14"/>
      </w:rPr>
      <w:t>l Poder Judicial del Estado de Nuevo León H. Consejo de la Judicatura.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46" w:rsidRDefault="00DA7C46" w:rsidP="005003EB">
      <w:pPr>
        <w:spacing w:after="0" w:line="240" w:lineRule="auto"/>
      </w:pPr>
      <w:r>
        <w:separator/>
      </w:r>
    </w:p>
  </w:footnote>
  <w:footnote w:type="continuationSeparator" w:id="0">
    <w:p w:rsidR="00DA7C46" w:rsidRDefault="00DA7C46"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4367"/>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4D6"/>
    <w:rsid w:val="00203F64"/>
    <w:rsid w:val="002040DB"/>
    <w:rsid w:val="00210C4F"/>
    <w:rsid w:val="002110F6"/>
    <w:rsid w:val="00211972"/>
    <w:rsid w:val="002144B3"/>
    <w:rsid w:val="0021623F"/>
    <w:rsid w:val="00217FA5"/>
    <w:rsid w:val="002201B9"/>
    <w:rsid w:val="00223FA0"/>
    <w:rsid w:val="002241F6"/>
    <w:rsid w:val="00224EFE"/>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609"/>
    <w:rsid w:val="002669EF"/>
    <w:rsid w:val="0027007A"/>
    <w:rsid w:val="00270E97"/>
    <w:rsid w:val="00272AA0"/>
    <w:rsid w:val="0027331D"/>
    <w:rsid w:val="00275AF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C57FE"/>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07F"/>
    <w:rsid w:val="003049DF"/>
    <w:rsid w:val="00305F18"/>
    <w:rsid w:val="003066CA"/>
    <w:rsid w:val="0030675A"/>
    <w:rsid w:val="00310909"/>
    <w:rsid w:val="00310DD5"/>
    <w:rsid w:val="00312652"/>
    <w:rsid w:val="003126D3"/>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2167"/>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4C6E"/>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E7334"/>
    <w:rsid w:val="003F0110"/>
    <w:rsid w:val="003F3977"/>
    <w:rsid w:val="003F5213"/>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7FD9"/>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C48"/>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ABF"/>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3E43"/>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657A"/>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3B57"/>
    <w:rsid w:val="0070041B"/>
    <w:rsid w:val="007005A8"/>
    <w:rsid w:val="00701795"/>
    <w:rsid w:val="00704294"/>
    <w:rsid w:val="0070470C"/>
    <w:rsid w:val="00705767"/>
    <w:rsid w:val="00705C21"/>
    <w:rsid w:val="00706D6C"/>
    <w:rsid w:val="007072EA"/>
    <w:rsid w:val="007110C7"/>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86F13"/>
    <w:rsid w:val="0079024E"/>
    <w:rsid w:val="00793F07"/>
    <w:rsid w:val="007967E7"/>
    <w:rsid w:val="00796F49"/>
    <w:rsid w:val="00797556"/>
    <w:rsid w:val="00797723"/>
    <w:rsid w:val="007A0BE6"/>
    <w:rsid w:val="007A0C5E"/>
    <w:rsid w:val="007A2869"/>
    <w:rsid w:val="007A3B65"/>
    <w:rsid w:val="007A41BB"/>
    <w:rsid w:val="007B00B3"/>
    <w:rsid w:val="007B0642"/>
    <w:rsid w:val="007B122C"/>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593D"/>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13D5"/>
    <w:rsid w:val="008C301B"/>
    <w:rsid w:val="008C72AC"/>
    <w:rsid w:val="008C7A4F"/>
    <w:rsid w:val="008D13BC"/>
    <w:rsid w:val="008D355B"/>
    <w:rsid w:val="008D361B"/>
    <w:rsid w:val="008D3CE3"/>
    <w:rsid w:val="008D6F09"/>
    <w:rsid w:val="008E06C8"/>
    <w:rsid w:val="008E14DB"/>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16FC0"/>
    <w:rsid w:val="00A204EA"/>
    <w:rsid w:val="00A2311A"/>
    <w:rsid w:val="00A2468E"/>
    <w:rsid w:val="00A25331"/>
    <w:rsid w:val="00A25ED9"/>
    <w:rsid w:val="00A26BF2"/>
    <w:rsid w:val="00A27746"/>
    <w:rsid w:val="00A32686"/>
    <w:rsid w:val="00A350F2"/>
    <w:rsid w:val="00A3647C"/>
    <w:rsid w:val="00A36641"/>
    <w:rsid w:val="00A40204"/>
    <w:rsid w:val="00A407D5"/>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1E3"/>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57BD9"/>
    <w:rsid w:val="00C60067"/>
    <w:rsid w:val="00C60DB3"/>
    <w:rsid w:val="00C643C8"/>
    <w:rsid w:val="00C644EB"/>
    <w:rsid w:val="00C64FB8"/>
    <w:rsid w:val="00C652F5"/>
    <w:rsid w:val="00C71A28"/>
    <w:rsid w:val="00C72810"/>
    <w:rsid w:val="00C73BFB"/>
    <w:rsid w:val="00C77425"/>
    <w:rsid w:val="00C777DF"/>
    <w:rsid w:val="00C77A46"/>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0613"/>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1D5"/>
    <w:rsid w:val="00D802A3"/>
    <w:rsid w:val="00D81302"/>
    <w:rsid w:val="00D82383"/>
    <w:rsid w:val="00D83C96"/>
    <w:rsid w:val="00D86422"/>
    <w:rsid w:val="00D8709C"/>
    <w:rsid w:val="00D87EE3"/>
    <w:rsid w:val="00D915C0"/>
    <w:rsid w:val="00D94552"/>
    <w:rsid w:val="00DA2D48"/>
    <w:rsid w:val="00DA633A"/>
    <w:rsid w:val="00DA7456"/>
    <w:rsid w:val="00DA7C4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0CF8"/>
    <w:rsid w:val="00E11534"/>
    <w:rsid w:val="00E1289B"/>
    <w:rsid w:val="00E143F3"/>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669B"/>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5039"/>
    <w:rsid w:val="00F363DB"/>
    <w:rsid w:val="00F37B2C"/>
    <w:rsid w:val="00F40082"/>
    <w:rsid w:val="00F40B6B"/>
    <w:rsid w:val="00F4156C"/>
    <w:rsid w:val="00F4310B"/>
    <w:rsid w:val="00F438F7"/>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C80D22-BBA5-472C-95F4-509CF10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20974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9B43-9DD3-467E-BAF1-44B02299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8229</Words>
  <Characters>45261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53384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2</cp:revision>
  <cp:lastPrinted>2017-03-06T23:43:00Z</cp:lastPrinted>
  <dcterms:created xsi:type="dcterms:W3CDTF">2017-03-06T23:43:00Z</dcterms:created>
  <dcterms:modified xsi:type="dcterms:W3CDTF">2017-03-06T23:43:00Z</dcterms:modified>
</cp:coreProperties>
</file>