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513CE9" w:rsidRDefault="009C0345" w:rsidP="009C0345">
      <w:pPr>
        <w:rPr>
          <w:rFonts w:ascii="Arial" w:hAnsi="Arial" w:cs="Arial"/>
          <w:b/>
          <w:bCs/>
          <w:sz w:val="24"/>
          <w:szCs w:val="24"/>
        </w:rPr>
      </w:pPr>
      <w:r w:rsidRPr="00513CE9">
        <w:rPr>
          <w:rFonts w:ascii="Arial" w:hAnsi="Arial" w:cs="Arial"/>
          <w:b/>
          <w:bCs/>
          <w:sz w:val="24"/>
          <w:szCs w:val="24"/>
        </w:rPr>
        <w:t>HONORABLE ASAMBL</w:t>
      </w:r>
      <w:bookmarkStart w:id="0" w:name="_GoBack"/>
      <w:bookmarkEnd w:id="0"/>
      <w:r w:rsidRPr="00513CE9">
        <w:rPr>
          <w:rFonts w:ascii="Arial" w:hAnsi="Arial" w:cs="Arial"/>
          <w:b/>
          <w:bCs/>
          <w:sz w:val="24"/>
          <w:szCs w:val="24"/>
        </w:rPr>
        <w:t>EA:</w:t>
      </w:r>
    </w:p>
    <w:p w:rsidR="00F072A9" w:rsidRDefault="00F072A9" w:rsidP="009C0345">
      <w:pPr>
        <w:ind w:firstLine="709"/>
        <w:jc w:val="both"/>
        <w:rPr>
          <w:rFonts w:ascii="Arial" w:hAnsi="Arial" w:cs="Arial"/>
          <w:sz w:val="24"/>
        </w:rPr>
      </w:pPr>
    </w:p>
    <w:p w:rsidR="009C0345" w:rsidRPr="00117EB1" w:rsidRDefault="009C0345" w:rsidP="00F072A9">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 xml:space="preserve">Comisión </w:t>
      </w:r>
      <w:r w:rsidR="002959ED" w:rsidRPr="00117EB1">
        <w:rPr>
          <w:rFonts w:ascii="Arial" w:hAnsi="Arial" w:cs="Arial"/>
          <w:b/>
          <w:bCs/>
          <w:sz w:val="24"/>
        </w:rPr>
        <w:t>de Hacienda del Estado</w:t>
      </w:r>
      <w:r w:rsidR="00513CE9">
        <w:rPr>
          <w:rFonts w:ascii="Arial" w:hAnsi="Arial" w:cs="Arial"/>
          <w:sz w:val="24"/>
        </w:rPr>
        <w:t xml:space="preserve"> le fue turnado</w:t>
      </w:r>
      <w:r w:rsidRPr="00117EB1">
        <w:rPr>
          <w:rFonts w:ascii="Arial" w:hAnsi="Arial" w:cs="Arial"/>
          <w:sz w:val="24"/>
        </w:rPr>
        <w:t xml:space="preserve"> para su</w:t>
      </w:r>
      <w:r w:rsidR="00513CE9">
        <w:rPr>
          <w:rFonts w:ascii="Arial" w:hAnsi="Arial" w:cs="Arial"/>
          <w:sz w:val="24"/>
        </w:rPr>
        <w:t xml:space="preserve"> estudio y dictamen en fecha </w:t>
      </w:r>
      <w:r w:rsidR="00B82359" w:rsidRPr="00B82359">
        <w:rPr>
          <w:rFonts w:ascii="Arial" w:hAnsi="Arial" w:cs="Arial"/>
          <w:sz w:val="24"/>
        </w:rPr>
        <w:t>14 de Noviembre</w:t>
      </w:r>
      <w:r w:rsidR="00C644EB" w:rsidRPr="00B82359">
        <w:rPr>
          <w:rFonts w:ascii="Arial" w:hAnsi="Arial" w:cs="Arial"/>
          <w:sz w:val="24"/>
        </w:rPr>
        <w:t xml:space="preserve"> de</w:t>
      </w:r>
      <w:r w:rsidR="00B82359" w:rsidRPr="00B82359">
        <w:rPr>
          <w:rFonts w:ascii="Arial" w:hAnsi="Arial" w:cs="Arial"/>
          <w:sz w:val="24"/>
        </w:rPr>
        <w:t>l 2016</w:t>
      </w:r>
      <w:r w:rsidRPr="00117EB1">
        <w:rPr>
          <w:rFonts w:ascii="Arial" w:hAnsi="Arial" w:cs="Arial"/>
          <w:sz w:val="24"/>
        </w:rPr>
        <w:t xml:space="preserve">, escrito que contiene el </w:t>
      </w:r>
      <w:r w:rsidR="00513CE9">
        <w:rPr>
          <w:rFonts w:ascii="Arial" w:hAnsi="Arial" w:cs="Arial"/>
          <w:sz w:val="24"/>
        </w:rPr>
        <w:t>Informe de</w:t>
      </w:r>
      <w:r w:rsidR="00A77799" w:rsidRPr="00117EB1">
        <w:rPr>
          <w:rFonts w:ascii="Arial" w:hAnsi="Arial" w:cs="Arial"/>
          <w:sz w:val="24"/>
        </w:rPr>
        <w:t xml:space="preserve"> Resultado</w:t>
      </w:r>
      <w:r w:rsidR="00513CE9">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Pr="00117EB1">
        <w:rPr>
          <w:rFonts w:ascii="Arial" w:hAnsi="Arial" w:cs="Arial"/>
          <w:sz w:val="24"/>
        </w:rPr>
        <w:t xml:space="preserve"> del </w:t>
      </w:r>
      <w:r w:rsidR="00513CE9">
        <w:rPr>
          <w:rFonts w:ascii="Arial" w:hAnsi="Arial" w:cs="Arial"/>
          <w:b/>
          <w:sz w:val="24"/>
        </w:rPr>
        <w:t xml:space="preserve">Fideicomiso </w:t>
      </w:r>
      <w:r w:rsidR="00BD2AF0">
        <w:rPr>
          <w:rFonts w:ascii="Arial" w:hAnsi="Arial" w:cs="Arial"/>
          <w:b/>
          <w:sz w:val="24"/>
        </w:rPr>
        <w:t>Empresarios Unidos por la Educación</w:t>
      </w:r>
      <w:r w:rsidRPr="00117EB1">
        <w:rPr>
          <w:rFonts w:ascii="Arial" w:hAnsi="Arial" w:cs="Arial"/>
          <w:sz w:val="24"/>
        </w:rPr>
        <w:t xml:space="preserve">, correspondiente a su Ejercicio Fiscal </w:t>
      </w:r>
      <w:r w:rsidR="00BB65A1" w:rsidRPr="00B82359">
        <w:rPr>
          <w:rFonts w:ascii="Arial" w:hAnsi="Arial" w:cs="Arial"/>
          <w:b/>
          <w:bCs/>
          <w:sz w:val="24"/>
        </w:rPr>
        <w:t>2015</w:t>
      </w:r>
      <w:r w:rsidRPr="00117EB1">
        <w:rPr>
          <w:rFonts w:ascii="Arial" w:hAnsi="Arial" w:cs="Arial"/>
          <w:sz w:val="24"/>
        </w:rPr>
        <w:t>, bajo el expediente</w:t>
      </w:r>
      <w:r w:rsidR="00513CE9">
        <w:rPr>
          <w:rFonts w:ascii="Arial" w:hAnsi="Arial" w:cs="Arial"/>
          <w:sz w:val="24"/>
        </w:rPr>
        <w:t xml:space="preserve"> número</w:t>
      </w:r>
      <w:r w:rsidRPr="00117EB1">
        <w:rPr>
          <w:rFonts w:ascii="Arial" w:hAnsi="Arial" w:cs="Arial"/>
          <w:sz w:val="24"/>
        </w:rPr>
        <w:t xml:space="preserve"> </w:t>
      </w:r>
      <w:r w:rsidR="00BB65A1">
        <w:rPr>
          <w:rFonts w:ascii="Arial" w:hAnsi="Arial" w:cs="Arial"/>
          <w:b/>
          <w:sz w:val="24"/>
        </w:rPr>
        <w:t>10426</w:t>
      </w:r>
      <w:r w:rsidR="00513CE9">
        <w:rPr>
          <w:rFonts w:ascii="Arial" w:hAnsi="Arial" w:cs="Arial"/>
          <w:b/>
          <w:bCs/>
          <w:sz w:val="24"/>
        </w:rPr>
        <w:t>/LXXIV</w:t>
      </w:r>
      <w:r w:rsidRPr="00117EB1">
        <w:rPr>
          <w:rFonts w:ascii="Arial" w:hAnsi="Arial" w:cs="Arial"/>
          <w:b/>
          <w:bCs/>
          <w:sz w:val="24"/>
        </w:rPr>
        <w:t>.</w:t>
      </w:r>
    </w:p>
    <w:p w:rsidR="009C0345" w:rsidRPr="00117EB1" w:rsidRDefault="009C0345" w:rsidP="00F072A9">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sidR="00513CE9">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sidR="00513CE9">
        <w:rPr>
          <w:rFonts w:ascii="Arial" w:hAnsi="Arial" w:cs="Arial"/>
          <w:szCs w:val="22"/>
        </w:rPr>
        <w:t xml:space="preserve">omisión de Dictamen Legislativo </w:t>
      </w:r>
      <w:r w:rsidRPr="00117EB1">
        <w:rPr>
          <w:rFonts w:ascii="Arial" w:hAnsi="Arial" w:cs="Arial"/>
          <w:szCs w:val="22"/>
        </w:rPr>
        <w:t>que sustenta el presente documento, consignamos ante este Pleno los siguientes:</w:t>
      </w:r>
    </w:p>
    <w:p w:rsidR="00F072A9" w:rsidRDefault="009C0345" w:rsidP="009C0345">
      <w:pPr>
        <w:jc w:val="both"/>
        <w:rPr>
          <w:rFonts w:ascii="Arial" w:hAnsi="Arial" w:cs="Arial"/>
          <w:b/>
          <w:bCs/>
        </w:rPr>
      </w:pPr>
      <w:r w:rsidRPr="008D1FA1">
        <w:rPr>
          <w:rFonts w:ascii="Arial" w:hAnsi="Arial" w:cs="Arial"/>
          <w:b/>
          <w:bCs/>
        </w:rPr>
        <w:t>ANTECEDENTES:</w:t>
      </w:r>
    </w:p>
    <w:p w:rsidR="00513CE9" w:rsidRDefault="00513CE9" w:rsidP="009C0345">
      <w:pPr>
        <w:jc w:val="both"/>
        <w:rPr>
          <w:rFonts w:ascii="Arial" w:hAnsi="Arial" w:cs="Arial"/>
          <w:b/>
          <w:bCs/>
        </w:rPr>
      </w:pPr>
    </w:p>
    <w:p w:rsidR="009C0345" w:rsidRPr="00B67BEE" w:rsidRDefault="009C0345" w:rsidP="009C0345">
      <w:pPr>
        <w:pStyle w:val="Prrafodelista"/>
        <w:numPr>
          <w:ilvl w:val="0"/>
          <w:numId w:val="3"/>
        </w:numPr>
        <w:spacing w:after="0"/>
        <w:ind w:left="426" w:hanging="426"/>
        <w:contextualSpacing/>
        <w:rPr>
          <w:rFonts w:ascii="Arial" w:hAnsi="Arial" w:cs="Arial"/>
          <w:b/>
          <w:sz w:val="24"/>
          <w:szCs w:val="24"/>
        </w:rPr>
      </w:pPr>
      <w:r w:rsidRPr="00B67BEE">
        <w:rPr>
          <w:rFonts w:ascii="Arial" w:hAnsi="Arial" w:cs="Arial"/>
          <w:b/>
          <w:bCs/>
          <w:sz w:val="24"/>
        </w:rPr>
        <w:t>Presentación</w:t>
      </w:r>
    </w:p>
    <w:p w:rsidR="009C0345" w:rsidRPr="00B67BEE" w:rsidRDefault="009C0345" w:rsidP="009C0345">
      <w:pPr>
        <w:spacing w:after="0"/>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 xml:space="preserve">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w:t>
      </w:r>
      <w:r w:rsidRPr="00B67BEE">
        <w:rPr>
          <w:rFonts w:ascii="Arial" w:hAnsi="Arial" w:cs="Arial"/>
          <w:sz w:val="24"/>
          <w:szCs w:val="24"/>
        </w:rPr>
        <w:lastRenderedPageBreak/>
        <w:t>desc</w:t>
      </w:r>
      <w:r w:rsidR="00513CE9">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sidR="00513CE9">
        <w:rPr>
          <w:rFonts w:ascii="Arial" w:hAnsi="Arial" w:cs="Arial"/>
          <w:sz w:val="24"/>
          <w:szCs w:val="24"/>
        </w:rPr>
        <w:t>dministración pública del Estatal</w:t>
      </w:r>
      <w:r w:rsidRPr="00B67BEE">
        <w:rPr>
          <w:rFonts w:ascii="Arial" w:hAnsi="Arial" w:cs="Arial"/>
          <w:sz w:val="24"/>
          <w:szCs w:val="24"/>
        </w:rPr>
        <w:t>, los municipios y sus organismos descentralizados y desconcentrados.</w:t>
      </w:r>
    </w:p>
    <w:p w:rsidR="009C0345" w:rsidRPr="00B67BEE" w:rsidRDefault="009C0345" w:rsidP="00F072A9">
      <w:pPr>
        <w:spacing w:after="0" w:line="360" w:lineRule="auto"/>
        <w:ind w:firstLine="709"/>
        <w:jc w:val="both"/>
        <w:rPr>
          <w:rFonts w:ascii="Arial" w:hAnsi="Arial" w:cs="Arial"/>
          <w:sz w:val="24"/>
          <w:szCs w:val="24"/>
        </w:rPr>
      </w:pPr>
    </w:p>
    <w:p w:rsidR="00BB65A1" w:rsidRDefault="009C0345" w:rsidP="00BB65A1">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BB65A1">
        <w:rPr>
          <w:rFonts w:ascii="Arial" w:hAnsi="Arial" w:cs="Arial"/>
          <w:sz w:val="24"/>
          <w:szCs w:val="24"/>
        </w:rPr>
        <w:t>uenta Pública del ejercicio 2015</w:t>
      </w:r>
      <w:r w:rsidRPr="00B67BEE">
        <w:rPr>
          <w:rFonts w:ascii="Arial" w:hAnsi="Arial" w:cs="Arial"/>
          <w:sz w:val="24"/>
          <w:szCs w:val="24"/>
        </w:rPr>
        <w:t xml:space="preserve"> </w:t>
      </w:r>
      <w:r w:rsidR="00513CE9" w:rsidRPr="00117EB1">
        <w:rPr>
          <w:rFonts w:ascii="Arial" w:hAnsi="Arial" w:cs="Arial"/>
          <w:sz w:val="24"/>
        </w:rPr>
        <w:t xml:space="preserve">del </w:t>
      </w:r>
      <w:r w:rsidR="00513CE9">
        <w:rPr>
          <w:rFonts w:ascii="Arial" w:hAnsi="Arial" w:cs="Arial"/>
          <w:b/>
          <w:sz w:val="24"/>
        </w:rPr>
        <w:t xml:space="preserve">Fideicomiso </w:t>
      </w:r>
      <w:r w:rsidR="00BD2AF0">
        <w:rPr>
          <w:rFonts w:ascii="Arial" w:hAnsi="Arial" w:cs="Arial"/>
          <w:b/>
          <w:sz w:val="24"/>
        </w:rPr>
        <w:t>Empresarios Unidos por la Educación</w:t>
      </w:r>
      <w:r w:rsidR="00BB65A1">
        <w:rPr>
          <w:rFonts w:ascii="Arial" w:hAnsi="Arial" w:cs="Arial"/>
          <w:b/>
          <w:sz w:val="24"/>
        </w:rPr>
        <w:t xml:space="preserve"> </w:t>
      </w:r>
      <w:r w:rsidR="00BB65A1" w:rsidRPr="00EC7874">
        <w:rPr>
          <w:rFonts w:ascii="Arial" w:hAnsi="Arial" w:cs="Arial"/>
          <w:sz w:val="24"/>
          <w:szCs w:val="24"/>
        </w:rPr>
        <w:t>recibida el 22 de abril de 2016</w:t>
      </w:r>
      <w:r w:rsidR="00513CE9" w:rsidRPr="00117EB1">
        <w:rPr>
          <w:rFonts w:ascii="Arial" w:hAnsi="Arial" w:cs="Arial"/>
          <w:sz w:val="24"/>
        </w:rPr>
        <w:t>,</w:t>
      </w:r>
      <w:r w:rsidRPr="00B67BEE">
        <w:rPr>
          <w:rFonts w:ascii="Arial" w:hAnsi="Arial" w:cs="Arial"/>
          <w:sz w:val="24"/>
          <w:szCs w:val="24"/>
        </w:rPr>
        <w:t xml:space="preserve">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w:t>
      </w:r>
      <w:r w:rsidR="00BB65A1">
        <w:rPr>
          <w:rFonts w:ascii="Arial" w:hAnsi="Arial" w:cs="Arial"/>
          <w:sz w:val="24"/>
          <w:szCs w:val="24"/>
        </w:rPr>
        <w:t xml:space="preserve"> materia de  gestión financiera, </w:t>
      </w:r>
      <w:r w:rsidR="00BB65A1" w:rsidRPr="00BB65A1">
        <w:rPr>
          <w:rFonts w:ascii="Arial" w:hAnsi="Arial" w:cs="Arial"/>
          <w:sz w:val="24"/>
          <w:szCs w:val="24"/>
        </w:rPr>
        <w:t>así como los planes de desarrollo.</w:t>
      </w:r>
    </w:p>
    <w:p w:rsidR="009C0345" w:rsidRPr="00B67BEE" w:rsidRDefault="00BB65A1" w:rsidP="00BB65A1">
      <w:pPr>
        <w:spacing w:after="0" w:line="360" w:lineRule="auto"/>
        <w:ind w:firstLine="709"/>
        <w:jc w:val="both"/>
        <w:rPr>
          <w:rFonts w:ascii="Arial" w:hAnsi="Arial" w:cs="Arial"/>
          <w:sz w:val="24"/>
          <w:szCs w:val="24"/>
        </w:rPr>
      </w:pPr>
      <w:r w:rsidRPr="00B67BEE">
        <w:rPr>
          <w:rFonts w:ascii="Arial" w:hAnsi="Arial" w:cs="Arial"/>
          <w:sz w:val="24"/>
          <w:szCs w:val="24"/>
        </w:rPr>
        <w:t xml:space="preserve"> </w:t>
      </w: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 ese</w:t>
      </w:r>
      <w:r w:rsidR="009C0345"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009C0345"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009C0345" w:rsidRPr="00B67BEE">
        <w:rPr>
          <w:rFonts w:ascii="Arial" w:hAnsi="Arial" w:cs="Arial"/>
          <w:sz w:val="24"/>
          <w:szCs w:val="24"/>
        </w:rPr>
        <w:t xml:space="preserve"> Aud</w:t>
      </w:r>
      <w:r>
        <w:rPr>
          <w:rFonts w:ascii="Arial" w:hAnsi="Arial" w:cs="Arial"/>
          <w:sz w:val="24"/>
          <w:szCs w:val="24"/>
        </w:rPr>
        <w:t>itoría Superior del Estado tuvo</w:t>
      </w:r>
      <w:r w:rsidR="009C0345" w:rsidRPr="00B67BEE">
        <w:rPr>
          <w:rFonts w:ascii="Arial" w:hAnsi="Arial" w:cs="Arial"/>
          <w:sz w:val="24"/>
          <w:szCs w:val="24"/>
        </w:rPr>
        <w:t xml:space="preserve"> a bien rendir el Informe del Resultado de la revisión practicada a la C</w:t>
      </w:r>
      <w:r w:rsidR="00AD5197">
        <w:rPr>
          <w:rFonts w:ascii="Arial" w:hAnsi="Arial" w:cs="Arial"/>
          <w:sz w:val="24"/>
          <w:szCs w:val="24"/>
        </w:rPr>
        <w:t>uenta Pública del ejercicio 2015</w:t>
      </w:r>
      <w:r w:rsidR="009C0345" w:rsidRPr="00B67BEE">
        <w:rPr>
          <w:rFonts w:ascii="Arial" w:hAnsi="Arial" w:cs="Arial"/>
          <w:sz w:val="24"/>
          <w:szCs w:val="24"/>
        </w:rPr>
        <w:t xml:space="preserve"> </w:t>
      </w:r>
      <w:r w:rsidRPr="00117EB1">
        <w:rPr>
          <w:rFonts w:ascii="Arial" w:hAnsi="Arial" w:cs="Arial"/>
          <w:sz w:val="24"/>
        </w:rPr>
        <w:t xml:space="preserve">del </w:t>
      </w:r>
      <w:r>
        <w:rPr>
          <w:rFonts w:ascii="Arial" w:hAnsi="Arial" w:cs="Arial"/>
          <w:b/>
          <w:sz w:val="24"/>
        </w:rPr>
        <w:t xml:space="preserve">Fideicomiso </w:t>
      </w:r>
      <w:r w:rsidR="000551E4">
        <w:rPr>
          <w:rFonts w:ascii="Arial" w:hAnsi="Arial" w:cs="Arial"/>
          <w:b/>
          <w:sz w:val="24"/>
        </w:rPr>
        <w:t>Empresarios Unidos por la Educación</w:t>
      </w:r>
      <w:r w:rsidRPr="00117EB1">
        <w:rPr>
          <w:rFonts w:ascii="Arial" w:hAnsi="Arial" w:cs="Arial"/>
          <w:sz w:val="24"/>
        </w:rPr>
        <w:t>,</w:t>
      </w:r>
      <w:r>
        <w:rPr>
          <w:rFonts w:ascii="Arial" w:hAnsi="Arial" w:cs="Arial"/>
          <w:sz w:val="24"/>
          <w:szCs w:val="24"/>
        </w:rPr>
        <w:t xml:space="preserve"> a este</w:t>
      </w:r>
      <w:r w:rsidR="009C0345" w:rsidRPr="00B67BEE">
        <w:rPr>
          <w:rFonts w:ascii="Arial" w:hAnsi="Arial" w:cs="Arial"/>
          <w:sz w:val="24"/>
          <w:szCs w:val="24"/>
        </w:rPr>
        <w:t xml:space="preserve"> H. Congreso del Estado.</w:t>
      </w:r>
    </w:p>
    <w:p w:rsidR="009C0345" w:rsidRPr="00B67BEE" w:rsidRDefault="009C0345" w:rsidP="00F072A9">
      <w:pPr>
        <w:spacing w:after="0" w:line="360" w:lineRule="auto"/>
        <w:jc w:val="both"/>
        <w:rPr>
          <w:rFonts w:ascii="Arial" w:hAnsi="Arial" w:cs="Arial"/>
          <w:sz w:val="24"/>
          <w:szCs w:val="24"/>
        </w:rPr>
      </w:pPr>
    </w:p>
    <w:p w:rsidR="009C0345" w:rsidRPr="00B67BEE" w:rsidRDefault="00C74F05" w:rsidP="00F072A9">
      <w:pPr>
        <w:spacing w:after="0" w:line="360" w:lineRule="auto"/>
        <w:ind w:firstLine="709"/>
        <w:jc w:val="both"/>
        <w:rPr>
          <w:rFonts w:ascii="Arial" w:hAnsi="Arial" w:cs="Arial"/>
          <w:sz w:val="24"/>
          <w:szCs w:val="24"/>
        </w:rPr>
      </w:pPr>
      <w:r>
        <w:rPr>
          <w:rFonts w:ascii="Arial" w:hAnsi="Arial" w:cs="Arial"/>
          <w:sz w:val="24"/>
          <w:szCs w:val="24"/>
        </w:rPr>
        <w:lastRenderedPageBreak/>
        <w:t>Entre los apartado III</w:t>
      </w:r>
      <w:r w:rsidR="00513CE9">
        <w:rPr>
          <w:rFonts w:ascii="Arial" w:hAnsi="Arial" w:cs="Arial"/>
          <w:sz w:val="24"/>
          <w:szCs w:val="24"/>
        </w:rPr>
        <w:t xml:space="preserve"> del</w:t>
      </w:r>
      <w:r w:rsidR="009C0345"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Asimismo, se realiza una descripción de los elementos revisados y resultados obtenidos en la revisión, respecto de:</w:t>
      </w:r>
    </w:p>
    <w:p w:rsidR="009C0345" w:rsidRPr="00B67BEE" w:rsidRDefault="009C0345" w:rsidP="00F072A9">
      <w:pPr>
        <w:spacing w:after="0" w:line="360" w:lineRule="auto"/>
        <w:jc w:val="both"/>
        <w:rPr>
          <w:rFonts w:ascii="Arial" w:hAnsi="Arial" w:cs="Arial"/>
          <w:sz w:val="24"/>
          <w:szCs w:val="24"/>
        </w:rPr>
      </w:pPr>
    </w:p>
    <w:p w:rsidR="00AD5197" w:rsidRPr="00AD5197" w:rsidRDefault="00AD5197" w:rsidP="00AD5197">
      <w:pPr>
        <w:pStyle w:val="Prrafodelista"/>
        <w:numPr>
          <w:ilvl w:val="0"/>
          <w:numId w:val="44"/>
        </w:numPr>
        <w:spacing w:after="0"/>
        <w:jc w:val="both"/>
        <w:rPr>
          <w:rFonts w:ascii="Arial" w:hAnsi="Arial" w:cs="Arial"/>
          <w:sz w:val="24"/>
          <w:szCs w:val="24"/>
        </w:rPr>
      </w:pPr>
      <w:r w:rsidRPr="00AD5197">
        <w:rPr>
          <w:rFonts w:ascii="Arial" w:hAnsi="Arial" w:cs="Arial"/>
          <w:sz w:val="24"/>
          <w:szCs w:val="24"/>
        </w:rPr>
        <w:t>La evaluación de la gestión financiera y del gasto público;</w:t>
      </w:r>
    </w:p>
    <w:p w:rsidR="00AD5197" w:rsidRPr="00AD5197" w:rsidRDefault="00AD5197" w:rsidP="00AD5197">
      <w:pPr>
        <w:pStyle w:val="Prrafodelista"/>
        <w:numPr>
          <w:ilvl w:val="0"/>
          <w:numId w:val="44"/>
        </w:numPr>
        <w:spacing w:after="0"/>
        <w:jc w:val="both"/>
        <w:rPr>
          <w:rFonts w:ascii="Arial" w:hAnsi="Arial" w:cs="Arial"/>
          <w:sz w:val="24"/>
          <w:szCs w:val="24"/>
        </w:rPr>
      </w:pPr>
      <w:r w:rsidRPr="00AD5197">
        <w:rPr>
          <w:rFonts w:ascii="Arial" w:hAnsi="Arial" w:cs="Arial"/>
          <w:sz w:val="24"/>
          <w:szCs w:val="24"/>
        </w:rPr>
        <w:t>Cumplimiento de la Ley General de Contabilidad Gubernamental y de las disposiciones contenidas en los ordenamientos y normativa correspondientes;</w:t>
      </w:r>
    </w:p>
    <w:p w:rsidR="00AD5197" w:rsidRPr="00AD5197" w:rsidRDefault="00AD5197" w:rsidP="00AD5197">
      <w:pPr>
        <w:pStyle w:val="Prrafodelista"/>
        <w:numPr>
          <w:ilvl w:val="0"/>
          <w:numId w:val="44"/>
        </w:numPr>
        <w:spacing w:after="0"/>
        <w:jc w:val="both"/>
        <w:rPr>
          <w:rFonts w:ascii="Arial" w:hAnsi="Arial" w:cs="Arial"/>
          <w:sz w:val="24"/>
          <w:szCs w:val="24"/>
        </w:rPr>
      </w:pPr>
      <w:r w:rsidRPr="00AD5197">
        <w:rPr>
          <w:rFonts w:ascii="Arial" w:hAnsi="Arial" w:cs="Arial"/>
          <w:sz w:val="24"/>
          <w:szCs w:val="24"/>
        </w:rPr>
        <w:t>La evaluación del avance o cumplimiento de los programas y subprogramas aprobados.</w:t>
      </w:r>
    </w:p>
    <w:p w:rsidR="009C0345" w:rsidRPr="00B67BEE" w:rsidRDefault="009C0345" w:rsidP="009C0345">
      <w:pPr>
        <w:spacing w:after="0"/>
        <w:jc w:val="both"/>
        <w:rPr>
          <w:rFonts w:ascii="Arial" w:hAnsi="Arial" w:cs="Arial"/>
          <w:sz w:val="24"/>
          <w:szCs w:val="24"/>
        </w:rPr>
      </w:pPr>
    </w:p>
    <w:p w:rsidR="009C0345" w:rsidRPr="00B67BEE" w:rsidRDefault="009C0345" w:rsidP="009C0345">
      <w:pPr>
        <w:spacing w:after="0"/>
        <w:jc w:val="both"/>
        <w:rPr>
          <w:rFonts w:ascii="Arial" w:hAnsi="Arial" w:cs="Arial"/>
          <w:sz w:val="24"/>
          <w:szCs w:val="24"/>
        </w:rPr>
      </w:pPr>
    </w:p>
    <w:p w:rsidR="00084A4D" w:rsidRDefault="00084A4D" w:rsidP="009C0345">
      <w:pPr>
        <w:pStyle w:val="Prrafodelista"/>
        <w:numPr>
          <w:ilvl w:val="0"/>
          <w:numId w:val="3"/>
        </w:numPr>
        <w:spacing w:after="0"/>
        <w:ind w:left="426" w:hanging="426"/>
        <w:contextualSpacing/>
        <w:rPr>
          <w:rFonts w:ascii="Arial" w:hAnsi="Arial" w:cs="Arial"/>
          <w:b/>
          <w:sz w:val="24"/>
        </w:rPr>
      </w:pPr>
      <w:r>
        <w:rPr>
          <w:rFonts w:ascii="Arial" w:hAnsi="Arial" w:cs="Arial"/>
          <w:b/>
          <w:sz w:val="24"/>
        </w:rPr>
        <w:t>Entidad Objeto de la revisión</w:t>
      </w:r>
    </w:p>
    <w:p w:rsidR="00084A4D" w:rsidRDefault="00084A4D" w:rsidP="00084A4D">
      <w:pPr>
        <w:spacing w:after="0"/>
        <w:contextualSpacing/>
        <w:rPr>
          <w:rFonts w:ascii="Arial" w:hAnsi="Arial" w:cs="Arial"/>
          <w:sz w:val="24"/>
        </w:rPr>
      </w:pPr>
    </w:p>
    <w:p w:rsidR="00C74F05" w:rsidRDefault="00C74F05" w:rsidP="00084A4D">
      <w:pPr>
        <w:spacing w:after="0"/>
        <w:contextualSpacing/>
        <w:rPr>
          <w:rFonts w:ascii="Arial" w:hAnsi="Arial" w:cs="Arial"/>
          <w:sz w:val="24"/>
        </w:rPr>
      </w:pPr>
    </w:p>
    <w:p w:rsidR="00C74F05" w:rsidRPr="00C74F05" w:rsidRDefault="00C74F05" w:rsidP="00C74F05">
      <w:pPr>
        <w:tabs>
          <w:tab w:val="left" w:pos="2610"/>
        </w:tabs>
        <w:spacing w:line="360" w:lineRule="auto"/>
        <w:ind w:firstLine="709"/>
        <w:jc w:val="both"/>
        <w:rPr>
          <w:rFonts w:ascii="Arial" w:hAnsi="Arial" w:cs="Arial"/>
          <w:sz w:val="24"/>
        </w:rPr>
      </w:pPr>
      <w:r w:rsidRPr="00C74F05">
        <w:rPr>
          <w:rFonts w:ascii="Arial" w:hAnsi="Arial" w:cs="Arial"/>
          <w:sz w:val="24"/>
        </w:rPr>
        <w:t xml:space="preserve">El Fideicomiso Empresarios Unidos por la Educación, se constituyó el </w:t>
      </w:r>
      <w:r w:rsidRPr="00CC678F">
        <w:rPr>
          <w:rFonts w:ascii="Arial" w:hAnsi="Arial" w:cs="Arial"/>
          <w:sz w:val="24"/>
        </w:rPr>
        <w:t xml:space="preserve">21 de septiembre de 2010, </w:t>
      </w:r>
      <w:r w:rsidRPr="00C74F05">
        <w:rPr>
          <w:rFonts w:ascii="Arial" w:hAnsi="Arial" w:cs="Arial"/>
          <w:sz w:val="24"/>
        </w:rPr>
        <w:t>señalándose como Fideicomitente al Gobierno del Estado de Nuevo León y Fiduciario al Banco del Bajío, S.A.</w:t>
      </w:r>
      <w:r>
        <w:rPr>
          <w:rFonts w:ascii="Arial" w:hAnsi="Arial" w:cs="Arial"/>
          <w:sz w:val="24"/>
        </w:rPr>
        <w:t xml:space="preserve"> Institución de Banca Múltiple.</w:t>
      </w:r>
    </w:p>
    <w:p w:rsidR="00322FAE" w:rsidRDefault="00C74F05" w:rsidP="00C74F05">
      <w:pPr>
        <w:tabs>
          <w:tab w:val="left" w:pos="2610"/>
        </w:tabs>
        <w:spacing w:line="360" w:lineRule="auto"/>
        <w:ind w:firstLine="709"/>
        <w:jc w:val="both"/>
        <w:rPr>
          <w:rFonts w:ascii="Arial" w:hAnsi="Arial" w:cs="Arial"/>
          <w:sz w:val="24"/>
        </w:rPr>
      </w:pPr>
      <w:r>
        <w:rPr>
          <w:rFonts w:ascii="Arial" w:hAnsi="Arial" w:cs="Arial"/>
          <w:sz w:val="24"/>
        </w:rPr>
        <w:t>El objeto de ese</w:t>
      </w:r>
      <w:r w:rsidRPr="00C74F05">
        <w:rPr>
          <w:rFonts w:ascii="Arial" w:hAnsi="Arial" w:cs="Arial"/>
          <w:sz w:val="24"/>
        </w:rPr>
        <w:t xml:space="preserve"> Fideicomiso es la administración y distribución de los recursos económicos y en especie que aporten a modo de donativos las Empresas, así como los bienes que aporte el Fideicomitente y, en su caso, el Gobierno Federal a través de sus organismos y entidades, y que previas instrucciones del Comité Técnico sean destinados al cumplimiento de los </w:t>
      </w:r>
      <w:r w:rsidRPr="00C74F05">
        <w:rPr>
          <w:rFonts w:ascii="Arial" w:hAnsi="Arial" w:cs="Arial"/>
          <w:sz w:val="24"/>
        </w:rPr>
        <w:lastRenderedPageBreak/>
        <w:t>fines del Fideicomiso, entre otros, brindar apoyo al sector educativo de nivel básico y de educación especial del Estado de Nuevo León, dependiente de la Secretaría de Educación del Estado de Nuevo León y de la Unidad de Integración Educativa de Nuevo León a fin de cubrir deficiencias de mantenimiento y conservación en los planteles escolares públicos que presenten las mayores necesidades al respecto, dentro del programa “Adopta una Escuela”.</w:t>
      </w:r>
    </w:p>
    <w:p w:rsidR="00C74F05" w:rsidRDefault="00C74F05" w:rsidP="00C74F05">
      <w:pPr>
        <w:tabs>
          <w:tab w:val="left" w:pos="2610"/>
        </w:tabs>
        <w:spacing w:line="360" w:lineRule="auto"/>
        <w:ind w:firstLine="709"/>
        <w:jc w:val="both"/>
        <w:rPr>
          <w:rFonts w:ascii="Arial" w:hAnsi="Arial" w:cs="Arial"/>
          <w:sz w:val="24"/>
        </w:rPr>
      </w:pPr>
    </w:p>
    <w:p w:rsidR="00C74F05" w:rsidRDefault="00C74F05" w:rsidP="00C74F05">
      <w:pPr>
        <w:tabs>
          <w:tab w:val="left" w:pos="2610"/>
        </w:tabs>
        <w:spacing w:line="360" w:lineRule="auto"/>
        <w:ind w:firstLine="709"/>
        <w:jc w:val="both"/>
        <w:rPr>
          <w:rFonts w:ascii="Arial" w:hAnsi="Arial" w:cs="Arial"/>
          <w:sz w:val="24"/>
        </w:rPr>
      </w:pPr>
    </w:p>
    <w:p w:rsidR="009C0345" w:rsidRPr="00B67BEE" w:rsidRDefault="009C0345" w:rsidP="002B20E1">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Objetivos y alcances de la revisión practicada tanto a la gestión como al desempeño, incluyendo prevenciones generales sobre los criterios de selección y descripción de los procedimientos de auditoría aplicados.</w:t>
      </w:r>
    </w:p>
    <w:p w:rsidR="009C0345" w:rsidRPr="00B67BEE" w:rsidRDefault="009C0345" w:rsidP="009C0345">
      <w:pPr>
        <w:pStyle w:val="Prrafodelista"/>
        <w:spacing w:after="0"/>
        <w:ind w:left="426"/>
        <w:rPr>
          <w:rFonts w:ascii="Arial" w:hAnsi="Arial" w:cs="Arial"/>
          <w:b/>
          <w:sz w:val="24"/>
        </w:rPr>
      </w:pPr>
    </w:p>
    <w:p w:rsidR="0077749F" w:rsidRPr="0077749F" w:rsidRDefault="0077749F" w:rsidP="0077749F">
      <w:pPr>
        <w:spacing w:after="0"/>
        <w:jc w:val="both"/>
        <w:rPr>
          <w:rFonts w:ascii="Arial" w:eastAsia="Times New Roman" w:hAnsi="Arial" w:cs="Arial"/>
          <w:sz w:val="24"/>
          <w:lang w:eastAsia="es-ES"/>
        </w:rPr>
      </w:pPr>
    </w:p>
    <w:p w:rsidR="0077749F" w:rsidRPr="0077749F" w:rsidRDefault="0077749F" w:rsidP="0077749F">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77749F" w:rsidRPr="0077749F" w:rsidRDefault="0077749F" w:rsidP="0077749F">
      <w:pPr>
        <w:spacing w:after="0"/>
        <w:jc w:val="both"/>
        <w:rPr>
          <w:rFonts w:ascii="Arial" w:eastAsia="Times New Roman" w:hAnsi="Arial" w:cs="Arial"/>
          <w:sz w:val="24"/>
          <w:lang w:eastAsia="es-ES"/>
        </w:rPr>
      </w:pPr>
    </w:p>
    <w:p w:rsid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AD5197">
        <w:rPr>
          <w:rFonts w:ascii="Arial" w:eastAsia="Times New Roman" w:hAnsi="Arial" w:cs="Arial"/>
          <w:sz w:val="24"/>
          <w:lang w:eastAsia="es-ES"/>
        </w:rPr>
        <w:t>rograma Anual de Auditorías 2016</w:t>
      </w:r>
      <w:r w:rsidRPr="0077749F">
        <w:rPr>
          <w:rFonts w:ascii="Arial" w:eastAsia="Times New Roman" w:hAnsi="Arial" w:cs="Arial"/>
          <w:sz w:val="24"/>
          <w:lang w:eastAsia="es-ES"/>
        </w:rPr>
        <w:t xml:space="preserve"> para la Fiscalización de las Cuentas Públicas co</w:t>
      </w:r>
      <w:r w:rsidR="00AD5197">
        <w:rPr>
          <w:rFonts w:ascii="Arial" w:eastAsia="Times New Roman" w:hAnsi="Arial" w:cs="Arial"/>
          <w:sz w:val="24"/>
          <w:lang w:eastAsia="es-ES"/>
        </w:rPr>
        <w:t>rrespondientes al ejercicio 2015</w:t>
      </w:r>
      <w:r w:rsidR="00902D03">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902D03">
        <w:rPr>
          <w:rFonts w:ascii="Arial" w:eastAsia="Times New Roman" w:hAnsi="Arial" w:cs="Arial"/>
          <w:sz w:val="24"/>
          <w:lang w:eastAsia="es-ES"/>
        </w:rPr>
        <w:t xml:space="preserve">isión de Vigilancia, en fecha </w:t>
      </w:r>
      <w:r w:rsidR="00AD5197">
        <w:rPr>
          <w:rFonts w:ascii="Arial" w:hAnsi="Arial" w:cs="Arial"/>
          <w:bCs/>
          <w:iCs/>
          <w:sz w:val="24"/>
        </w:rPr>
        <w:t>14 de junio del 2016</w:t>
      </w:r>
      <w:r w:rsidR="00902D03">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tbl>
      <w:tblPr>
        <w:tblW w:w="4741" w:type="pct"/>
        <w:jc w:val="center"/>
        <w:tblLayout w:type="fixed"/>
        <w:tblCellMar>
          <w:left w:w="70" w:type="dxa"/>
          <w:right w:w="70" w:type="dxa"/>
        </w:tblCellMar>
        <w:tblLook w:val="04A0" w:firstRow="1" w:lastRow="0" w:firstColumn="1" w:lastColumn="0" w:noHBand="0" w:noVBand="1"/>
      </w:tblPr>
      <w:tblGrid>
        <w:gridCol w:w="1914"/>
        <w:gridCol w:w="949"/>
        <w:gridCol w:w="936"/>
        <w:gridCol w:w="803"/>
        <w:gridCol w:w="936"/>
        <w:gridCol w:w="936"/>
        <w:gridCol w:w="936"/>
        <w:gridCol w:w="620"/>
      </w:tblGrid>
      <w:tr w:rsidR="00AD5197" w:rsidRPr="00880681" w:rsidTr="00671032">
        <w:trPr>
          <w:trHeight w:val="300"/>
          <w:tblHeader/>
          <w:jc w:val="center"/>
        </w:trPr>
        <w:tc>
          <w:tcPr>
            <w:tcW w:w="1191"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AD5197" w:rsidRPr="00880681" w:rsidRDefault="00AD5197" w:rsidP="00671032">
            <w:pPr>
              <w:ind w:hanging="284"/>
              <w:jc w:val="center"/>
              <w:rPr>
                <w:rFonts w:ascii="Arial" w:hAnsi="Arial" w:cs="Arial"/>
                <w:b/>
                <w:bCs/>
                <w:sz w:val="14"/>
                <w:szCs w:val="14"/>
                <w:lang w:eastAsia="es-MX"/>
              </w:rPr>
            </w:pPr>
            <w:r w:rsidRPr="00880681">
              <w:rPr>
                <w:rFonts w:ascii="Arial" w:hAnsi="Arial" w:cs="Arial"/>
                <w:b/>
                <w:sz w:val="24"/>
              </w:rPr>
              <w:lastRenderedPageBreak/>
              <w:br w:type="page"/>
            </w:r>
            <w:r w:rsidRPr="00880681">
              <w:rPr>
                <w:rFonts w:ascii="Arial" w:hAnsi="Arial" w:cs="Arial"/>
                <w:b/>
                <w:bCs/>
                <w:sz w:val="18"/>
                <w:szCs w:val="18"/>
                <w:lang w:eastAsia="es-MX"/>
              </w:rPr>
              <w:t>Entidad</w:t>
            </w:r>
          </w:p>
        </w:tc>
        <w:tc>
          <w:tcPr>
            <w:tcW w:w="3809"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AD5197" w:rsidRPr="00880681" w:rsidRDefault="00AD5197" w:rsidP="00671032">
            <w:pPr>
              <w:jc w:val="center"/>
              <w:rPr>
                <w:rFonts w:ascii="Arial" w:hAnsi="Arial" w:cs="Arial"/>
                <w:b/>
                <w:bCs/>
                <w:sz w:val="18"/>
                <w:szCs w:val="18"/>
                <w:lang w:eastAsia="es-MX"/>
              </w:rPr>
            </w:pPr>
            <w:r w:rsidRPr="00880681">
              <w:rPr>
                <w:rFonts w:ascii="Arial" w:hAnsi="Arial" w:cs="Arial"/>
                <w:b/>
                <w:bCs/>
                <w:sz w:val="18"/>
                <w:szCs w:val="18"/>
                <w:lang w:eastAsia="es-MX"/>
              </w:rPr>
              <w:t>Tipos de auditoría a Cuenta Pública 2015</w:t>
            </w:r>
          </w:p>
        </w:tc>
      </w:tr>
      <w:tr w:rsidR="00AD5197" w:rsidRPr="00880681" w:rsidTr="00671032">
        <w:trPr>
          <w:trHeight w:val="375"/>
          <w:tblHeader/>
          <w:jc w:val="center"/>
        </w:trPr>
        <w:tc>
          <w:tcPr>
            <w:tcW w:w="1191"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AD5197" w:rsidRPr="00880681" w:rsidRDefault="00AD5197" w:rsidP="00671032">
            <w:pPr>
              <w:jc w:val="center"/>
              <w:rPr>
                <w:rFonts w:ascii="Arial" w:hAnsi="Arial" w:cs="Arial"/>
                <w:b/>
                <w:bCs/>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AD5197" w:rsidRPr="00880681" w:rsidRDefault="00AD5197" w:rsidP="00671032">
            <w:pPr>
              <w:jc w:val="center"/>
              <w:rPr>
                <w:rFonts w:ascii="Arial" w:hAnsi="Arial" w:cs="Arial"/>
                <w:b/>
                <w:bCs/>
                <w:sz w:val="14"/>
                <w:szCs w:val="14"/>
                <w:vertAlign w:val="superscript"/>
                <w:lang w:eastAsia="es-MX"/>
              </w:rPr>
            </w:pPr>
            <w:r w:rsidRPr="00880681">
              <w:rPr>
                <w:rFonts w:ascii="Arial" w:hAnsi="Arial" w:cs="Arial"/>
                <w:b/>
                <w:bCs/>
                <w:sz w:val="14"/>
                <w:szCs w:val="14"/>
                <w:lang w:eastAsia="es-MX"/>
              </w:rPr>
              <w:t>Auditoría Financiera</w:t>
            </w:r>
            <w:r w:rsidRPr="00880681">
              <w:rPr>
                <w:rFonts w:ascii="Arial" w:hAnsi="Arial" w:cs="Arial"/>
                <w:b/>
                <w:bCs/>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AD5197" w:rsidRPr="00880681" w:rsidRDefault="00AD5197" w:rsidP="00671032">
            <w:pPr>
              <w:jc w:val="center"/>
              <w:rPr>
                <w:rFonts w:ascii="Arial" w:hAnsi="Arial" w:cs="Arial"/>
                <w:b/>
                <w:bCs/>
                <w:sz w:val="14"/>
                <w:szCs w:val="14"/>
                <w:vertAlign w:val="superscript"/>
                <w:lang w:eastAsia="es-MX"/>
              </w:rPr>
            </w:pPr>
            <w:r w:rsidRPr="00880681">
              <w:rPr>
                <w:rFonts w:ascii="Arial" w:hAnsi="Arial" w:cs="Arial"/>
                <w:b/>
                <w:bCs/>
                <w:sz w:val="14"/>
                <w:szCs w:val="14"/>
                <w:lang w:eastAsia="es-MX"/>
              </w:rPr>
              <w:t>Auditoría Técnica a la Obra Pública</w:t>
            </w:r>
            <w:r w:rsidRPr="00880681">
              <w:rPr>
                <w:rFonts w:ascii="Arial" w:hAnsi="Arial" w:cs="Arial"/>
                <w:b/>
                <w:bCs/>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AD5197" w:rsidRPr="00880681" w:rsidRDefault="00AD5197" w:rsidP="00671032">
            <w:pPr>
              <w:jc w:val="center"/>
              <w:rPr>
                <w:rFonts w:ascii="Arial" w:hAnsi="Arial" w:cs="Arial"/>
                <w:b/>
                <w:bCs/>
                <w:sz w:val="14"/>
                <w:szCs w:val="14"/>
                <w:vertAlign w:val="superscript"/>
                <w:lang w:eastAsia="es-MX"/>
              </w:rPr>
            </w:pPr>
            <w:r w:rsidRPr="00880681">
              <w:rPr>
                <w:rFonts w:ascii="Arial" w:hAnsi="Arial" w:cs="Arial"/>
                <w:b/>
                <w:bCs/>
                <w:sz w:val="14"/>
                <w:szCs w:val="14"/>
                <w:lang w:eastAsia="es-MX"/>
              </w:rPr>
              <w:t>Auditoría en Desarrollo Urbano</w:t>
            </w:r>
            <w:r w:rsidRPr="00880681">
              <w:rPr>
                <w:rFonts w:ascii="Arial" w:hAnsi="Arial" w:cs="Arial"/>
                <w:b/>
                <w:bCs/>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AD5197" w:rsidRPr="00880681" w:rsidRDefault="00AD5197" w:rsidP="00671032">
            <w:pPr>
              <w:jc w:val="center"/>
              <w:rPr>
                <w:rFonts w:ascii="Arial" w:hAnsi="Arial" w:cs="Arial"/>
                <w:b/>
                <w:bCs/>
                <w:sz w:val="14"/>
                <w:szCs w:val="14"/>
                <w:vertAlign w:val="superscript"/>
                <w:lang w:eastAsia="es-MX"/>
              </w:rPr>
            </w:pPr>
            <w:r w:rsidRPr="00880681">
              <w:rPr>
                <w:rFonts w:ascii="Arial" w:hAnsi="Arial" w:cs="Arial"/>
                <w:b/>
                <w:bCs/>
                <w:sz w:val="14"/>
                <w:szCs w:val="14"/>
                <w:lang w:eastAsia="es-MX"/>
              </w:rPr>
              <w:t>Laboratorio de Obra Pública</w:t>
            </w:r>
            <w:r w:rsidRPr="00880681">
              <w:rPr>
                <w:rFonts w:ascii="Arial" w:hAnsi="Arial" w:cs="Arial"/>
                <w:b/>
                <w:bCs/>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AD5197" w:rsidRPr="00880681" w:rsidRDefault="00AD5197" w:rsidP="00671032">
            <w:pPr>
              <w:jc w:val="center"/>
              <w:rPr>
                <w:rFonts w:ascii="Arial" w:hAnsi="Arial" w:cs="Arial"/>
                <w:b/>
                <w:bCs/>
                <w:sz w:val="14"/>
                <w:szCs w:val="14"/>
                <w:vertAlign w:val="superscript"/>
                <w:lang w:eastAsia="es-MX"/>
              </w:rPr>
            </w:pPr>
            <w:r w:rsidRPr="00880681">
              <w:rPr>
                <w:rFonts w:ascii="Arial" w:hAnsi="Arial" w:cs="Arial"/>
                <w:b/>
                <w:bCs/>
                <w:sz w:val="14"/>
                <w:szCs w:val="14"/>
                <w:lang w:eastAsia="es-MX"/>
              </w:rPr>
              <w:t>Auditoría de Evaluación al Desempeño</w:t>
            </w:r>
            <w:r w:rsidRPr="00880681">
              <w:rPr>
                <w:rFonts w:ascii="Arial" w:hAnsi="Arial" w:cs="Arial"/>
                <w:b/>
                <w:bCs/>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AD5197" w:rsidRPr="00880681" w:rsidRDefault="00AD5197" w:rsidP="00671032">
            <w:pPr>
              <w:jc w:val="center"/>
              <w:rPr>
                <w:rFonts w:ascii="Arial" w:hAnsi="Arial" w:cs="Arial"/>
                <w:b/>
                <w:bCs/>
                <w:sz w:val="14"/>
                <w:szCs w:val="14"/>
                <w:vertAlign w:val="superscript"/>
                <w:lang w:eastAsia="es-MX"/>
              </w:rPr>
            </w:pPr>
            <w:r w:rsidRPr="00880681">
              <w:rPr>
                <w:rFonts w:ascii="Arial" w:hAnsi="Arial" w:cs="Arial"/>
                <w:b/>
                <w:bCs/>
                <w:sz w:val="14"/>
                <w:szCs w:val="14"/>
                <w:lang w:eastAsia="es-MX"/>
              </w:rPr>
              <w:t>Auditoría a Recursos Federales</w:t>
            </w:r>
            <w:r w:rsidRPr="00880681">
              <w:rPr>
                <w:rFonts w:ascii="Arial" w:hAnsi="Arial" w:cs="Arial"/>
                <w:b/>
                <w:bCs/>
                <w:sz w:val="16"/>
                <w:szCs w:val="14"/>
                <w:vertAlign w:val="superscript"/>
                <w:lang w:eastAsia="es-MX"/>
              </w:rPr>
              <w:t>6</w:t>
            </w:r>
          </w:p>
        </w:tc>
        <w:tc>
          <w:tcPr>
            <w:tcW w:w="385"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AD5197" w:rsidRPr="00880681" w:rsidRDefault="00AD5197" w:rsidP="00671032">
            <w:pPr>
              <w:jc w:val="center"/>
              <w:rPr>
                <w:rFonts w:ascii="Arial" w:hAnsi="Arial" w:cs="Arial"/>
                <w:b/>
                <w:bCs/>
                <w:sz w:val="14"/>
                <w:szCs w:val="14"/>
                <w:lang w:eastAsia="es-MX"/>
              </w:rPr>
            </w:pPr>
            <w:r w:rsidRPr="00880681">
              <w:rPr>
                <w:rFonts w:ascii="Arial" w:hAnsi="Arial" w:cs="Arial"/>
                <w:b/>
                <w:bCs/>
                <w:sz w:val="14"/>
                <w:szCs w:val="14"/>
                <w:lang w:eastAsia="es-MX"/>
              </w:rPr>
              <w:t>Total</w:t>
            </w:r>
          </w:p>
        </w:tc>
      </w:tr>
      <w:tr w:rsidR="00AD5197" w:rsidRPr="00880681" w:rsidTr="00671032">
        <w:trPr>
          <w:cantSplit/>
          <w:trHeight w:val="315"/>
          <w:jc w:val="center"/>
        </w:trPr>
        <w:tc>
          <w:tcPr>
            <w:tcW w:w="119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D5197" w:rsidRPr="00880681" w:rsidRDefault="00AD5197" w:rsidP="00671032">
            <w:pPr>
              <w:jc w:val="center"/>
              <w:rPr>
                <w:rFonts w:ascii="Arial" w:hAnsi="Arial" w:cs="Arial"/>
                <w:b/>
                <w:bCs/>
                <w:sz w:val="14"/>
                <w:szCs w:val="14"/>
                <w:lang w:eastAsia="es-MX"/>
              </w:rPr>
            </w:pPr>
            <w:r>
              <w:rPr>
                <w:rFonts w:ascii="Arial" w:hAnsi="Arial" w:cs="Arial"/>
                <w:sz w:val="16"/>
                <w:szCs w:val="16"/>
              </w:rPr>
              <w:t>Fideicomiso Empresarios Unidos por la Educación</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AD5197" w:rsidRPr="00880681" w:rsidRDefault="00AD5197" w:rsidP="00671032">
            <w:pPr>
              <w:jc w:val="center"/>
              <w:rPr>
                <w:rFonts w:ascii="Arial" w:hAnsi="Arial" w:cs="Arial"/>
                <w:b/>
                <w:bCs/>
                <w:sz w:val="14"/>
                <w:szCs w:val="14"/>
                <w:lang w:eastAsia="es-MX"/>
              </w:rPr>
            </w:pPr>
            <w:r w:rsidRPr="00880681">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AD5197" w:rsidRPr="00880681" w:rsidRDefault="00AD5197" w:rsidP="00671032">
            <w:pPr>
              <w:jc w:val="center"/>
              <w:rPr>
                <w:rFonts w:ascii="Arial" w:hAnsi="Arial" w:cs="Arial"/>
                <w:b/>
                <w:bCs/>
                <w:sz w:val="14"/>
                <w:szCs w:val="14"/>
                <w:lang w:eastAsia="es-MX"/>
              </w:rPr>
            </w:pPr>
            <w:r w:rsidRPr="00880681">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AD5197" w:rsidRPr="00880681" w:rsidRDefault="00AD5197" w:rsidP="00671032">
            <w:pPr>
              <w:jc w:val="center"/>
              <w:rPr>
                <w:rFonts w:ascii="Arial" w:hAnsi="Arial" w:cs="Arial"/>
                <w:b/>
                <w:bCs/>
                <w:sz w:val="14"/>
                <w:szCs w:val="14"/>
                <w:lang w:eastAsia="es-MX"/>
              </w:rPr>
            </w:pPr>
            <w:r w:rsidRPr="00880681">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AD5197" w:rsidRPr="00880681" w:rsidRDefault="00AD5197" w:rsidP="00671032">
            <w:pPr>
              <w:jc w:val="center"/>
              <w:rPr>
                <w:rFonts w:ascii="Arial" w:hAnsi="Arial" w:cs="Arial"/>
                <w:b/>
                <w:bCs/>
                <w:sz w:val="14"/>
                <w:szCs w:val="14"/>
                <w:lang w:eastAsia="es-MX"/>
              </w:rPr>
            </w:pPr>
            <w:r w:rsidRPr="00880681">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AD5197" w:rsidRPr="00880681" w:rsidRDefault="00AD5197" w:rsidP="00671032">
            <w:pPr>
              <w:jc w:val="center"/>
              <w:rPr>
                <w:rFonts w:ascii="Arial" w:hAnsi="Arial" w:cs="Arial"/>
                <w:b/>
                <w:bCs/>
                <w:sz w:val="14"/>
                <w:szCs w:val="14"/>
                <w:lang w:eastAsia="es-MX"/>
              </w:rPr>
            </w:pPr>
            <w:r w:rsidRPr="00880681">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AD5197" w:rsidRPr="00880681" w:rsidRDefault="00AD5197" w:rsidP="00671032">
            <w:pPr>
              <w:jc w:val="center"/>
              <w:rPr>
                <w:rFonts w:ascii="Arial" w:hAnsi="Arial" w:cs="Arial"/>
                <w:b/>
                <w:bCs/>
                <w:sz w:val="14"/>
                <w:szCs w:val="14"/>
                <w:lang w:eastAsia="es-MX"/>
              </w:rPr>
            </w:pPr>
            <w:r w:rsidRPr="00880681">
              <w:rPr>
                <w:rFonts w:ascii="Arial" w:hAnsi="Arial" w:cs="Arial"/>
                <w:b/>
                <w:bCs/>
                <w:sz w:val="14"/>
                <w:szCs w:val="14"/>
                <w:lang w:eastAsia="es-MX"/>
              </w:rPr>
              <w:t>-</w:t>
            </w:r>
          </w:p>
        </w:tc>
        <w:tc>
          <w:tcPr>
            <w:tcW w:w="38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AD5197" w:rsidRPr="00880681" w:rsidRDefault="00AD5197" w:rsidP="00671032">
            <w:pPr>
              <w:jc w:val="center"/>
              <w:rPr>
                <w:rFonts w:ascii="Arial" w:hAnsi="Arial" w:cs="Arial"/>
                <w:b/>
                <w:bCs/>
                <w:sz w:val="14"/>
                <w:szCs w:val="14"/>
                <w:lang w:eastAsia="es-MX"/>
              </w:rPr>
            </w:pPr>
            <w:r w:rsidRPr="00880681">
              <w:rPr>
                <w:rFonts w:ascii="Arial" w:hAnsi="Arial" w:cs="Arial"/>
                <w:b/>
                <w:bCs/>
                <w:sz w:val="14"/>
                <w:szCs w:val="14"/>
                <w:lang w:eastAsia="es-MX"/>
              </w:rPr>
              <w:t>1</w:t>
            </w:r>
          </w:p>
        </w:tc>
      </w:tr>
    </w:tbl>
    <w:p w:rsidR="0077749F" w:rsidRDefault="00AD5197" w:rsidP="00AD5197">
      <w:pPr>
        <w:spacing w:after="0"/>
        <w:jc w:val="center"/>
        <w:rPr>
          <w:rFonts w:ascii="Arial" w:eastAsia="Arial" w:hAnsi="Arial" w:cs="Arial"/>
          <w:bCs/>
          <w:smallCaps/>
          <w:sz w:val="16"/>
        </w:rPr>
      </w:pPr>
      <w:r>
        <w:rPr>
          <w:rFonts w:ascii="Arial" w:eastAsia="Arial" w:hAnsi="Arial" w:cs="Arial"/>
          <w:bCs/>
          <w:smallCaps/>
          <w:sz w:val="16"/>
        </w:rPr>
        <w:t>CUADRO. A</w:t>
      </w:r>
      <w:r w:rsidR="00902D03" w:rsidRPr="00B1053E">
        <w:rPr>
          <w:rFonts w:ascii="Arial" w:eastAsia="Arial" w:hAnsi="Arial" w:cs="Arial"/>
          <w:bCs/>
          <w:smallCaps/>
          <w:sz w:val="16"/>
        </w:rPr>
        <w:t>uditorías programadas por ente público y tipo de auditoría</w:t>
      </w:r>
    </w:p>
    <w:p w:rsidR="00902D03" w:rsidRDefault="00902D03" w:rsidP="00902D03">
      <w:pPr>
        <w:spacing w:after="0"/>
        <w:ind w:firstLine="567"/>
        <w:jc w:val="center"/>
        <w:rPr>
          <w:rFonts w:ascii="Arial" w:eastAsia="Times New Roman" w:hAnsi="Arial" w:cs="Arial"/>
          <w:sz w:val="24"/>
          <w:lang w:eastAsia="es-ES"/>
        </w:rPr>
      </w:pPr>
    </w:p>
    <w:p w:rsidR="0077749F" w:rsidRPr="0077749F" w:rsidRDefault="0077749F" w:rsidP="0077749F">
      <w:pPr>
        <w:spacing w:after="0"/>
        <w:ind w:firstLine="567"/>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AD5197">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AD5197">
        <w:rPr>
          <w:rFonts w:ascii="Arial" w:eastAsia="Times New Roman" w:hAnsi="Arial" w:cs="Arial"/>
          <w:sz w:val="24"/>
          <w:lang w:eastAsia="es-ES"/>
        </w:rPr>
        <w:t>ejercicio 2015</w:t>
      </w:r>
      <w:r w:rsidRPr="0077749F">
        <w:rPr>
          <w:rFonts w:ascii="Arial" w:eastAsia="Times New Roman" w:hAnsi="Arial" w:cs="Arial"/>
          <w:sz w:val="24"/>
          <w:lang w:eastAsia="es-ES"/>
        </w:rPr>
        <w:t>, entre</w:t>
      </w:r>
      <w:r w:rsidR="00C74F05">
        <w:rPr>
          <w:rFonts w:ascii="Arial" w:eastAsia="Times New Roman" w:hAnsi="Arial" w:cs="Arial"/>
          <w:sz w:val="24"/>
          <w:lang w:eastAsia="es-ES"/>
        </w:rPr>
        <w:t xml:space="preserve"> las cuales se encuentra el Fideicomiso</w:t>
      </w:r>
      <w:r w:rsidRPr="0077749F">
        <w:rPr>
          <w:rFonts w:ascii="Arial" w:eastAsia="Times New Roman" w:hAnsi="Arial" w:cs="Arial"/>
          <w:sz w:val="24"/>
          <w:lang w:eastAsia="es-ES"/>
        </w:rPr>
        <w:t xml:space="preserve">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sidR="00322FAE">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sidR="00322FAE">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9C0345" w:rsidRPr="00B67BEE" w:rsidRDefault="009C0345" w:rsidP="009C0345">
      <w:pPr>
        <w:spacing w:after="0"/>
        <w:jc w:val="both"/>
        <w:rPr>
          <w:rFonts w:ascii="Arial" w:eastAsia="Times New Roman" w:hAnsi="Arial" w:cs="Arial"/>
          <w:sz w:val="24"/>
          <w:lang w:eastAsia="es-ES"/>
        </w:rPr>
      </w:pPr>
    </w:p>
    <w:p w:rsidR="009C0345" w:rsidRPr="00B67BEE" w:rsidRDefault="009C0345" w:rsidP="009C0345">
      <w:pPr>
        <w:numPr>
          <w:ilvl w:val="0"/>
          <w:numId w:val="6"/>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322FAE" w:rsidP="00F072A9">
      <w:pPr>
        <w:numPr>
          <w:ilvl w:val="1"/>
          <w:numId w:val="5"/>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009C0345"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w:t>
      </w:r>
      <w:r w:rsidR="009C0345" w:rsidRPr="00B67BEE">
        <w:rPr>
          <w:rFonts w:ascii="Arial" w:eastAsia="Times New Roman" w:hAnsi="Arial" w:cs="Arial"/>
          <w:sz w:val="24"/>
          <w:szCs w:val="24"/>
          <w:lang w:eastAsia="es-ES"/>
        </w:rPr>
        <w:lastRenderedPageBreak/>
        <w:t>uso, usufructo, destino, afectación, enajenación y baja de bienes muebles e inmuebles; almacenes y demás activos; recursos materiales, y demás normatividad aplicable al ejercicio del gasto público; y</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1"/>
          <w:numId w:val="5"/>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6"/>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lastRenderedPageBreak/>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77749F" w:rsidRDefault="009C0345" w:rsidP="0077749F">
      <w:pPr>
        <w:numPr>
          <w:ilvl w:val="0"/>
          <w:numId w:val="6"/>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Además, se realizaron pruebas de auditoría a fin de evaluar el cumplimiento de las leyes, los reglamentos y la normatividad aplicables en la ma</w:t>
      </w:r>
      <w:r w:rsidR="0077749F">
        <w:rPr>
          <w:rFonts w:ascii="Arial" w:eastAsia="Times New Roman" w:hAnsi="Arial" w:cs="Arial"/>
          <w:sz w:val="24"/>
          <w:szCs w:val="24"/>
          <w:lang w:eastAsia="es-ES"/>
        </w:rPr>
        <w:t>teria de la gestión financiera,</w:t>
      </w:r>
      <w:r w:rsidR="0077749F" w:rsidRPr="0077749F">
        <w:t xml:space="preserve"> </w:t>
      </w:r>
      <w:r w:rsidR="0077749F" w:rsidRPr="0077749F">
        <w:rPr>
          <w:rFonts w:ascii="Arial" w:eastAsia="Times New Roman" w:hAnsi="Arial" w:cs="Arial"/>
          <w:sz w:val="24"/>
          <w:szCs w:val="24"/>
          <w:lang w:eastAsia="es-ES"/>
        </w:rPr>
        <w:t>así como de los planes de desarrollo y lo</w:t>
      </w:r>
      <w:r w:rsidR="0077749F">
        <w:rPr>
          <w:rFonts w:ascii="Arial" w:eastAsia="Times New Roman" w:hAnsi="Arial" w:cs="Arial"/>
          <w:sz w:val="24"/>
          <w:szCs w:val="24"/>
          <w:lang w:eastAsia="es-ES"/>
        </w:rPr>
        <w:t>s programas operativos anuales.</w:t>
      </w:r>
      <w:r w:rsidR="0077749F" w:rsidRPr="0077749F">
        <w:rPr>
          <w:rFonts w:ascii="Arial" w:eastAsia="Times New Roman" w:hAnsi="Arial" w:cs="Arial"/>
          <w:sz w:val="24"/>
          <w:szCs w:val="24"/>
          <w:lang w:eastAsia="es-ES"/>
        </w:rPr>
        <w:t xml:space="preserve"> </w:t>
      </w:r>
    </w:p>
    <w:p w:rsidR="00C644EB" w:rsidRDefault="00C644EB" w:rsidP="00F072A9">
      <w:pPr>
        <w:spacing w:after="0" w:line="360" w:lineRule="auto"/>
        <w:jc w:val="both"/>
        <w:rPr>
          <w:rFonts w:ascii="Arial" w:eastAsia="Times New Roman" w:hAnsi="Arial" w:cs="Arial"/>
          <w:sz w:val="24"/>
          <w:szCs w:val="24"/>
          <w:lang w:eastAsia="es-ES"/>
        </w:rPr>
      </w:pPr>
    </w:p>
    <w:p w:rsidR="0077749F" w:rsidRPr="00276558" w:rsidRDefault="00276558" w:rsidP="00276558">
      <w:pPr>
        <w:pStyle w:val="Prrafodelista"/>
        <w:numPr>
          <w:ilvl w:val="0"/>
          <w:numId w:val="6"/>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276558" w:rsidRPr="00276558" w:rsidRDefault="00276558" w:rsidP="00276558">
      <w:pPr>
        <w:pStyle w:val="Prrafodelista"/>
        <w:autoSpaceDE w:val="0"/>
        <w:autoSpaceDN w:val="0"/>
        <w:adjustRightInd w:val="0"/>
        <w:spacing w:after="0" w:line="360" w:lineRule="auto"/>
        <w:jc w:val="both"/>
        <w:rPr>
          <w:rFonts w:ascii="Arial" w:hAnsi="Arial" w:cs="Arial"/>
          <w:b/>
          <w:sz w:val="24"/>
          <w:szCs w:val="24"/>
          <w:lang w:val="es-MX" w:eastAsia="es-ES"/>
        </w:rPr>
      </w:pPr>
    </w:p>
    <w:p w:rsidR="0077749F" w:rsidRDefault="0077749F" w:rsidP="0077749F">
      <w:pPr>
        <w:autoSpaceDE w:val="0"/>
        <w:autoSpaceDN w:val="0"/>
        <w:adjustRightInd w:val="0"/>
        <w:spacing w:after="0" w:line="360" w:lineRule="auto"/>
        <w:ind w:left="360"/>
        <w:rPr>
          <w:rFonts w:ascii="Arial" w:hAnsi="Arial" w:cs="Arial"/>
          <w:b/>
          <w:sz w:val="24"/>
          <w:szCs w:val="24"/>
          <w:lang w:val="es-MX" w:eastAsia="es-ES"/>
        </w:rPr>
      </w:pPr>
      <w:r w:rsidRPr="0077749F">
        <w:rPr>
          <w:rFonts w:ascii="Arial" w:hAnsi="Arial" w:cs="Arial"/>
          <w:b/>
          <w:sz w:val="24"/>
          <w:szCs w:val="24"/>
          <w:lang w:val="es-MX" w:eastAsia="es-ES"/>
        </w:rPr>
        <w:t>•</w:t>
      </w:r>
      <w:r w:rsidRPr="0077749F">
        <w:rPr>
          <w:rFonts w:ascii="Arial" w:hAnsi="Arial" w:cs="Arial"/>
          <w:b/>
          <w:sz w:val="24"/>
          <w:szCs w:val="24"/>
          <w:lang w:val="es-MX" w:eastAsia="es-ES"/>
        </w:rPr>
        <w:tab/>
      </w:r>
      <w:r w:rsidR="00276558">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77749F" w:rsidRDefault="0077749F" w:rsidP="0077749F">
      <w:pPr>
        <w:spacing w:after="0"/>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t>Las auditorías practicadas se seleccionaron con base en los criterios establecidos para la planeación específica utilizada en la integración del P</w:t>
      </w:r>
      <w:r w:rsidR="00CC678F">
        <w:rPr>
          <w:rFonts w:ascii="Arial" w:hAnsi="Arial" w:cs="Arial"/>
          <w:bCs/>
          <w:iCs/>
          <w:sz w:val="24"/>
        </w:rPr>
        <w:t>rograma Anual de Auditorías 2016</w:t>
      </w:r>
      <w:r w:rsidRPr="0077749F">
        <w:rPr>
          <w:rFonts w:ascii="Arial" w:hAnsi="Arial" w:cs="Arial"/>
          <w:bCs/>
          <w:iCs/>
          <w:sz w:val="24"/>
        </w:rPr>
        <w:t xml:space="preserve"> para la fiscalización de las Cuentas Públicas co</w:t>
      </w:r>
      <w:r w:rsidR="00276558">
        <w:rPr>
          <w:rFonts w:ascii="Arial" w:hAnsi="Arial" w:cs="Arial"/>
          <w:bCs/>
          <w:iCs/>
          <w:sz w:val="24"/>
        </w:rPr>
        <w:t>rrespondientes al ejercicio 2015</w:t>
      </w:r>
      <w:r w:rsidRPr="0077749F">
        <w:rPr>
          <w:rFonts w:ascii="Arial" w:hAnsi="Arial" w:cs="Arial"/>
          <w:bCs/>
          <w:iCs/>
          <w:sz w:val="24"/>
        </w:rPr>
        <w:t>, considerando la importancia, pertinencia y factibilidad de su realización.</w:t>
      </w:r>
    </w:p>
    <w:p w:rsidR="0077749F" w:rsidRPr="0077749F" w:rsidRDefault="0077749F" w:rsidP="0077749F">
      <w:pPr>
        <w:spacing w:after="0" w:line="360" w:lineRule="auto"/>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lastRenderedPageBreak/>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77749F" w:rsidRPr="0077749F" w:rsidRDefault="0077749F" w:rsidP="0077749F">
      <w:pPr>
        <w:spacing w:after="0" w:line="360" w:lineRule="auto"/>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77749F" w:rsidRPr="0077749F" w:rsidRDefault="0077749F" w:rsidP="0077749F">
      <w:pPr>
        <w:spacing w:after="0" w:line="360" w:lineRule="auto"/>
        <w:jc w:val="both"/>
        <w:rPr>
          <w:rFonts w:ascii="Arial" w:hAnsi="Arial" w:cs="Arial"/>
          <w:bCs/>
          <w:iCs/>
          <w:sz w:val="24"/>
        </w:rPr>
      </w:pPr>
    </w:p>
    <w:p w:rsidR="009C0345" w:rsidRPr="00B67BEE" w:rsidRDefault="0077749F" w:rsidP="0077749F">
      <w:pPr>
        <w:spacing w:after="0" w:line="360" w:lineRule="auto"/>
        <w:jc w:val="both"/>
        <w:rPr>
          <w:rFonts w:ascii="Arial" w:hAnsi="Arial" w:cs="Arial"/>
          <w:bCs/>
          <w:iCs/>
          <w:sz w:val="24"/>
        </w:rPr>
      </w:pPr>
      <w:r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9C0345" w:rsidRPr="00B67BEE" w:rsidRDefault="009C0345" w:rsidP="00F072A9">
      <w:pPr>
        <w:spacing w:after="0" w:line="360" w:lineRule="auto"/>
        <w:jc w:val="both"/>
        <w:rPr>
          <w:rFonts w:ascii="Arial" w:hAnsi="Arial" w:cs="Arial"/>
          <w:bCs/>
          <w:iCs/>
          <w:sz w:val="24"/>
        </w:rPr>
      </w:pPr>
    </w:p>
    <w:p w:rsidR="009C0345" w:rsidRPr="009A7A82" w:rsidRDefault="009C0345" w:rsidP="009A7A82">
      <w:pPr>
        <w:pStyle w:val="Prrafodelista"/>
        <w:numPr>
          <w:ilvl w:val="0"/>
          <w:numId w:val="3"/>
        </w:numPr>
        <w:ind w:left="426" w:hanging="426"/>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9A7A82" w:rsidRPr="009A7A82" w:rsidRDefault="009A7A82" w:rsidP="009A7A82">
      <w:pPr>
        <w:pStyle w:val="Prrafodelista"/>
        <w:ind w:left="426"/>
        <w:contextualSpacing/>
        <w:jc w:val="both"/>
        <w:rPr>
          <w:rFonts w:ascii="Arial" w:hAnsi="Arial" w:cs="Arial"/>
          <w:b/>
          <w:sz w:val="24"/>
        </w:rPr>
      </w:pPr>
    </w:p>
    <w:p w:rsidR="009C0345" w:rsidRDefault="009C0345" w:rsidP="009A7A82">
      <w:pPr>
        <w:pStyle w:val="Prrafodelista"/>
        <w:numPr>
          <w:ilvl w:val="0"/>
          <w:numId w:val="4"/>
        </w:numPr>
        <w:contextualSpacing/>
        <w:rPr>
          <w:rFonts w:ascii="Arial" w:hAnsi="Arial" w:cs="Arial"/>
          <w:b/>
          <w:bCs/>
          <w:sz w:val="24"/>
        </w:rPr>
      </w:pPr>
      <w:r w:rsidRPr="000A4374">
        <w:rPr>
          <w:rFonts w:ascii="Arial" w:hAnsi="Arial" w:cs="Arial"/>
          <w:b/>
          <w:bCs/>
          <w:sz w:val="24"/>
        </w:rPr>
        <w:t>La evaluación  de la gestión financiera y del gasto público</w:t>
      </w:r>
    </w:p>
    <w:p w:rsidR="009A7A82" w:rsidRPr="009A7A82" w:rsidRDefault="009A7A82" w:rsidP="009A7A82">
      <w:pPr>
        <w:pStyle w:val="Prrafodelista"/>
        <w:contextualSpacing/>
        <w:rPr>
          <w:rFonts w:ascii="Arial" w:hAnsi="Arial" w:cs="Arial"/>
          <w:b/>
          <w:bCs/>
          <w:sz w:val="24"/>
        </w:rPr>
      </w:pPr>
    </w:p>
    <w:p w:rsidR="009C0345" w:rsidRPr="00B67BEE" w:rsidRDefault="009C0345" w:rsidP="009A7A82">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 xml:space="preserve">Para tal efecto se consideró el Estado de Ingresos y Egresos y sus presupuestos por el período del 1 de </w:t>
      </w:r>
      <w:r w:rsidR="000A4374">
        <w:rPr>
          <w:rFonts w:ascii="Arial" w:hAnsi="Arial" w:cs="Arial"/>
          <w:sz w:val="24"/>
          <w:szCs w:val="24"/>
        </w:rPr>
        <w:t>enero al 31 de diciembre de</w:t>
      </w:r>
      <w:r w:rsidR="00B37A21">
        <w:rPr>
          <w:rFonts w:ascii="Arial" w:hAnsi="Arial" w:cs="Arial"/>
          <w:sz w:val="24"/>
          <w:szCs w:val="24"/>
        </w:rPr>
        <w:t>l 2015</w:t>
      </w:r>
      <w:r w:rsidR="00276558">
        <w:rPr>
          <w:rFonts w:ascii="Arial" w:hAnsi="Arial" w:cs="Arial"/>
          <w:sz w:val="24"/>
          <w:szCs w:val="24"/>
        </w:rPr>
        <w:t xml:space="preserve">, que el Fideicomiso </w:t>
      </w:r>
      <w:r w:rsidR="00923937">
        <w:rPr>
          <w:rFonts w:ascii="Arial" w:hAnsi="Arial" w:cs="Arial"/>
          <w:sz w:val="24"/>
          <w:szCs w:val="24"/>
        </w:rPr>
        <w:t>Empresarios Unidos por la Educación</w:t>
      </w:r>
      <w:r w:rsidRPr="00B67BEE">
        <w:rPr>
          <w:rFonts w:ascii="Arial" w:hAnsi="Arial" w:cs="Arial"/>
          <w:sz w:val="24"/>
          <w:szCs w:val="24"/>
        </w:rPr>
        <w:t xml:space="preserve"> presentó como parte de la información que integra la Cuenta Pública.</w:t>
      </w:r>
    </w:p>
    <w:p w:rsidR="009C0345" w:rsidRPr="00B67BEE" w:rsidRDefault="009C0345" w:rsidP="009A7A82">
      <w:pPr>
        <w:pStyle w:val="Prrafodelista"/>
        <w:spacing w:after="0" w:line="360" w:lineRule="auto"/>
        <w:jc w:val="both"/>
        <w:rPr>
          <w:rFonts w:ascii="Arial" w:hAnsi="Arial" w:cs="Arial"/>
          <w:b/>
          <w:sz w:val="24"/>
          <w:szCs w:val="24"/>
          <w:u w:val="single"/>
        </w:rPr>
      </w:pPr>
    </w:p>
    <w:p w:rsidR="009C0345" w:rsidRDefault="009C0345" w:rsidP="0077749F">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A continuación se presenta</w:t>
      </w:r>
      <w:r w:rsidR="0025101A">
        <w:rPr>
          <w:rFonts w:ascii="Arial" w:hAnsi="Arial" w:cs="Arial"/>
          <w:sz w:val="24"/>
          <w:szCs w:val="24"/>
        </w:rPr>
        <w:t>n</w:t>
      </w:r>
      <w:r w:rsidRPr="00B67BEE">
        <w:rPr>
          <w:rFonts w:ascii="Arial" w:hAnsi="Arial" w:cs="Arial"/>
          <w:sz w:val="24"/>
          <w:szCs w:val="24"/>
        </w:rPr>
        <w:t xml:space="preserve"> </w:t>
      </w:r>
      <w:r w:rsidR="0025101A">
        <w:rPr>
          <w:rFonts w:ascii="Arial" w:hAnsi="Arial" w:cs="Arial"/>
          <w:sz w:val="24"/>
          <w:szCs w:val="24"/>
        </w:rPr>
        <w:t>los datos más sobresalientes de los Estados Financieros</w:t>
      </w:r>
      <w:r w:rsidR="00B37A21">
        <w:rPr>
          <w:rFonts w:ascii="Arial" w:hAnsi="Arial" w:cs="Arial"/>
          <w:sz w:val="24"/>
          <w:szCs w:val="24"/>
        </w:rPr>
        <w:t xml:space="preserve"> al 31 de Diciembre del 2015</w:t>
      </w:r>
      <w:r w:rsidR="0025101A">
        <w:rPr>
          <w:rFonts w:ascii="Arial" w:hAnsi="Arial" w:cs="Arial"/>
          <w:sz w:val="24"/>
          <w:szCs w:val="24"/>
        </w:rPr>
        <w:t xml:space="preserve"> de</w:t>
      </w:r>
      <w:r w:rsidR="0077749F">
        <w:rPr>
          <w:rFonts w:ascii="Arial" w:hAnsi="Arial" w:cs="Arial"/>
          <w:sz w:val="24"/>
          <w:szCs w:val="24"/>
        </w:rPr>
        <w:t xml:space="preserve"> </w:t>
      </w:r>
      <w:r w:rsidR="00276558">
        <w:rPr>
          <w:rFonts w:ascii="Arial" w:hAnsi="Arial" w:cs="Arial"/>
          <w:sz w:val="24"/>
          <w:szCs w:val="24"/>
        </w:rPr>
        <w:t>este Fideicomiso:</w:t>
      </w:r>
    </w:p>
    <w:p w:rsidR="00276558" w:rsidRDefault="00276558" w:rsidP="0077749F">
      <w:pPr>
        <w:pStyle w:val="Prrafodelista"/>
        <w:spacing w:after="0" w:line="360" w:lineRule="auto"/>
        <w:ind w:left="0" w:firstLine="709"/>
        <w:jc w:val="both"/>
        <w:rPr>
          <w:rFonts w:ascii="Arial" w:hAnsi="Arial" w:cs="Arial"/>
          <w:sz w:val="24"/>
          <w:szCs w:val="24"/>
        </w:rPr>
      </w:pPr>
    </w:p>
    <w:p w:rsidR="00B37A21" w:rsidRDefault="00B37A21" w:rsidP="0077749F">
      <w:pPr>
        <w:pStyle w:val="Prrafodelista"/>
        <w:spacing w:after="0" w:line="360" w:lineRule="auto"/>
        <w:ind w:left="0" w:firstLine="709"/>
        <w:jc w:val="both"/>
        <w:rPr>
          <w:rFonts w:ascii="Arial" w:hAnsi="Arial" w:cs="Arial"/>
          <w:sz w:val="24"/>
          <w:szCs w:val="24"/>
        </w:rPr>
      </w:pPr>
    </w:p>
    <w:p w:rsidR="00B37A21" w:rsidRDefault="00B37A21" w:rsidP="0077749F">
      <w:pPr>
        <w:pStyle w:val="Prrafodelista"/>
        <w:spacing w:after="0" w:line="360" w:lineRule="auto"/>
        <w:ind w:left="0" w:firstLine="709"/>
        <w:jc w:val="both"/>
        <w:rPr>
          <w:rFonts w:ascii="Arial" w:hAnsi="Arial" w:cs="Arial"/>
          <w:sz w:val="24"/>
          <w:szCs w:val="24"/>
        </w:rPr>
      </w:pPr>
    </w:p>
    <w:p w:rsidR="00B37A21" w:rsidRDefault="00B37A21" w:rsidP="0077749F">
      <w:pPr>
        <w:pStyle w:val="Prrafodelista"/>
        <w:spacing w:after="0" w:line="360" w:lineRule="auto"/>
        <w:ind w:left="0" w:firstLine="709"/>
        <w:jc w:val="both"/>
        <w:rPr>
          <w:rFonts w:ascii="Arial" w:hAnsi="Arial" w:cs="Arial"/>
          <w:sz w:val="24"/>
          <w:szCs w:val="24"/>
        </w:rPr>
      </w:pPr>
    </w:p>
    <w:p w:rsidR="00B37A21" w:rsidRDefault="00B37A21" w:rsidP="0077749F">
      <w:pPr>
        <w:pStyle w:val="Prrafodelista"/>
        <w:spacing w:after="0" w:line="360" w:lineRule="auto"/>
        <w:ind w:left="0" w:firstLine="709"/>
        <w:jc w:val="both"/>
        <w:rPr>
          <w:rFonts w:ascii="Arial" w:hAnsi="Arial" w:cs="Arial"/>
          <w:sz w:val="24"/>
          <w:szCs w:val="24"/>
        </w:rPr>
      </w:pPr>
    </w:p>
    <w:p w:rsidR="00B37A21" w:rsidRDefault="00B37A21" w:rsidP="0077749F">
      <w:pPr>
        <w:pStyle w:val="Prrafodelista"/>
        <w:spacing w:after="0" w:line="360" w:lineRule="auto"/>
        <w:ind w:left="0" w:firstLine="709"/>
        <w:jc w:val="both"/>
        <w:rPr>
          <w:rFonts w:ascii="Arial" w:hAnsi="Arial" w:cs="Arial"/>
          <w:sz w:val="24"/>
          <w:szCs w:val="24"/>
        </w:rPr>
      </w:pPr>
    </w:p>
    <w:p w:rsidR="00B37A21" w:rsidRDefault="00B37A21" w:rsidP="0077749F">
      <w:pPr>
        <w:pStyle w:val="Prrafodelista"/>
        <w:spacing w:after="0" w:line="360" w:lineRule="auto"/>
        <w:ind w:left="0" w:firstLine="709"/>
        <w:jc w:val="both"/>
        <w:rPr>
          <w:rFonts w:ascii="Arial" w:hAnsi="Arial" w:cs="Arial"/>
          <w:sz w:val="24"/>
          <w:szCs w:val="24"/>
        </w:rPr>
      </w:pPr>
    </w:p>
    <w:p w:rsidR="00276558" w:rsidRDefault="00276558" w:rsidP="0077749F">
      <w:pPr>
        <w:pStyle w:val="Prrafodelista"/>
        <w:spacing w:after="0" w:line="360" w:lineRule="auto"/>
        <w:ind w:left="0" w:firstLine="709"/>
        <w:jc w:val="both"/>
        <w:rPr>
          <w:rFonts w:ascii="Arial" w:hAnsi="Arial" w:cs="Arial"/>
          <w:b/>
          <w:sz w:val="24"/>
          <w:szCs w:val="24"/>
        </w:rPr>
      </w:pPr>
    </w:p>
    <w:p w:rsidR="005F4540" w:rsidRDefault="005F4540" w:rsidP="0077749F">
      <w:pPr>
        <w:pStyle w:val="Prrafodelista"/>
        <w:spacing w:after="0" w:line="360" w:lineRule="auto"/>
        <w:ind w:left="0" w:firstLine="709"/>
        <w:jc w:val="both"/>
        <w:rPr>
          <w:rFonts w:ascii="Arial" w:hAnsi="Arial" w:cs="Arial"/>
          <w:b/>
          <w:sz w:val="24"/>
          <w:szCs w:val="24"/>
        </w:rPr>
      </w:pPr>
    </w:p>
    <w:p w:rsidR="0077749F" w:rsidRDefault="0077749F" w:rsidP="0077749F">
      <w:pPr>
        <w:pStyle w:val="Prrafodelista"/>
        <w:spacing w:after="0" w:line="360" w:lineRule="auto"/>
        <w:ind w:left="0" w:firstLine="709"/>
        <w:jc w:val="both"/>
        <w:rPr>
          <w:rFonts w:ascii="Arial" w:hAnsi="Arial" w:cs="Arial"/>
          <w:sz w:val="24"/>
          <w:szCs w:val="24"/>
        </w:rPr>
      </w:pPr>
    </w:p>
    <w:p w:rsidR="009C0345" w:rsidRDefault="009C0345" w:rsidP="009C0345">
      <w:pPr>
        <w:spacing w:after="0"/>
        <w:contextualSpacing/>
        <w:jc w:val="both"/>
        <w:rPr>
          <w:rFonts w:ascii="Arial" w:hAnsi="Arial" w:cs="Arial"/>
          <w:b/>
          <w:sz w:val="24"/>
        </w:rPr>
      </w:pPr>
    </w:p>
    <w:p w:rsidR="00C74F05" w:rsidRDefault="00C74F05" w:rsidP="009C0345">
      <w:pPr>
        <w:spacing w:after="0"/>
        <w:contextualSpacing/>
        <w:jc w:val="both"/>
        <w:rPr>
          <w:rFonts w:ascii="Arial" w:hAnsi="Arial" w:cs="Arial"/>
          <w:b/>
          <w:sz w:val="24"/>
        </w:rPr>
      </w:pPr>
    </w:p>
    <w:p w:rsidR="00C74F05" w:rsidRDefault="00C74F05" w:rsidP="009C0345">
      <w:pPr>
        <w:spacing w:after="0"/>
        <w:contextualSpacing/>
        <w:jc w:val="both"/>
        <w:rPr>
          <w:rFonts w:ascii="Arial" w:hAnsi="Arial" w:cs="Arial"/>
          <w:b/>
          <w:sz w:val="24"/>
        </w:rPr>
      </w:pPr>
    </w:p>
    <w:p w:rsidR="00C74F05" w:rsidRDefault="00C74F05" w:rsidP="009C0345">
      <w:pPr>
        <w:spacing w:after="0"/>
        <w:contextualSpacing/>
        <w:jc w:val="both"/>
        <w:rPr>
          <w:rFonts w:ascii="Arial" w:hAnsi="Arial" w:cs="Arial"/>
          <w:b/>
          <w:sz w:val="24"/>
        </w:rPr>
      </w:pPr>
    </w:p>
    <w:p w:rsidR="00C74F05" w:rsidRDefault="00C74F05" w:rsidP="009C0345">
      <w:pPr>
        <w:spacing w:after="0"/>
        <w:contextualSpacing/>
        <w:jc w:val="both"/>
        <w:rPr>
          <w:rFonts w:ascii="Arial" w:hAnsi="Arial" w:cs="Arial"/>
          <w:b/>
          <w:sz w:val="24"/>
        </w:rPr>
      </w:pPr>
    </w:p>
    <w:p w:rsidR="00C74F05" w:rsidRDefault="00CC678F" w:rsidP="009C0345">
      <w:pPr>
        <w:spacing w:after="0"/>
        <w:contextualSpacing/>
        <w:jc w:val="both"/>
        <w:rPr>
          <w:rFonts w:ascii="Arial" w:hAnsi="Arial" w:cs="Arial"/>
          <w:b/>
          <w:sz w:val="24"/>
        </w:rPr>
      </w:pPr>
      <w:r>
        <w:rPr>
          <w:rFonts w:ascii="Arial" w:hAnsi="Arial" w:cs="Arial"/>
          <w:b/>
          <w:noProof/>
          <w:sz w:val="24"/>
          <w:lang w:val="es-MX" w:eastAsia="es-MX"/>
        </w:rPr>
        <w:lastRenderedPageBreak/>
        <w:drawing>
          <wp:inline distT="0" distB="0" distL="0" distR="0">
            <wp:extent cx="5253355" cy="5773998"/>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3355" cy="5773998"/>
                    </a:xfrm>
                    <a:prstGeom prst="rect">
                      <a:avLst/>
                    </a:prstGeom>
                    <a:noFill/>
                    <a:ln>
                      <a:noFill/>
                    </a:ln>
                  </pic:spPr>
                </pic:pic>
              </a:graphicData>
            </a:graphic>
          </wp:inline>
        </w:drawing>
      </w:r>
    </w:p>
    <w:p w:rsidR="00B37A21" w:rsidRDefault="00B37A21" w:rsidP="009C0345">
      <w:pPr>
        <w:spacing w:after="0"/>
        <w:contextualSpacing/>
        <w:jc w:val="both"/>
        <w:rPr>
          <w:rFonts w:ascii="Arial" w:hAnsi="Arial" w:cs="Arial"/>
          <w:b/>
          <w:sz w:val="24"/>
        </w:rPr>
      </w:pPr>
    </w:p>
    <w:p w:rsidR="00B37A21" w:rsidRDefault="00B37A21" w:rsidP="009C0345">
      <w:pPr>
        <w:spacing w:after="0"/>
        <w:contextualSpacing/>
        <w:jc w:val="both"/>
        <w:rPr>
          <w:rFonts w:ascii="Arial" w:hAnsi="Arial" w:cs="Arial"/>
          <w:b/>
          <w:sz w:val="24"/>
        </w:rPr>
      </w:pPr>
      <w:r>
        <w:rPr>
          <w:rFonts w:ascii="Arial" w:hAnsi="Arial" w:cs="Arial"/>
          <w:b/>
          <w:noProof/>
          <w:sz w:val="24"/>
          <w:lang w:val="es-MX" w:eastAsia="es-MX"/>
        </w:rPr>
        <w:lastRenderedPageBreak/>
        <w:drawing>
          <wp:inline distT="0" distB="0" distL="0" distR="0">
            <wp:extent cx="5253355" cy="5630965"/>
            <wp:effectExtent l="0" t="0" r="444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3355" cy="5630965"/>
                    </a:xfrm>
                    <a:prstGeom prst="rect">
                      <a:avLst/>
                    </a:prstGeom>
                    <a:noFill/>
                    <a:ln>
                      <a:noFill/>
                    </a:ln>
                  </pic:spPr>
                </pic:pic>
              </a:graphicData>
            </a:graphic>
          </wp:inline>
        </w:drawing>
      </w:r>
    </w:p>
    <w:p w:rsidR="00B37A21" w:rsidRPr="00DA4593" w:rsidRDefault="00B37A21" w:rsidP="00B37A21">
      <w:pPr>
        <w:pStyle w:val="Textoindependiente"/>
        <w:rPr>
          <w:rFonts w:ascii="Arial" w:hAnsi="Arial" w:cs="Arial"/>
          <w:sz w:val="24"/>
          <w:szCs w:val="24"/>
        </w:rPr>
      </w:pPr>
      <w:r w:rsidRPr="00DA4593">
        <w:rPr>
          <w:rFonts w:ascii="Arial" w:hAnsi="Arial" w:cs="Arial"/>
          <w:sz w:val="24"/>
          <w:szCs w:val="24"/>
          <w:lang w:val="es-MX" w:eastAsia="es-MX"/>
        </w:rPr>
        <w:t>[sic]</w:t>
      </w:r>
      <w:r w:rsidRPr="00DA4593">
        <w:rPr>
          <w:rFonts w:ascii="Arial" w:hAnsi="Arial" w:cs="Arial"/>
          <w:sz w:val="24"/>
          <w:szCs w:val="24"/>
          <w:vertAlign w:val="superscript"/>
        </w:rPr>
        <w:t xml:space="preserve">1  </w:t>
      </w:r>
      <w:r w:rsidRPr="00DA4593">
        <w:rPr>
          <w:rFonts w:ascii="Arial" w:hAnsi="Arial" w:cs="Arial"/>
          <w:sz w:val="24"/>
          <w:szCs w:val="24"/>
        </w:rPr>
        <w:t>En la columna 2014 debe ser $(</w:t>
      </w:r>
      <w:r>
        <w:rPr>
          <w:rFonts w:ascii="Arial" w:hAnsi="Arial" w:cs="Arial"/>
          <w:sz w:val="24"/>
          <w:szCs w:val="24"/>
        </w:rPr>
        <w:t>194,139</w:t>
      </w:r>
      <w:r w:rsidRPr="00DA4593">
        <w:rPr>
          <w:rFonts w:ascii="Arial" w:hAnsi="Arial" w:cs="Arial"/>
          <w:sz w:val="24"/>
          <w:szCs w:val="24"/>
        </w:rPr>
        <w:t>) y en la columna  2015 $(224,290)</w:t>
      </w:r>
    </w:p>
    <w:p w:rsidR="00B37A21" w:rsidRPr="00DA4593" w:rsidRDefault="00B37A21" w:rsidP="00B37A21">
      <w:pPr>
        <w:pStyle w:val="Textoindependiente"/>
        <w:rPr>
          <w:rFonts w:ascii="Arial" w:hAnsi="Arial" w:cs="Arial"/>
          <w:sz w:val="24"/>
          <w:szCs w:val="24"/>
        </w:rPr>
      </w:pPr>
      <w:r w:rsidRPr="00DA4593">
        <w:rPr>
          <w:rFonts w:ascii="Arial" w:hAnsi="Arial" w:cs="Arial"/>
          <w:sz w:val="24"/>
          <w:szCs w:val="24"/>
          <w:lang w:val="es-MX" w:eastAsia="es-MX"/>
        </w:rPr>
        <w:t>[sic]</w:t>
      </w:r>
      <w:r w:rsidRPr="00DA4593">
        <w:rPr>
          <w:rFonts w:ascii="Arial" w:hAnsi="Arial" w:cs="Arial"/>
          <w:sz w:val="24"/>
          <w:szCs w:val="24"/>
          <w:vertAlign w:val="superscript"/>
        </w:rPr>
        <w:t xml:space="preserve">2  </w:t>
      </w:r>
      <w:r w:rsidRPr="00DA4593">
        <w:rPr>
          <w:rFonts w:ascii="Arial" w:hAnsi="Arial" w:cs="Arial"/>
          <w:sz w:val="24"/>
          <w:szCs w:val="24"/>
        </w:rPr>
        <w:t>En la columna 2015 debe se ser $ (91,873)</w:t>
      </w:r>
    </w:p>
    <w:p w:rsidR="00B37A21" w:rsidRPr="00DA4593" w:rsidRDefault="00B37A21" w:rsidP="00B37A21">
      <w:pPr>
        <w:pStyle w:val="Textoindependiente"/>
        <w:rPr>
          <w:rFonts w:ascii="Arial" w:hAnsi="Arial" w:cs="Arial"/>
          <w:sz w:val="24"/>
          <w:szCs w:val="24"/>
        </w:rPr>
      </w:pPr>
      <w:r w:rsidRPr="00DA4593">
        <w:rPr>
          <w:rFonts w:ascii="Arial" w:hAnsi="Arial" w:cs="Arial"/>
          <w:sz w:val="24"/>
          <w:szCs w:val="24"/>
        </w:rPr>
        <w:t>[sic]</w:t>
      </w:r>
      <w:r w:rsidRPr="00ED5F89">
        <w:rPr>
          <w:rFonts w:ascii="Arial" w:hAnsi="Arial" w:cs="Arial"/>
          <w:sz w:val="24"/>
          <w:szCs w:val="24"/>
          <w:vertAlign w:val="superscript"/>
        </w:rPr>
        <w:t>3</w:t>
      </w:r>
      <w:r w:rsidRPr="00DA4593">
        <w:rPr>
          <w:rFonts w:ascii="Arial" w:hAnsi="Arial" w:cs="Arial"/>
          <w:sz w:val="24"/>
          <w:szCs w:val="24"/>
        </w:rPr>
        <w:t xml:space="preserve"> En la columna 2015 debe ser $1,462,473</w:t>
      </w:r>
    </w:p>
    <w:p w:rsidR="00B37A21" w:rsidRPr="00DA4593" w:rsidRDefault="00B37A21" w:rsidP="00B37A21">
      <w:pPr>
        <w:pStyle w:val="Textoindependiente"/>
        <w:rPr>
          <w:rFonts w:ascii="Arial" w:hAnsi="Arial" w:cs="Arial"/>
          <w:sz w:val="24"/>
          <w:szCs w:val="24"/>
        </w:rPr>
      </w:pPr>
      <w:r w:rsidRPr="00DA4593">
        <w:rPr>
          <w:rFonts w:ascii="Arial" w:hAnsi="Arial" w:cs="Arial"/>
          <w:sz w:val="24"/>
          <w:szCs w:val="24"/>
        </w:rPr>
        <w:t>[sic]</w:t>
      </w:r>
      <w:r w:rsidRPr="00ED5F89">
        <w:rPr>
          <w:rFonts w:ascii="Arial" w:hAnsi="Arial" w:cs="Arial"/>
          <w:sz w:val="24"/>
          <w:szCs w:val="24"/>
          <w:vertAlign w:val="superscript"/>
        </w:rPr>
        <w:t>4</w:t>
      </w:r>
      <w:r>
        <w:rPr>
          <w:rFonts w:ascii="Arial" w:hAnsi="Arial" w:cs="Arial"/>
          <w:sz w:val="24"/>
          <w:szCs w:val="24"/>
        </w:rPr>
        <w:t xml:space="preserve"> </w:t>
      </w:r>
      <w:r w:rsidRPr="00DA4593">
        <w:rPr>
          <w:rFonts w:ascii="Arial" w:hAnsi="Arial" w:cs="Arial"/>
          <w:sz w:val="24"/>
          <w:szCs w:val="24"/>
        </w:rPr>
        <w:t>En la columna 2014 debe ser  $138,757</w:t>
      </w:r>
    </w:p>
    <w:p w:rsidR="00B37A21" w:rsidRPr="00DA4593" w:rsidRDefault="00B37A21" w:rsidP="00B37A21">
      <w:pPr>
        <w:pStyle w:val="Textoindependiente"/>
        <w:rPr>
          <w:rFonts w:ascii="Arial" w:hAnsi="Arial" w:cs="Arial"/>
          <w:sz w:val="24"/>
          <w:szCs w:val="24"/>
        </w:rPr>
      </w:pPr>
      <w:r w:rsidRPr="00DA4593">
        <w:rPr>
          <w:rFonts w:ascii="Arial" w:hAnsi="Arial" w:cs="Arial"/>
          <w:sz w:val="24"/>
          <w:szCs w:val="24"/>
        </w:rPr>
        <w:t>[sic]</w:t>
      </w:r>
      <w:r w:rsidRPr="00ED5F89">
        <w:rPr>
          <w:rFonts w:ascii="Arial" w:hAnsi="Arial" w:cs="Arial"/>
          <w:sz w:val="24"/>
          <w:szCs w:val="24"/>
          <w:vertAlign w:val="superscript"/>
        </w:rPr>
        <w:t>5</w:t>
      </w:r>
      <w:r w:rsidRPr="00DA4593">
        <w:rPr>
          <w:rFonts w:ascii="Arial" w:hAnsi="Arial" w:cs="Arial"/>
          <w:sz w:val="24"/>
          <w:szCs w:val="24"/>
        </w:rPr>
        <w:t xml:space="preserve"> En la columna 2015 debe ser  $123,510</w:t>
      </w:r>
    </w:p>
    <w:p w:rsidR="00B37A21" w:rsidRPr="00DA4593" w:rsidRDefault="00B37A21" w:rsidP="00B37A21">
      <w:pPr>
        <w:pStyle w:val="Textoindependiente"/>
        <w:rPr>
          <w:rFonts w:ascii="Arial" w:hAnsi="Arial" w:cs="Arial"/>
          <w:sz w:val="24"/>
          <w:szCs w:val="24"/>
        </w:rPr>
      </w:pPr>
      <w:r w:rsidRPr="00DA4593">
        <w:rPr>
          <w:rFonts w:ascii="Arial" w:hAnsi="Arial" w:cs="Arial"/>
          <w:sz w:val="24"/>
          <w:szCs w:val="24"/>
        </w:rPr>
        <w:lastRenderedPageBreak/>
        <w:t>[sic]</w:t>
      </w:r>
      <w:r w:rsidRPr="00ED5F89">
        <w:rPr>
          <w:rFonts w:ascii="Arial" w:hAnsi="Arial" w:cs="Arial"/>
          <w:sz w:val="24"/>
          <w:szCs w:val="24"/>
          <w:vertAlign w:val="superscript"/>
        </w:rPr>
        <w:t>6</w:t>
      </w:r>
      <w:r w:rsidRPr="00DA4593">
        <w:rPr>
          <w:rFonts w:ascii="Arial" w:hAnsi="Arial" w:cs="Arial"/>
          <w:sz w:val="24"/>
          <w:szCs w:val="24"/>
        </w:rPr>
        <w:t xml:space="preserve"> En la columna 2015 debe de ser $14,460,782</w:t>
      </w:r>
    </w:p>
    <w:p w:rsidR="00B37A21" w:rsidRPr="00DA4593" w:rsidRDefault="00B37A21" w:rsidP="00B37A21">
      <w:pPr>
        <w:pStyle w:val="Textoindependiente"/>
        <w:rPr>
          <w:rFonts w:ascii="Arial" w:hAnsi="Arial" w:cs="Arial"/>
          <w:sz w:val="24"/>
          <w:szCs w:val="24"/>
        </w:rPr>
      </w:pPr>
      <w:r w:rsidRPr="00DA4593">
        <w:rPr>
          <w:rFonts w:ascii="Arial" w:hAnsi="Arial" w:cs="Arial"/>
          <w:sz w:val="24"/>
          <w:szCs w:val="24"/>
        </w:rPr>
        <w:t>[sic]</w:t>
      </w:r>
      <w:r w:rsidRPr="00ED5F89">
        <w:rPr>
          <w:rFonts w:ascii="Arial" w:hAnsi="Arial" w:cs="Arial"/>
          <w:sz w:val="24"/>
          <w:szCs w:val="24"/>
          <w:vertAlign w:val="superscript"/>
        </w:rPr>
        <w:t>7</w:t>
      </w:r>
      <w:r w:rsidRPr="00DA4593">
        <w:rPr>
          <w:rFonts w:ascii="Arial" w:hAnsi="Arial" w:cs="Arial"/>
          <w:sz w:val="24"/>
          <w:szCs w:val="24"/>
        </w:rPr>
        <w:t xml:space="preserve"> En la columna 2015 debe de ser  $(91,873)</w:t>
      </w:r>
    </w:p>
    <w:p w:rsidR="00B37A21" w:rsidRDefault="00B37A21" w:rsidP="00B37A21">
      <w:pPr>
        <w:pStyle w:val="Textoindependiente"/>
        <w:rPr>
          <w:rFonts w:ascii="Arial" w:hAnsi="Arial" w:cs="Arial"/>
          <w:sz w:val="16"/>
          <w:szCs w:val="16"/>
        </w:rPr>
      </w:pPr>
    </w:p>
    <w:p w:rsidR="00B37A21" w:rsidRDefault="00B37A21" w:rsidP="009C0345">
      <w:pPr>
        <w:spacing w:after="0"/>
        <w:contextualSpacing/>
        <w:jc w:val="both"/>
        <w:rPr>
          <w:rFonts w:ascii="Arial" w:hAnsi="Arial" w:cs="Arial"/>
          <w:b/>
          <w:sz w:val="24"/>
        </w:rPr>
      </w:pPr>
    </w:p>
    <w:p w:rsidR="00B8608A" w:rsidRDefault="00B8608A" w:rsidP="009C0345">
      <w:pPr>
        <w:spacing w:after="0"/>
        <w:contextualSpacing/>
        <w:jc w:val="both"/>
        <w:rPr>
          <w:rFonts w:ascii="Arial" w:hAnsi="Arial" w:cs="Arial"/>
          <w:b/>
          <w:sz w:val="24"/>
        </w:rPr>
      </w:pPr>
      <w:r>
        <w:rPr>
          <w:rFonts w:ascii="Arial" w:hAnsi="Arial" w:cs="Arial"/>
          <w:b/>
          <w:noProof/>
          <w:sz w:val="24"/>
          <w:lang w:val="es-MX" w:eastAsia="es-MX"/>
        </w:rPr>
        <w:drawing>
          <wp:inline distT="0" distB="0" distL="0" distR="0">
            <wp:extent cx="4635500" cy="1541780"/>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500" cy="1541780"/>
                    </a:xfrm>
                    <a:prstGeom prst="rect">
                      <a:avLst/>
                    </a:prstGeom>
                    <a:noFill/>
                    <a:ln>
                      <a:noFill/>
                    </a:ln>
                  </pic:spPr>
                </pic:pic>
              </a:graphicData>
            </a:graphic>
          </wp:inline>
        </w:drawing>
      </w:r>
    </w:p>
    <w:p w:rsidR="00B37A21" w:rsidRDefault="00B37A21" w:rsidP="009C0345">
      <w:pPr>
        <w:spacing w:after="0"/>
        <w:contextualSpacing/>
        <w:jc w:val="both"/>
        <w:rPr>
          <w:rFonts w:ascii="Arial" w:hAnsi="Arial" w:cs="Arial"/>
          <w:b/>
          <w:sz w:val="24"/>
        </w:rPr>
      </w:pPr>
    </w:p>
    <w:p w:rsidR="005F4540" w:rsidRDefault="005F4540" w:rsidP="009C0345">
      <w:pPr>
        <w:spacing w:after="0"/>
        <w:contextualSpacing/>
        <w:jc w:val="both"/>
        <w:rPr>
          <w:rFonts w:ascii="Arial" w:hAnsi="Arial" w:cs="Arial"/>
          <w:b/>
          <w:sz w:val="24"/>
        </w:rPr>
      </w:pPr>
    </w:p>
    <w:p w:rsidR="00381115" w:rsidRPr="0072204F" w:rsidRDefault="005F4540" w:rsidP="00381115">
      <w:pPr>
        <w:pStyle w:val="Prrafodelista"/>
        <w:numPr>
          <w:ilvl w:val="0"/>
          <w:numId w:val="4"/>
        </w:numPr>
        <w:spacing w:after="0"/>
        <w:contextualSpacing/>
        <w:jc w:val="both"/>
        <w:rPr>
          <w:rFonts w:ascii="Arial" w:hAnsi="Arial" w:cs="Arial"/>
          <w:b/>
          <w:sz w:val="24"/>
        </w:rPr>
      </w:pPr>
      <w:r>
        <w:rPr>
          <w:rFonts w:ascii="Arial" w:hAnsi="Arial" w:cs="Arial"/>
          <w:b/>
          <w:sz w:val="24"/>
        </w:rPr>
        <w:t>Cumplimiento de la Ley de Contabilidad Gubernamental y de las disposiciones contenidas</w:t>
      </w:r>
      <w:r w:rsidR="00381115" w:rsidRPr="0072204F">
        <w:rPr>
          <w:rFonts w:ascii="Arial" w:hAnsi="Arial" w:cs="Arial"/>
          <w:b/>
          <w:sz w:val="24"/>
        </w:rPr>
        <w:t xml:space="preserve"> e</w:t>
      </w:r>
      <w:r>
        <w:rPr>
          <w:rFonts w:ascii="Arial" w:hAnsi="Arial" w:cs="Arial"/>
          <w:b/>
          <w:sz w:val="24"/>
        </w:rPr>
        <w:t>n los ordenamientos y normativa</w:t>
      </w:r>
      <w:r w:rsidR="00381115" w:rsidRPr="0072204F">
        <w:rPr>
          <w:rFonts w:ascii="Arial" w:hAnsi="Arial" w:cs="Arial"/>
          <w:b/>
          <w:sz w:val="24"/>
        </w:rPr>
        <w:t xml:space="preserve"> correspondientes.</w:t>
      </w:r>
    </w:p>
    <w:p w:rsidR="00381115" w:rsidRPr="00381115" w:rsidRDefault="00381115" w:rsidP="00381115">
      <w:pPr>
        <w:pStyle w:val="Prrafodelista"/>
        <w:spacing w:after="0"/>
        <w:contextualSpacing/>
        <w:jc w:val="both"/>
        <w:rPr>
          <w:rFonts w:ascii="Arial" w:hAnsi="Arial" w:cs="Arial"/>
          <w:sz w:val="24"/>
        </w:rPr>
      </w:pPr>
    </w:p>
    <w:p w:rsidR="00381115" w:rsidRDefault="00381115" w:rsidP="009A7A82">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sidR="005F4540">
        <w:rPr>
          <w:rFonts w:ascii="Arial" w:hAnsi="Arial" w:cs="Arial"/>
          <w:sz w:val="24"/>
        </w:rPr>
        <w:t>n la Cuenta Pública, se concluyó</w:t>
      </w:r>
      <w:r w:rsidRPr="00381115">
        <w:rPr>
          <w:rFonts w:ascii="Arial" w:hAnsi="Arial" w:cs="Arial"/>
          <w:sz w:val="24"/>
        </w:rPr>
        <w:t xml:space="preserve"> que su pres</w:t>
      </w:r>
      <w:r w:rsidR="005F4540">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sidR="005F4540">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CC678F" w:rsidRDefault="00CC678F" w:rsidP="009A7A82">
      <w:pPr>
        <w:spacing w:after="0" w:line="360" w:lineRule="auto"/>
        <w:ind w:firstLine="709"/>
        <w:contextualSpacing/>
        <w:jc w:val="both"/>
        <w:rPr>
          <w:rFonts w:ascii="Arial" w:hAnsi="Arial" w:cs="Arial"/>
          <w:sz w:val="24"/>
        </w:rPr>
      </w:pPr>
    </w:p>
    <w:p w:rsidR="005F4540" w:rsidRDefault="005F4540" w:rsidP="005F4540">
      <w:pPr>
        <w:pStyle w:val="Prrafodelista"/>
        <w:numPr>
          <w:ilvl w:val="0"/>
          <w:numId w:val="4"/>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5F4540" w:rsidRDefault="005F4540" w:rsidP="005F4540">
      <w:pPr>
        <w:pStyle w:val="Prrafodelista"/>
        <w:spacing w:after="0" w:line="240" w:lineRule="auto"/>
        <w:contextualSpacing/>
        <w:jc w:val="both"/>
        <w:rPr>
          <w:rFonts w:ascii="Arial" w:hAnsi="Arial" w:cs="Arial"/>
          <w:b/>
          <w:sz w:val="24"/>
        </w:rPr>
      </w:pPr>
    </w:p>
    <w:p w:rsidR="004171CD" w:rsidRDefault="004171CD" w:rsidP="005F4540">
      <w:pPr>
        <w:pStyle w:val="Prrafodelista"/>
        <w:spacing w:after="0" w:line="240" w:lineRule="auto"/>
        <w:contextualSpacing/>
        <w:jc w:val="both"/>
        <w:rPr>
          <w:rFonts w:ascii="Arial" w:hAnsi="Arial" w:cs="Arial"/>
          <w:sz w:val="24"/>
        </w:rPr>
      </w:pPr>
    </w:p>
    <w:p w:rsidR="00C74F05" w:rsidRDefault="00B8608A" w:rsidP="00B8608A">
      <w:pPr>
        <w:pStyle w:val="Prrafodelista"/>
        <w:spacing w:after="0" w:line="240" w:lineRule="auto"/>
        <w:contextualSpacing/>
        <w:jc w:val="center"/>
        <w:rPr>
          <w:rFonts w:ascii="Arial" w:hAnsi="Arial" w:cs="Arial"/>
          <w:sz w:val="24"/>
        </w:rPr>
      </w:pPr>
      <w:r>
        <w:rPr>
          <w:rFonts w:ascii="Arial" w:hAnsi="Arial" w:cs="Arial"/>
          <w:noProof/>
          <w:sz w:val="24"/>
          <w:lang w:val="es-MX" w:eastAsia="es-MX"/>
        </w:rPr>
        <w:lastRenderedPageBreak/>
        <w:drawing>
          <wp:anchor distT="0" distB="0" distL="114300" distR="114300" simplePos="0" relativeHeight="251658240" behindDoc="0" locked="0" layoutInCell="1" allowOverlap="1">
            <wp:simplePos x="0" y="0"/>
            <wp:positionH relativeFrom="column">
              <wp:posOffset>-613410</wp:posOffset>
            </wp:positionH>
            <wp:positionV relativeFrom="paragraph">
              <wp:posOffset>-90805</wp:posOffset>
            </wp:positionV>
            <wp:extent cx="5253355" cy="2580005"/>
            <wp:effectExtent l="0" t="0" r="4445"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3355" cy="258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F05" w:rsidRDefault="00C74F05" w:rsidP="005F4540">
      <w:pPr>
        <w:pStyle w:val="Prrafodelista"/>
        <w:spacing w:after="0" w:line="240" w:lineRule="auto"/>
        <w:contextualSpacing/>
        <w:jc w:val="both"/>
        <w:rPr>
          <w:rFonts w:ascii="Arial" w:hAnsi="Arial" w:cs="Arial"/>
          <w:sz w:val="24"/>
        </w:rPr>
      </w:pPr>
    </w:p>
    <w:p w:rsidR="00C74F05" w:rsidRDefault="00C74F05" w:rsidP="005F4540">
      <w:pPr>
        <w:pStyle w:val="Prrafodelista"/>
        <w:spacing w:after="0" w:line="240" w:lineRule="auto"/>
        <w:contextualSpacing/>
        <w:jc w:val="both"/>
        <w:rPr>
          <w:rFonts w:ascii="Arial" w:hAnsi="Arial" w:cs="Arial"/>
          <w:sz w:val="24"/>
        </w:rPr>
      </w:pPr>
    </w:p>
    <w:p w:rsidR="00381115" w:rsidRPr="00253C6A" w:rsidRDefault="00381115" w:rsidP="009C0345">
      <w:pPr>
        <w:spacing w:after="0"/>
        <w:contextualSpacing/>
        <w:jc w:val="both"/>
        <w:rPr>
          <w:rFonts w:ascii="Arial" w:hAnsi="Arial" w:cs="Arial"/>
          <w:b/>
          <w:sz w:val="24"/>
        </w:rPr>
      </w:pPr>
    </w:p>
    <w:p w:rsidR="008B1EB7" w:rsidRPr="008B1EB7" w:rsidRDefault="009C0345" w:rsidP="008B1EB7">
      <w:pPr>
        <w:pStyle w:val="Prrafodelista"/>
        <w:numPr>
          <w:ilvl w:val="0"/>
          <w:numId w:val="3"/>
        </w:numPr>
        <w:spacing w:after="0"/>
        <w:ind w:left="425" w:hanging="425"/>
        <w:contextualSpacing/>
        <w:jc w:val="both"/>
        <w:rPr>
          <w:rFonts w:ascii="Arial" w:hAnsi="Arial" w:cs="Arial"/>
          <w:sz w:val="24"/>
        </w:rPr>
      </w:pPr>
      <w:r w:rsidRPr="00401C23">
        <w:rPr>
          <w:rFonts w:ascii="Arial" w:hAnsi="Arial" w:cs="Arial"/>
          <w:b/>
          <w:bCs/>
          <w:sz w:val="24"/>
        </w:rPr>
        <w:t>Observaciones derivadas de la revisión practicada</w:t>
      </w:r>
      <w:r w:rsidR="00C74F05">
        <w:rPr>
          <w:rFonts w:ascii="Arial" w:hAnsi="Arial" w:cs="Arial"/>
          <w:b/>
          <w:bCs/>
          <w:sz w:val="24"/>
        </w:rPr>
        <w:t>, las aclaraciones a las mismas por los Funcionarios responsables y su análi</w:t>
      </w:r>
      <w:r w:rsidR="00FA57E1">
        <w:rPr>
          <w:rFonts w:ascii="Arial" w:hAnsi="Arial" w:cs="Arial"/>
          <w:b/>
          <w:bCs/>
          <w:sz w:val="24"/>
        </w:rPr>
        <w:t>sis</w:t>
      </w:r>
      <w:r w:rsidR="00401C23" w:rsidRPr="00401C23">
        <w:rPr>
          <w:rFonts w:ascii="Arial" w:hAnsi="Arial" w:cs="Arial"/>
          <w:b/>
          <w:bCs/>
          <w:sz w:val="24"/>
        </w:rPr>
        <w:t xml:space="preserve"> por la Auditoría Superior </w:t>
      </w:r>
      <w:r w:rsidR="00DD3DF8">
        <w:rPr>
          <w:rFonts w:ascii="Arial" w:hAnsi="Arial" w:cs="Arial"/>
          <w:b/>
          <w:bCs/>
          <w:sz w:val="24"/>
        </w:rPr>
        <w:t>del Estado, incluyendo las acciones que se ejercerán y re</w:t>
      </w:r>
      <w:r w:rsidR="00FA57E1">
        <w:rPr>
          <w:rFonts w:ascii="Arial" w:hAnsi="Arial" w:cs="Arial"/>
          <w:b/>
          <w:bCs/>
          <w:sz w:val="24"/>
        </w:rPr>
        <w:t>comendaciones que se formularán.</w:t>
      </w:r>
    </w:p>
    <w:p w:rsidR="008B1EB7" w:rsidRDefault="008B1EB7" w:rsidP="008B1EB7">
      <w:pPr>
        <w:spacing w:after="0"/>
        <w:contextualSpacing/>
        <w:jc w:val="both"/>
        <w:rPr>
          <w:rFonts w:ascii="Arial" w:hAnsi="Arial" w:cs="Arial"/>
          <w:sz w:val="24"/>
        </w:rPr>
      </w:pPr>
    </w:p>
    <w:p w:rsidR="00F27097" w:rsidRPr="00F27097" w:rsidRDefault="00F27097" w:rsidP="00F27097">
      <w:pPr>
        <w:spacing w:after="0"/>
        <w:contextualSpacing/>
        <w:jc w:val="both"/>
        <w:rPr>
          <w:rFonts w:ascii="Arial" w:hAnsi="Arial" w:cs="Arial"/>
          <w:b/>
          <w:sz w:val="24"/>
          <w:u w:val="single"/>
        </w:rPr>
      </w:pPr>
      <w:r w:rsidRPr="00F27097">
        <w:rPr>
          <w:rFonts w:ascii="Arial" w:hAnsi="Arial" w:cs="Arial"/>
          <w:b/>
          <w:sz w:val="24"/>
          <w:u w:val="single"/>
        </w:rPr>
        <w:t>Ley General de Contabilidad Gubernamental</w:t>
      </w:r>
    </w:p>
    <w:p w:rsidR="00F27097" w:rsidRPr="00CC678F" w:rsidRDefault="00CC678F" w:rsidP="00CC678F">
      <w:pPr>
        <w:spacing w:after="0"/>
        <w:contextualSpacing/>
        <w:jc w:val="both"/>
        <w:rPr>
          <w:rFonts w:ascii="Arial" w:hAnsi="Arial" w:cs="Arial"/>
          <w:sz w:val="24"/>
        </w:rPr>
      </w:pPr>
      <w:r>
        <w:rPr>
          <w:rFonts w:ascii="Arial" w:hAnsi="Arial" w:cs="Arial"/>
          <w:sz w:val="24"/>
        </w:rPr>
        <w:t xml:space="preserve">1. </w:t>
      </w:r>
      <w:r w:rsidR="00F27097" w:rsidRPr="00CC678F">
        <w:rPr>
          <w:rFonts w:ascii="Arial" w:hAnsi="Arial" w:cs="Arial"/>
          <w:sz w:val="24"/>
        </w:rPr>
        <w:t>Se revisó la observancia de la Ley General de Contabilidad Gubernamental (LGCG) y la normatividad emitida por el Consejo Nacional de Armonización Contable (Conac), advirtiéndose incumplimientos por parte del Fideicomiso, a las obligaciones que diversos preceptos de la referida Ley le imponen, acorde con lo que se enuncia a continuación:</w:t>
      </w:r>
    </w:p>
    <w:p w:rsidR="00CC678F" w:rsidRPr="00CC678F" w:rsidRDefault="00CC678F" w:rsidP="00CC678F">
      <w:pPr>
        <w:spacing w:after="0"/>
        <w:ind w:left="2520"/>
        <w:contextualSpacing/>
        <w:jc w:val="both"/>
        <w:rPr>
          <w:rFonts w:ascii="Arial" w:hAnsi="Arial" w:cs="Arial"/>
          <w:sz w:val="24"/>
        </w:rPr>
      </w:pPr>
    </w:p>
    <w:p w:rsidR="00F27097" w:rsidRPr="00CC678F" w:rsidRDefault="00F27097" w:rsidP="00F27097">
      <w:pPr>
        <w:spacing w:after="0"/>
        <w:contextualSpacing/>
        <w:jc w:val="both"/>
        <w:rPr>
          <w:rFonts w:ascii="Arial" w:hAnsi="Arial" w:cs="Arial"/>
          <w:b/>
          <w:sz w:val="24"/>
        </w:rPr>
      </w:pPr>
      <w:r w:rsidRPr="00CC678F">
        <w:rPr>
          <w:rFonts w:ascii="Arial" w:hAnsi="Arial" w:cs="Arial"/>
          <w:b/>
          <w:sz w:val="24"/>
        </w:rPr>
        <w:t>I. Registros contables</w:t>
      </w:r>
    </w:p>
    <w:p w:rsidR="00F27097" w:rsidRDefault="00F27097" w:rsidP="00F27097">
      <w:pPr>
        <w:pStyle w:val="Prrafodelista"/>
        <w:numPr>
          <w:ilvl w:val="0"/>
          <w:numId w:val="45"/>
        </w:numPr>
        <w:spacing w:after="0"/>
        <w:contextualSpacing/>
        <w:jc w:val="both"/>
        <w:rPr>
          <w:rFonts w:ascii="Arial" w:hAnsi="Arial" w:cs="Arial"/>
          <w:sz w:val="24"/>
        </w:rPr>
      </w:pPr>
      <w:r w:rsidRPr="00F27097">
        <w:rPr>
          <w:rFonts w:ascii="Arial" w:hAnsi="Arial" w:cs="Arial"/>
          <w:sz w:val="24"/>
        </w:rPr>
        <w:t xml:space="preserve">Contar con manuales de contabilidad (artículo 20). El Fideicomiso cuenta con un manual de contabilidad, sin embargo, carece de algunos capítulos que señala el Acuerdo por el que se emite el manual de </w:t>
      </w:r>
      <w:r w:rsidRPr="00F27097">
        <w:rPr>
          <w:rFonts w:ascii="Arial" w:hAnsi="Arial" w:cs="Arial"/>
          <w:sz w:val="24"/>
        </w:rPr>
        <w:lastRenderedPageBreak/>
        <w:t>contabilidad gubernamental, siendo estos el instructivo de manejo de cuentas, las guías contabilizadoras y las matrices de conversión.</w:t>
      </w:r>
    </w:p>
    <w:p w:rsidR="00F27097" w:rsidRDefault="00F27097" w:rsidP="00F27097">
      <w:pPr>
        <w:pStyle w:val="Prrafodelista"/>
        <w:spacing w:after="0"/>
        <w:contextualSpacing/>
        <w:jc w:val="both"/>
        <w:rPr>
          <w:rFonts w:ascii="Arial" w:hAnsi="Arial" w:cs="Arial"/>
          <w:sz w:val="24"/>
        </w:rPr>
      </w:pPr>
    </w:p>
    <w:p w:rsidR="00F27097" w:rsidRDefault="00F27097" w:rsidP="00F27097">
      <w:pPr>
        <w:pStyle w:val="Prrafodelista"/>
        <w:numPr>
          <w:ilvl w:val="0"/>
          <w:numId w:val="45"/>
        </w:numPr>
        <w:spacing w:after="0"/>
        <w:contextualSpacing/>
        <w:jc w:val="both"/>
        <w:rPr>
          <w:rFonts w:ascii="Arial" w:hAnsi="Arial" w:cs="Arial"/>
          <w:sz w:val="24"/>
        </w:rPr>
      </w:pPr>
      <w:r w:rsidRPr="00F27097">
        <w:rPr>
          <w:rFonts w:ascii="Arial" w:hAnsi="Arial" w:cs="Arial"/>
          <w:sz w:val="24"/>
        </w:rPr>
        <w:t>No se proporcionó ni fue exhibida por el Ente Público evidencia del cálculo de la depreciación conforme a lo establecido en el Acuerdo por el que se emiten las reglas específicas del registro y valoración del patrimonio (inciso B - punto 6 - Depreciación, deterioro y amortización, del ejercicio y acumulada de bienes).</w:t>
      </w:r>
    </w:p>
    <w:p w:rsidR="00F27097" w:rsidRPr="00F27097" w:rsidRDefault="00F27097" w:rsidP="00F27097">
      <w:pPr>
        <w:pStyle w:val="Prrafodelista"/>
        <w:rPr>
          <w:rFonts w:ascii="Arial" w:hAnsi="Arial" w:cs="Arial"/>
          <w:sz w:val="24"/>
        </w:rPr>
      </w:pPr>
    </w:p>
    <w:p w:rsidR="00F27097" w:rsidRPr="00F27097" w:rsidRDefault="00F27097" w:rsidP="00F27097">
      <w:pPr>
        <w:spacing w:after="0"/>
        <w:contextualSpacing/>
        <w:jc w:val="both"/>
        <w:rPr>
          <w:rFonts w:ascii="Arial" w:hAnsi="Arial" w:cs="Arial"/>
          <w:b/>
          <w:sz w:val="24"/>
        </w:rPr>
      </w:pPr>
      <w:r w:rsidRPr="00F27097">
        <w:rPr>
          <w:rFonts w:ascii="Arial" w:hAnsi="Arial" w:cs="Arial"/>
          <w:b/>
          <w:sz w:val="24"/>
        </w:rPr>
        <w:t>Análisis de la Auditoría Superior del Estado</w:t>
      </w:r>
    </w:p>
    <w:p w:rsidR="00F27097" w:rsidRDefault="00F27097" w:rsidP="00F27097">
      <w:pPr>
        <w:spacing w:after="0"/>
        <w:contextualSpacing/>
        <w:jc w:val="both"/>
        <w:rPr>
          <w:rFonts w:ascii="Arial" w:hAnsi="Arial" w:cs="Arial"/>
          <w:sz w:val="24"/>
        </w:rPr>
      </w:pPr>
      <w:r w:rsidRPr="00F27097">
        <w:rPr>
          <w:rFonts w:ascii="Arial" w:hAnsi="Arial" w:cs="Arial"/>
          <w:sz w:val="24"/>
        </w:rPr>
        <w:t>Se analizó la respuesta y documentación proporcionada por e</w:t>
      </w:r>
      <w:r w:rsidR="00CC678F">
        <w:rPr>
          <w:rFonts w:ascii="Arial" w:hAnsi="Arial" w:cs="Arial"/>
          <w:sz w:val="24"/>
        </w:rPr>
        <w:t>l Ente Público y Extitular</w:t>
      </w:r>
      <w:r>
        <w:rPr>
          <w:rFonts w:ascii="Arial" w:hAnsi="Arial" w:cs="Arial"/>
          <w:sz w:val="24"/>
        </w:rPr>
        <w:t xml:space="preserve">, la </w:t>
      </w:r>
      <w:r w:rsidRPr="00F27097">
        <w:rPr>
          <w:rFonts w:ascii="Arial" w:hAnsi="Arial" w:cs="Arial"/>
          <w:sz w:val="24"/>
        </w:rPr>
        <w:t>cual solventa parcialmente de acuerdo a lo siguiente:</w:t>
      </w:r>
    </w:p>
    <w:p w:rsidR="00CC678F" w:rsidRPr="00F27097" w:rsidRDefault="00CC678F" w:rsidP="00F27097">
      <w:pPr>
        <w:spacing w:after="0"/>
        <w:contextualSpacing/>
        <w:jc w:val="both"/>
        <w:rPr>
          <w:rFonts w:ascii="Arial" w:hAnsi="Arial" w:cs="Arial"/>
          <w:sz w:val="24"/>
        </w:rPr>
      </w:pPr>
    </w:p>
    <w:p w:rsidR="00F27097" w:rsidRDefault="00F27097" w:rsidP="00F27097">
      <w:pPr>
        <w:pStyle w:val="Prrafodelista"/>
        <w:numPr>
          <w:ilvl w:val="0"/>
          <w:numId w:val="46"/>
        </w:numPr>
        <w:spacing w:after="0"/>
        <w:contextualSpacing/>
        <w:jc w:val="both"/>
        <w:rPr>
          <w:rFonts w:ascii="Arial" w:hAnsi="Arial" w:cs="Arial"/>
          <w:sz w:val="24"/>
        </w:rPr>
      </w:pPr>
      <w:r w:rsidRPr="00F27097">
        <w:rPr>
          <w:rFonts w:ascii="Arial" w:hAnsi="Arial" w:cs="Arial"/>
          <w:sz w:val="24"/>
        </w:rPr>
        <w:t xml:space="preserve">Presentó el manual de contabilidad que cumple </w:t>
      </w:r>
      <w:r>
        <w:rPr>
          <w:rFonts w:ascii="Arial" w:hAnsi="Arial" w:cs="Arial"/>
          <w:sz w:val="24"/>
        </w:rPr>
        <w:t xml:space="preserve">con lo establecido en el Acuerdo </w:t>
      </w:r>
      <w:r w:rsidRPr="00F27097">
        <w:rPr>
          <w:rFonts w:ascii="Arial" w:hAnsi="Arial" w:cs="Arial"/>
          <w:sz w:val="24"/>
        </w:rPr>
        <w:t>por el que se emite el manual de contabilidad gubernamental por lo que solventa</w:t>
      </w:r>
      <w:r>
        <w:rPr>
          <w:rFonts w:ascii="Arial" w:hAnsi="Arial" w:cs="Arial"/>
          <w:sz w:val="24"/>
        </w:rPr>
        <w:t xml:space="preserve"> </w:t>
      </w:r>
      <w:r w:rsidRPr="00F27097">
        <w:rPr>
          <w:rFonts w:ascii="Arial" w:hAnsi="Arial" w:cs="Arial"/>
          <w:sz w:val="24"/>
        </w:rPr>
        <w:t>este punto.</w:t>
      </w:r>
    </w:p>
    <w:p w:rsidR="00F27097" w:rsidRDefault="00F27097" w:rsidP="00F27097">
      <w:pPr>
        <w:pStyle w:val="Prrafodelista"/>
        <w:spacing w:after="0"/>
        <w:contextualSpacing/>
        <w:jc w:val="both"/>
        <w:rPr>
          <w:rFonts w:ascii="Arial" w:hAnsi="Arial" w:cs="Arial"/>
          <w:sz w:val="24"/>
        </w:rPr>
      </w:pPr>
    </w:p>
    <w:p w:rsidR="00F27097" w:rsidRPr="00F27097" w:rsidRDefault="00F27097" w:rsidP="00F27097">
      <w:pPr>
        <w:pStyle w:val="Prrafodelista"/>
        <w:numPr>
          <w:ilvl w:val="0"/>
          <w:numId w:val="46"/>
        </w:numPr>
        <w:spacing w:after="0"/>
        <w:contextualSpacing/>
        <w:jc w:val="both"/>
        <w:rPr>
          <w:rFonts w:ascii="Arial" w:hAnsi="Arial" w:cs="Arial"/>
          <w:sz w:val="24"/>
        </w:rPr>
      </w:pPr>
      <w:r w:rsidRPr="00F27097">
        <w:rPr>
          <w:rFonts w:ascii="Arial" w:hAnsi="Arial" w:cs="Arial"/>
          <w:sz w:val="24"/>
        </w:rPr>
        <w:t>En relación al cálculo de depreciación solventa parcialmente, toda vez que se</w:t>
      </w:r>
      <w:r>
        <w:rPr>
          <w:rFonts w:ascii="Arial" w:hAnsi="Arial" w:cs="Arial"/>
          <w:sz w:val="24"/>
        </w:rPr>
        <w:t xml:space="preserve"> </w:t>
      </w:r>
      <w:r w:rsidRPr="00F27097">
        <w:rPr>
          <w:rFonts w:ascii="Arial" w:hAnsi="Arial" w:cs="Arial"/>
          <w:sz w:val="24"/>
        </w:rPr>
        <w:t>encuentra en proceso de implementación de medidas correctivas, sin embargo,</w:t>
      </w:r>
      <w:r>
        <w:rPr>
          <w:rFonts w:ascii="Arial" w:hAnsi="Arial" w:cs="Arial"/>
          <w:sz w:val="24"/>
        </w:rPr>
        <w:t xml:space="preserve"> </w:t>
      </w:r>
      <w:r w:rsidRPr="00F27097">
        <w:rPr>
          <w:rFonts w:ascii="Arial" w:hAnsi="Arial" w:cs="Arial"/>
          <w:sz w:val="24"/>
        </w:rPr>
        <w:t>no ha cumplido con la totalidad de las disposiciones señaladas en la Ley General</w:t>
      </w:r>
      <w:r>
        <w:rPr>
          <w:rFonts w:ascii="Arial" w:hAnsi="Arial" w:cs="Arial"/>
          <w:sz w:val="24"/>
        </w:rPr>
        <w:t xml:space="preserve"> </w:t>
      </w:r>
      <w:r w:rsidRPr="00F27097">
        <w:rPr>
          <w:rFonts w:ascii="Arial" w:hAnsi="Arial" w:cs="Arial"/>
          <w:sz w:val="24"/>
        </w:rPr>
        <w:t>de Contabilidad Gubernamental y la normativa emitida por el Consejo Nacional de</w:t>
      </w:r>
      <w:r>
        <w:rPr>
          <w:rFonts w:ascii="Arial" w:hAnsi="Arial" w:cs="Arial"/>
          <w:sz w:val="24"/>
        </w:rPr>
        <w:t xml:space="preserve"> </w:t>
      </w:r>
      <w:r w:rsidRPr="00F27097">
        <w:rPr>
          <w:rFonts w:ascii="Arial" w:hAnsi="Arial" w:cs="Arial"/>
          <w:sz w:val="24"/>
        </w:rPr>
        <w:t>Armonización Contable.</w:t>
      </w:r>
    </w:p>
    <w:p w:rsidR="00F27097" w:rsidRDefault="00F27097" w:rsidP="00F27097">
      <w:pPr>
        <w:spacing w:after="0"/>
        <w:contextualSpacing/>
        <w:jc w:val="both"/>
        <w:rPr>
          <w:rFonts w:ascii="Arial" w:hAnsi="Arial" w:cs="Arial"/>
          <w:sz w:val="24"/>
        </w:rPr>
      </w:pPr>
    </w:p>
    <w:p w:rsidR="00F27097" w:rsidRPr="00F27097" w:rsidRDefault="00F27097" w:rsidP="00F27097">
      <w:pPr>
        <w:spacing w:after="0"/>
        <w:contextualSpacing/>
        <w:jc w:val="both"/>
        <w:rPr>
          <w:rFonts w:ascii="Arial" w:hAnsi="Arial" w:cs="Arial"/>
          <w:b/>
          <w:sz w:val="24"/>
        </w:rPr>
      </w:pPr>
      <w:r w:rsidRPr="00F27097">
        <w:rPr>
          <w:rFonts w:ascii="Arial" w:hAnsi="Arial" w:cs="Arial"/>
          <w:b/>
          <w:sz w:val="24"/>
        </w:rPr>
        <w:t>Acción(es) o recomendación(es) emitida(s)</w:t>
      </w:r>
    </w:p>
    <w:p w:rsidR="00F27097" w:rsidRPr="00F27097" w:rsidRDefault="00F27097" w:rsidP="00F27097">
      <w:pPr>
        <w:spacing w:after="0"/>
        <w:contextualSpacing/>
        <w:jc w:val="both"/>
        <w:rPr>
          <w:rFonts w:ascii="Arial" w:hAnsi="Arial" w:cs="Arial"/>
          <w:i/>
          <w:sz w:val="24"/>
        </w:rPr>
      </w:pPr>
      <w:r w:rsidRPr="00F27097">
        <w:rPr>
          <w:rFonts w:ascii="Arial" w:hAnsi="Arial" w:cs="Arial"/>
          <w:i/>
          <w:sz w:val="24"/>
        </w:rPr>
        <w:t>Recomendaciones en Relación a la Gestión o Control Interno.</w:t>
      </w:r>
    </w:p>
    <w:p w:rsidR="00FA57E1" w:rsidRDefault="00FA57E1" w:rsidP="009A7A82">
      <w:pPr>
        <w:spacing w:after="0" w:line="360" w:lineRule="auto"/>
        <w:contextualSpacing/>
        <w:jc w:val="both"/>
        <w:rPr>
          <w:rFonts w:ascii="Arial" w:hAnsi="Arial" w:cs="Arial"/>
          <w:b/>
          <w:sz w:val="24"/>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Trámite y resultados obtenidos, derivados de las solicitudes formuladas por</w:t>
      </w:r>
      <w:r w:rsidR="00EF3C47">
        <w:rPr>
          <w:rFonts w:ascii="Arial" w:hAnsi="Arial" w:cs="Arial"/>
          <w:b/>
          <w:bCs/>
          <w:sz w:val="24"/>
        </w:rPr>
        <w:t xml:space="preserve"> este</w:t>
      </w:r>
      <w:r w:rsidRPr="00B67BEE">
        <w:rPr>
          <w:rFonts w:ascii="Arial" w:hAnsi="Arial" w:cs="Arial"/>
          <w:b/>
          <w:bCs/>
          <w:sz w:val="24"/>
        </w:rPr>
        <w:t xml:space="preserve"> H. Congreso del Estado.</w:t>
      </w:r>
    </w:p>
    <w:p w:rsidR="009C0345" w:rsidRPr="00B67BEE" w:rsidRDefault="009C0345" w:rsidP="009C0345">
      <w:pPr>
        <w:spacing w:after="0"/>
        <w:rPr>
          <w:rFonts w:ascii="Arial" w:hAnsi="Arial" w:cs="Arial"/>
          <w:b/>
          <w:sz w:val="24"/>
        </w:rPr>
      </w:pPr>
    </w:p>
    <w:p w:rsidR="009C0345" w:rsidRPr="00B67BEE" w:rsidRDefault="007C12FE" w:rsidP="009A7A82">
      <w:pPr>
        <w:spacing w:after="0" w:line="360" w:lineRule="auto"/>
        <w:ind w:firstLine="709"/>
        <w:jc w:val="both"/>
        <w:rPr>
          <w:rFonts w:ascii="Arial" w:hAnsi="Arial" w:cs="Arial"/>
          <w:sz w:val="24"/>
        </w:rPr>
      </w:pPr>
      <w:r>
        <w:rPr>
          <w:rFonts w:ascii="Arial" w:hAnsi="Arial" w:cs="Arial"/>
          <w:sz w:val="24"/>
        </w:rPr>
        <w:t>En este apartado del Info</w:t>
      </w:r>
      <w:r w:rsidR="0069393F">
        <w:rPr>
          <w:rFonts w:ascii="Arial" w:hAnsi="Arial" w:cs="Arial"/>
          <w:sz w:val="24"/>
        </w:rPr>
        <w:t>rme de Resultados,</w:t>
      </w:r>
      <w:r w:rsidR="00807DB8">
        <w:rPr>
          <w:rFonts w:ascii="Arial" w:hAnsi="Arial" w:cs="Arial"/>
          <w:sz w:val="24"/>
        </w:rPr>
        <w:t xml:space="preserve"> la Auditoría</w:t>
      </w:r>
      <w:r w:rsidR="00EF3C47">
        <w:rPr>
          <w:rFonts w:ascii="Arial" w:hAnsi="Arial" w:cs="Arial"/>
          <w:sz w:val="24"/>
        </w:rPr>
        <w:t xml:space="preserve"> nos informa que</w:t>
      </w:r>
      <w:r w:rsidR="00807DB8">
        <w:rPr>
          <w:rFonts w:ascii="Arial" w:hAnsi="Arial" w:cs="Arial"/>
          <w:sz w:val="24"/>
        </w:rPr>
        <w:t xml:space="preserve"> no se recibieron solicitudes relacio</w:t>
      </w:r>
      <w:r w:rsidR="00F27097">
        <w:rPr>
          <w:rFonts w:ascii="Arial" w:hAnsi="Arial" w:cs="Arial"/>
          <w:sz w:val="24"/>
        </w:rPr>
        <w:t>nadas con la Cuenta Pública 2015</w:t>
      </w:r>
      <w:r w:rsidR="00807DB8">
        <w:rPr>
          <w:rFonts w:ascii="Arial" w:hAnsi="Arial" w:cs="Arial"/>
          <w:sz w:val="24"/>
        </w:rPr>
        <w:t>.</w:t>
      </w:r>
      <w:r>
        <w:rPr>
          <w:rFonts w:ascii="Arial" w:hAnsi="Arial" w:cs="Arial"/>
          <w:sz w:val="24"/>
        </w:rPr>
        <w:t xml:space="preserve"> </w:t>
      </w:r>
    </w:p>
    <w:p w:rsidR="009A7A82" w:rsidRPr="00807DB8" w:rsidRDefault="009A7A82" w:rsidP="00807DB8">
      <w:pPr>
        <w:rPr>
          <w:rFonts w:ascii="Arial" w:hAnsi="Arial" w:cs="Arial"/>
          <w:b/>
          <w:sz w:val="24"/>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bCs/>
          <w:sz w:val="24"/>
        </w:rPr>
      </w:pPr>
      <w:r w:rsidRPr="00B67BEE">
        <w:rPr>
          <w:rFonts w:ascii="Arial" w:hAnsi="Arial" w:cs="Arial"/>
          <w:b/>
          <w:bCs/>
          <w:sz w:val="24"/>
        </w:rPr>
        <w:t>Resultados de la revisión de situación excepcional.</w:t>
      </w:r>
    </w:p>
    <w:p w:rsidR="009C0345" w:rsidRPr="00B67BEE" w:rsidRDefault="009C0345" w:rsidP="009C0345">
      <w:pPr>
        <w:spacing w:after="0"/>
        <w:rPr>
          <w:rFonts w:ascii="Arial" w:hAnsi="Arial" w:cs="Arial"/>
          <w:b/>
          <w:bCs/>
          <w:sz w:val="24"/>
        </w:rPr>
      </w:pPr>
    </w:p>
    <w:p w:rsidR="009C0345" w:rsidRDefault="009C0345" w:rsidP="00F27097">
      <w:pPr>
        <w:spacing w:after="0" w:line="360" w:lineRule="auto"/>
        <w:ind w:firstLine="709"/>
        <w:jc w:val="both"/>
        <w:rPr>
          <w:rFonts w:ascii="Arial" w:hAnsi="Arial" w:cs="Arial"/>
          <w:bCs/>
          <w:sz w:val="24"/>
        </w:rPr>
      </w:pPr>
      <w:r w:rsidRPr="00B67BEE">
        <w:rPr>
          <w:rFonts w:ascii="Arial" w:hAnsi="Arial" w:cs="Arial"/>
          <w:bCs/>
          <w:sz w:val="24"/>
        </w:rPr>
        <w:t>En relación a la Cuenta Pública objeto de revisión,</w:t>
      </w:r>
      <w:r w:rsidR="00EF3C47">
        <w:rPr>
          <w:rFonts w:ascii="Arial" w:hAnsi="Arial" w:cs="Arial"/>
          <w:bCs/>
          <w:sz w:val="24"/>
        </w:rPr>
        <w:t xml:space="preserve"> el </w:t>
      </w:r>
      <w:r w:rsidR="00DC471F">
        <w:rPr>
          <w:rFonts w:ascii="Arial" w:hAnsi="Arial" w:cs="Arial"/>
          <w:bCs/>
          <w:sz w:val="24"/>
        </w:rPr>
        <w:t>Órgano</w:t>
      </w:r>
      <w:r w:rsidR="00EF3C47">
        <w:rPr>
          <w:rFonts w:ascii="Arial" w:hAnsi="Arial" w:cs="Arial"/>
          <w:bCs/>
          <w:sz w:val="24"/>
        </w:rPr>
        <w:t xml:space="preserve"> Técnico Fiscalizador nos indica que</w:t>
      </w:r>
      <w:r w:rsidRPr="00B67BEE">
        <w:rPr>
          <w:rFonts w:ascii="Arial" w:hAnsi="Arial" w:cs="Arial"/>
          <w:bCs/>
          <w:sz w:val="24"/>
        </w:rPr>
        <w:t xml:space="preserve"> no se recibieron denuncias para la revisión de situaciones excepcionales,</w:t>
      </w:r>
      <w:r w:rsidR="00EF3C47">
        <w:rPr>
          <w:rFonts w:ascii="Arial" w:hAnsi="Arial" w:cs="Arial"/>
          <w:bCs/>
          <w:sz w:val="24"/>
        </w:rPr>
        <w:t xml:space="preserve"> atendidas por</w:t>
      </w:r>
      <w:r w:rsidRPr="00B67BEE">
        <w:rPr>
          <w:rFonts w:ascii="Arial" w:hAnsi="Arial" w:cs="Arial"/>
          <w:bCs/>
          <w:sz w:val="24"/>
        </w:rPr>
        <w:t xml:space="preserve"> los términos preceptuados en los artículos 136 último párrafo de la Constitución Política del </w:t>
      </w:r>
      <w:r w:rsidR="00EF3C47">
        <w:rPr>
          <w:rFonts w:ascii="Arial" w:hAnsi="Arial" w:cs="Arial"/>
          <w:bCs/>
          <w:sz w:val="24"/>
        </w:rPr>
        <w:t>Estado;</w:t>
      </w:r>
      <w:r w:rsidRPr="00B67BEE">
        <w:rPr>
          <w:rFonts w:ascii="Arial" w:hAnsi="Arial" w:cs="Arial"/>
          <w:bCs/>
          <w:sz w:val="24"/>
        </w:rPr>
        <w:t xml:space="preserve"> 37 y 39 de la Ley de Fiscalización Superior del Estado de Nuevo León.</w:t>
      </w:r>
    </w:p>
    <w:p w:rsidR="00CC678F" w:rsidRPr="00B67BEE" w:rsidRDefault="00CC678F" w:rsidP="00F27097">
      <w:pPr>
        <w:spacing w:after="0" w:line="360" w:lineRule="auto"/>
        <w:ind w:firstLine="709"/>
        <w:jc w:val="both"/>
        <w:rPr>
          <w:rFonts w:ascii="Arial" w:hAnsi="Arial" w:cs="Arial"/>
          <w:bCs/>
          <w:sz w:val="24"/>
        </w:rPr>
      </w:pPr>
    </w:p>
    <w:p w:rsidR="009C0345" w:rsidRPr="00B67BEE" w:rsidRDefault="009C0345" w:rsidP="009C0345">
      <w:pPr>
        <w:pStyle w:val="Prrafodelista"/>
        <w:numPr>
          <w:ilvl w:val="0"/>
          <w:numId w:val="3"/>
        </w:numPr>
        <w:spacing w:after="0"/>
        <w:ind w:left="426" w:hanging="426"/>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sidR="00F072A9">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sidR="00F072A9">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sidR="00EF3C47">
        <w:rPr>
          <w:rFonts w:ascii="Arial" w:eastAsia="Times New Roman" w:hAnsi="Arial" w:cs="Arial"/>
          <w:b/>
          <w:bCs/>
          <w:sz w:val="24"/>
          <w:szCs w:val="24"/>
          <w:lang w:eastAsia="es-MX"/>
        </w:rPr>
        <w:t>s anteriores.</w:t>
      </w:r>
    </w:p>
    <w:p w:rsidR="009C0345" w:rsidRDefault="009C0345" w:rsidP="009C0345">
      <w:pPr>
        <w:spacing w:after="0"/>
        <w:rPr>
          <w:rFonts w:ascii="Arial" w:hAnsi="Arial" w:cs="Arial"/>
          <w:bCs/>
          <w:sz w:val="24"/>
        </w:rPr>
      </w:pPr>
    </w:p>
    <w:p w:rsidR="00EF3C47" w:rsidRDefault="00EF3C47" w:rsidP="00F27097">
      <w:pPr>
        <w:spacing w:after="0" w:line="360" w:lineRule="auto"/>
        <w:ind w:firstLine="283"/>
        <w:jc w:val="both"/>
        <w:rPr>
          <w:rFonts w:ascii="Arial" w:eastAsia="Times New Roman" w:hAnsi="Arial" w:cs="Arial"/>
          <w:bCs/>
          <w:sz w:val="24"/>
          <w:szCs w:val="24"/>
          <w:lang w:eastAsia="es-MX"/>
        </w:rPr>
      </w:pPr>
      <w:r>
        <w:rPr>
          <w:rFonts w:ascii="Arial" w:hAnsi="Arial" w:cs="Arial"/>
          <w:bCs/>
          <w:sz w:val="24"/>
        </w:rPr>
        <w:t>En este apartado, l</w:t>
      </w:r>
      <w:r w:rsidR="00807DB8">
        <w:rPr>
          <w:rFonts w:ascii="Arial" w:hAnsi="Arial" w:cs="Arial"/>
          <w:bCs/>
          <w:sz w:val="24"/>
        </w:rPr>
        <w:t>a Auditoría n</w:t>
      </w:r>
      <w:r w:rsidR="00F27097">
        <w:rPr>
          <w:rFonts w:ascii="Arial" w:hAnsi="Arial" w:cs="Arial"/>
          <w:bCs/>
          <w:sz w:val="24"/>
        </w:rPr>
        <w:t xml:space="preserve">os presenta una síntesis de las </w:t>
      </w:r>
      <w:r w:rsidR="00807DB8">
        <w:rPr>
          <w:rFonts w:ascii="Arial" w:hAnsi="Arial" w:cs="Arial"/>
          <w:bCs/>
          <w:sz w:val="24"/>
        </w:rPr>
        <w:t>acciones</w:t>
      </w:r>
      <w:r>
        <w:rPr>
          <w:rFonts w:ascii="Arial" w:hAnsi="Arial" w:cs="Arial"/>
          <w:bCs/>
          <w:sz w:val="24"/>
        </w:rPr>
        <w:t xml:space="preserve"> y recomendaciones</w:t>
      </w:r>
      <w:r w:rsidR="00807DB8">
        <w:rPr>
          <w:rFonts w:ascii="Arial" w:hAnsi="Arial" w:cs="Arial"/>
          <w:bCs/>
          <w:sz w:val="24"/>
        </w:rPr>
        <w:t xml:space="preserve"> que </w:t>
      </w:r>
      <w:r w:rsidR="00F27097" w:rsidRPr="00F27097">
        <w:rPr>
          <w:rFonts w:ascii="Arial" w:hAnsi="Arial" w:cs="Arial"/>
          <w:bCs/>
          <w:sz w:val="24"/>
        </w:rPr>
        <w:t>con motivo de</w:t>
      </w:r>
      <w:r w:rsidR="00F27097">
        <w:rPr>
          <w:rFonts w:ascii="Arial" w:hAnsi="Arial" w:cs="Arial"/>
          <w:bCs/>
          <w:sz w:val="24"/>
        </w:rPr>
        <w:t xml:space="preserve"> </w:t>
      </w:r>
      <w:r w:rsidR="00F27097" w:rsidRPr="00F27097">
        <w:rPr>
          <w:rFonts w:ascii="Arial" w:hAnsi="Arial" w:cs="Arial"/>
          <w:bCs/>
          <w:sz w:val="24"/>
        </w:rPr>
        <w:t>la revisión de las cuentas públicas 2012, 2013 y 2014, se e</w:t>
      </w:r>
      <w:r w:rsidR="00CC678F">
        <w:rPr>
          <w:rFonts w:ascii="Arial" w:hAnsi="Arial" w:cs="Arial"/>
          <w:bCs/>
          <w:sz w:val="24"/>
        </w:rPr>
        <w:t>jercieron o promovieron por la</w:t>
      </w:r>
      <w:r w:rsidR="00F27097">
        <w:rPr>
          <w:rFonts w:ascii="Arial" w:hAnsi="Arial" w:cs="Arial"/>
          <w:bCs/>
          <w:sz w:val="24"/>
        </w:rPr>
        <w:t xml:space="preserve"> </w:t>
      </w:r>
      <w:r w:rsidR="00F27097" w:rsidRPr="00F27097">
        <w:rPr>
          <w:rFonts w:ascii="Arial" w:hAnsi="Arial" w:cs="Arial"/>
          <w:bCs/>
          <w:sz w:val="24"/>
        </w:rPr>
        <w:t>Auditoría Superior del Estado.</w:t>
      </w:r>
      <w:r w:rsidR="00270A54">
        <w:rPr>
          <w:rFonts w:ascii="Arial" w:eastAsia="Times New Roman" w:hAnsi="Arial" w:cs="Arial"/>
          <w:bCs/>
          <w:sz w:val="24"/>
          <w:szCs w:val="24"/>
          <w:lang w:eastAsia="es-MX"/>
        </w:rPr>
        <w:t xml:space="preserve"> </w:t>
      </w:r>
      <w:r w:rsidR="00CC678F">
        <w:rPr>
          <w:rFonts w:ascii="Arial" w:eastAsia="Times New Roman" w:hAnsi="Arial" w:cs="Arial"/>
          <w:bCs/>
          <w:sz w:val="24"/>
          <w:szCs w:val="24"/>
          <w:lang w:eastAsia="es-MX"/>
        </w:rPr>
        <w:t>Se inf</w:t>
      </w:r>
      <w:r w:rsidR="006B2AA6">
        <w:rPr>
          <w:rFonts w:ascii="Arial" w:eastAsia="Times New Roman" w:hAnsi="Arial" w:cs="Arial"/>
          <w:bCs/>
          <w:sz w:val="24"/>
          <w:szCs w:val="24"/>
          <w:lang w:eastAsia="es-MX"/>
        </w:rPr>
        <w:t>orma que existen dos</w:t>
      </w:r>
      <w:r w:rsidR="002851D6">
        <w:rPr>
          <w:rFonts w:ascii="Arial" w:eastAsia="Times New Roman" w:hAnsi="Arial" w:cs="Arial"/>
          <w:bCs/>
          <w:sz w:val="24"/>
          <w:szCs w:val="24"/>
          <w:lang w:eastAsia="es-MX"/>
        </w:rPr>
        <w:t xml:space="preserve"> promocio</w:t>
      </w:r>
      <w:r w:rsidR="002851D6" w:rsidRPr="002851D6">
        <w:rPr>
          <w:rFonts w:ascii="Arial" w:eastAsia="Times New Roman" w:hAnsi="Arial" w:cs="Arial"/>
          <w:bCs/>
          <w:sz w:val="24"/>
          <w:szCs w:val="24"/>
          <w:lang w:eastAsia="es-MX"/>
        </w:rPr>
        <w:t>n</w:t>
      </w:r>
      <w:r w:rsidR="002851D6">
        <w:rPr>
          <w:rFonts w:ascii="Arial" w:eastAsia="Times New Roman" w:hAnsi="Arial" w:cs="Arial"/>
          <w:bCs/>
          <w:sz w:val="24"/>
          <w:szCs w:val="24"/>
          <w:lang w:eastAsia="es-MX"/>
        </w:rPr>
        <w:t>es del</w:t>
      </w:r>
      <w:r w:rsidR="002851D6" w:rsidRPr="002851D6">
        <w:rPr>
          <w:rFonts w:ascii="Arial" w:eastAsia="Times New Roman" w:hAnsi="Arial" w:cs="Arial"/>
          <w:bCs/>
          <w:sz w:val="24"/>
          <w:szCs w:val="24"/>
          <w:lang w:eastAsia="es-MX"/>
        </w:rPr>
        <w:t xml:space="preserve"> Fincamiento de Responsabilidad Administrativa (PFRA)</w:t>
      </w:r>
      <w:r w:rsidR="002851D6">
        <w:rPr>
          <w:rFonts w:ascii="Arial" w:eastAsia="Times New Roman" w:hAnsi="Arial" w:cs="Arial"/>
          <w:bCs/>
          <w:sz w:val="24"/>
          <w:szCs w:val="24"/>
          <w:lang w:eastAsia="es-MX"/>
        </w:rPr>
        <w:t xml:space="preserve"> </w:t>
      </w:r>
      <w:r w:rsidR="006B2AA6">
        <w:rPr>
          <w:rFonts w:ascii="Arial" w:eastAsia="Times New Roman" w:hAnsi="Arial" w:cs="Arial"/>
          <w:bCs/>
          <w:sz w:val="24"/>
          <w:szCs w:val="24"/>
          <w:lang w:eastAsia="es-MX"/>
        </w:rPr>
        <w:t>en trámite correspondientes a</w:t>
      </w:r>
      <w:r w:rsidR="00CC678F">
        <w:rPr>
          <w:rFonts w:ascii="Arial" w:eastAsia="Times New Roman" w:hAnsi="Arial" w:cs="Arial"/>
          <w:bCs/>
          <w:sz w:val="24"/>
          <w:szCs w:val="24"/>
          <w:lang w:eastAsia="es-MX"/>
        </w:rPr>
        <w:t xml:space="preserve">l ejercicio </w:t>
      </w:r>
      <w:r w:rsidR="006B2AA6">
        <w:rPr>
          <w:rFonts w:ascii="Arial" w:eastAsia="Times New Roman" w:hAnsi="Arial" w:cs="Arial"/>
          <w:bCs/>
          <w:sz w:val="24"/>
          <w:szCs w:val="24"/>
          <w:lang w:eastAsia="es-MX"/>
        </w:rPr>
        <w:t xml:space="preserve">fiscal </w:t>
      </w:r>
      <w:r w:rsidR="002851D6">
        <w:rPr>
          <w:rFonts w:ascii="Arial" w:eastAsia="Times New Roman" w:hAnsi="Arial" w:cs="Arial"/>
          <w:bCs/>
          <w:sz w:val="24"/>
          <w:szCs w:val="24"/>
          <w:lang w:eastAsia="es-MX"/>
        </w:rPr>
        <w:t>2014.</w:t>
      </w:r>
    </w:p>
    <w:p w:rsidR="009C0345" w:rsidRDefault="009C0345" w:rsidP="002851D6">
      <w:pPr>
        <w:spacing w:before="240" w:after="20" w:line="360" w:lineRule="auto"/>
        <w:ind w:firstLine="283"/>
        <w:jc w:val="both"/>
        <w:rPr>
          <w:rFonts w:ascii="Arial" w:hAnsi="Arial" w:cs="Arial"/>
          <w:sz w:val="24"/>
        </w:rPr>
      </w:pPr>
      <w:r w:rsidRPr="006C36DE">
        <w:rPr>
          <w:rFonts w:ascii="Arial" w:hAnsi="Arial" w:cs="Arial"/>
          <w:sz w:val="24"/>
        </w:rPr>
        <w:t>Una vez que hemos dado cuenta de</w:t>
      </w:r>
      <w:r w:rsidR="00E033FC" w:rsidRPr="006C36DE">
        <w:rPr>
          <w:rFonts w:ascii="Arial" w:hAnsi="Arial" w:cs="Arial"/>
          <w:sz w:val="24"/>
        </w:rPr>
        <w:t>l</w:t>
      </w:r>
      <w:r w:rsidRPr="006C36DE">
        <w:rPr>
          <w:rFonts w:ascii="Arial" w:hAnsi="Arial" w:cs="Arial"/>
          <w:sz w:val="24"/>
        </w:rPr>
        <w:t xml:space="preserve"> contenido del </w:t>
      </w:r>
      <w:r w:rsidR="00A77799">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sidR="00EF3C47">
        <w:rPr>
          <w:rFonts w:ascii="Arial" w:hAnsi="Arial" w:cs="Arial"/>
          <w:sz w:val="24"/>
        </w:rPr>
        <w:t>los cuales fueron incorporados</w:t>
      </w:r>
      <w:r w:rsidR="00E033FC" w:rsidRPr="006C36DE">
        <w:rPr>
          <w:rFonts w:ascii="Arial" w:hAnsi="Arial" w:cs="Arial"/>
          <w:sz w:val="24"/>
        </w:rPr>
        <w:t xml:space="preserve"> dentro de este documento</w:t>
      </w:r>
      <w:r w:rsidR="00EF3C47">
        <w:rPr>
          <w:rFonts w:ascii="Arial" w:hAnsi="Arial" w:cs="Arial"/>
          <w:sz w:val="24"/>
        </w:rPr>
        <w:t xml:space="preserve"> y</w:t>
      </w:r>
      <w:r w:rsidR="00E033FC" w:rsidRPr="006C36DE">
        <w:rPr>
          <w:rFonts w:ascii="Arial" w:hAnsi="Arial" w:cs="Arial"/>
          <w:sz w:val="24"/>
        </w:rPr>
        <w:t xml:space="preserve"> </w:t>
      </w:r>
      <w:r w:rsidRPr="006C36DE">
        <w:rPr>
          <w:rFonts w:ascii="Arial" w:hAnsi="Arial" w:cs="Arial"/>
          <w:sz w:val="24"/>
        </w:rPr>
        <w:t xml:space="preserve">de conformidad con lo previsto en el Artículo 47, Inciso c) del Reglamento para el Gobierno Interior del Congreso del Estado de Nuevo León, los integrantes de </w:t>
      </w:r>
      <w:r w:rsidR="00EF3C47">
        <w:rPr>
          <w:rFonts w:ascii="Arial" w:hAnsi="Arial" w:cs="Arial"/>
          <w:sz w:val="24"/>
        </w:rPr>
        <w:t>esta Comisión de Hacienda del Estado</w:t>
      </w:r>
      <w:r w:rsidR="00960812">
        <w:rPr>
          <w:rFonts w:ascii="Arial" w:hAnsi="Arial" w:cs="Arial"/>
          <w:sz w:val="24"/>
        </w:rPr>
        <w:t>, consideramos que</w:t>
      </w:r>
      <w:r w:rsidRPr="006C36DE">
        <w:rPr>
          <w:rFonts w:ascii="Arial" w:hAnsi="Arial" w:cs="Arial"/>
          <w:sz w:val="24"/>
        </w:rPr>
        <w:t xml:space="preserve"> a efecto de susten</w:t>
      </w:r>
      <w:r w:rsidR="00960812">
        <w:rPr>
          <w:rFonts w:ascii="Arial" w:hAnsi="Arial" w:cs="Arial"/>
          <w:sz w:val="24"/>
        </w:rPr>
        <w:t xml:space="preserve">tar el </w:t>
      </w:r>
      <w:r w:rsidR="00960812">
        <w:rPr>
          <w:rFonts w:ascii="Arial" w:hAnsi="Arial" w:cs="Arial"/>
          <w:sz w:val="24"/>
        </w:rPr>
        <w:lastRenderedPageBreak/>
        <w:t>resolutivo que se propuesto en la parte resolutiva del presente Dictamen</w:t>
      </w:r>
      <w:r w:rsidRPr="006C36DE">
        <w:rPr>
          <w:rFonts w:ascii="Arial" w:hAnsi="Arial" w:cs="Arial"/>
          <w:sz w:val="24"/>
        </w:rPr>
        <w:t>, nos permitimos consignar</w:t>
      </w:r>
      <w:r w:rsidR="00FA27A6">
        <w:rPr>
          <w:rFonts w:ascii="Arial" w:hAnsi="Arial" w:cs="Arial"/>
          <w:sz w:val="24"/>
        </w:rPr>
        <w:t xml:space="preserve"> ante el Pleno de esta Soberanía,</w:t>
      </w:r>
      <w:r w:rsidRPr="006C36DE">
        <w:rPr>
          <w:rFonts w:ascii="Arial" w:hAnsi="Arial" w:cs="Arial"/>
          <w:sz w:val="24"/>
        </w:rPr>
        <w:t xml:space="preserve"> la</w:t>
      </w:r>
      <w:r w:rsidR="00FA27A6">
        <w:rPr>
          <w:rFonts w:ascii="Arial" w:hAnsi="Arial" w:cs="Arial"/>
          <w:sz w:val="24"/>
        </w:rPr>
        <w:t>s</w:t>
      </w:r>
      <w:r w:rsidR="00270A54">
        <w:rPr>
          <w:rFonts w:ascii="Arial" w:hAnsi="Arial" w:cs="Arial"/>
          <w:sz w:val="24"/>
        </w:rPr>
        <w:t xml:space="preserve"> siguientes</w:t>
      </w:r>
      <w:r w:rsidR="00F27097">
        <w:rPr>
          <w:rFonts w:ascii="Arial" w:hAnsi="Arial" w:cs="Arial"/>
          <w:sz w:val="24"/>
        </w:rPr>
        <w:t>:</w:t>
      </w:r>
    </w:p>
    <w:p w:rsidR="00807DB8" w:rsidRPr="00807DB8" w:rsidRDefault="00807DB8" w:rsidP="00807DB8">
      <w:pPr>
        <w:spacing w:before="240" w:after="20" w:line="360" w:lineRule="auto"/>
        <w:ind w:firstLine="708"/>
        <w:jc w:val="both"/>
        <w:rPr>
          <w:rFonts w:ascii="Arial" w:hAnsi="Arial" w:cs="Arial"/>
          <w:sz w:val="24"/>
        </w:rPr>
      </w:pPr>
    </w:p>
    <w:p w:rsidR="00FA27A6" w:rsidRPr="002851D6" w:rsidRDefault="00270A54" w:rsidP="006B2AA6">
      <w:pPr>
        <w:shd w:val="clear" w:color="auto" w:fill="FFFFFF"/>
        <w:spacing w:after="324"/>
        <w:rPr>
          <w:rFonts w:ascii="Arial" w:hAnsi="Arial" w:cs="Arial"/>
          <w:b/>
          <w:bCs/>
          <w:sz w:val="24"/>
          <w:szCs w:val="24"/>
        </w:rPr>
      </w:pPr>
      <w:r>
        <w:rPr>
          <w:rFonts w:ascii="Arial" w:hAnsi="Arial" w:cs="Arial"/>
          <w:b/>
          <w:bCs/>
          <w:sz w:val="24"/>
          <w:szCs w:val="24"/>
        </w:rPr>
        <w:t>CONSIDERACIONES</w:t>
      </w:r>
    </w:p>
    <w:p w:rsidR="00FA27A6" w:rsidRPr="00295C16" w:rsidRDefault="009C0345" w:rsidP="009A7A82">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00FA27A6">
        <w:rPr>
          <w:rFonts w:ascii="Arial" w:hAnsi="Arial" w:cs="Arial"/>
          <w:sz w:val="24"/>
          <w:szCs w:val="24"/>
        </w:rPr>
        <w:t xml:space="preserve"> de este Congreso</w:t>
      </w:r>
      <w:r w:rsidRPr="00295C16">
        <w:rPr>
          <w:rFonts w:ascii="Arial" w:hAnsi="Arial" w:cs="Arial"/>
          <w:sz w:val="24"/>
          <w:szCs w:val="24"/>
        </w:rPr>
        <w:t xml:space="preserve"> es competente para analizar el </w:t>
      </w:r>
      <w:r w:rsidR="00A77799">
        <w:rPr>
          <w:rFonts w:ascii="Arial" w:hAnsi="Arial" w:cs="Arial"/>
          <w:sz w:val="24"/>
          <w:szCs w:val="24"/>
        </w:rPr>
        <w:t>Informe del Resultado</w:t>
      </w:r>
      <w:r w:rsidR="00FA27A6">
        <w:rPr>
          <w:rFonts w:ascii="Arial" w:hAnsi="Arial" w:cs="Arial"/>
          <w:sz w:val="24"/>
          <w:szCs w:val="24"/>
        </w:rPr>
        <w:t xml:space="preserve"> de mérito, en atención a lo</w:t>
      </w:r>
      <w:r w:rsidRPr="00295C16">
        <w:rPr>
          <w:rFonts w:ascii="Arial" w:hAnsi="Arial" w:cs="Arial"/>
          <w:sz w:val="24"/>
          <w:szCs w:val="24"/>
        </w:rPr>
        <w:t xml:space="preserve"> establecido en los numerales 70, Fracción X</w:t>
      </w:r>
      <w:r w:rsidR="006C36DE">
        <w:rPr>
          <w:rFonts w:ascii="Arial" w:hAnsi="Arial" w:cs="Arial"/>
          <w:sz w:val="24"/>
          <w:szCs w:val="24"/>
        </w:rPr>
        <w:t>V</w:t>
      </w:r>
      <w:r w:rsidRPr="00295C16">
        <w:rPr>
          <w:rFonts w:ascii="Arial" w:hAnsi="Arial" w:cs="Arial"/>
          <w:sz w:val="24"/>
          <w:szCs w:val="24"/>
        </w:rPr>
        <w:t xml:space="preserve"> de la Ley Orgánica del Poder Legislativo del Estado </w:t>
      </w:r>
      <w:r w:rsidR="00FA27A6">
        <w:rPr>
          <w:rFonts w:ascii="Arial" w:hAnsi="Arial" w:cs="Arial"/>
          <w:sz w:val="24"/>
          <w:szCs w:val="24"/>
        </w:rPr>
        <w:t>de Nuevo León y 39</w:t>
      </w:r>
      <w:r w:rsidRPr="00295C16">
        <w:rPr>
          <w:rFonts w:ascii="Arial" w:hAnsi="Arial" w:cs="Arial"/>
          <w:sz w:val="24"/>
          <w:szCs w:val="24"/>
        </w:rPr>
        <w:t xml:space="preserve">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FA27A6" w:rsidRPr="00295C16" w:rsidRDefault="009C0345" w:rsidP="009A7A82">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sidR="00FA27A6">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270A54" w:rsidRPr="00DF50F5" w:rsidRDefault="00FA27A6" w:rsidP="00270A54">
      <w:pPr>
        <w:spacing w:before="240" w:line="360" w:lineRule="auto"/>
        <w:ind w:firstLine="709"/>
        <w:jc w:val="both"/>
        <w:rPr>
          <w:rFonts w:ascii="Arial" w:hAnsi="Arial" w:cs="Arial"/>
          <w:bCs/>
          <w:sz w:val="24"/>
          <w:szCs w:val="24"/>
        </w:rPr>
      </w:pPr>
      <w:r>
        <w:rPr>
          <w:rFonts w:ascii="Arial" w:hAnsi="Arial" w:cs="Arial"/>
          <w:bCs/>
          <w:sz w:val="24"/>
          <w:szCs w:val="24"/>
        </w:rPr>
        <w:t xml:space="preserve">Constatamos que el Informe del </w:t>
      </w:r>
      <w:r w:rsidR="00270A54" w:rsidRPr="00270A54">
        <w:rPr>
          <w:rFonts w:ascii="Arial" w:hAnsi="Arial" w:cs="Arial"/>
          <w:b/>
          <w:bCs/>
          <w:sz w:val="24"/>
          <w:szCs w:val="24"/>
        </w:rPr>
        <w:t>FIDEICOMISO EMPRESARIOS UNIDOS POR LA EDUCACIÓN</w:t>
      </w:r>
      <w:r w:rsidR="00DC471F">
        <w:rPr>
          <w:rFonts w:ascii="Arial" w:hAnsi="Arial" w:cs="Arial"/>
          <w:bCs/>
          <w:sz w:val="24"/>
          <w:szCs w:val="24"/>
        </w:rPr>
        <w:t xml:space="preserve"> </w:t>
      </w:r>
      <w:r w:rsidR="00270A54" w:rsidRPr="00DF50F5">
        <w:rPr>
          <w:rFonts w:ascii="Arial" w:hAnsi="Arial" w:cs="Arial"/>
          <w:bCs/>
          <w:sz w:val="24"/>
          <w:szCs w:val="24"/>
        </w:rPr>
        <w:t xml:space="preserve">contiene los comentarios generales que se estipulan en el artículo 49 y 50 de la Ley de Fiscalización Superior del Estado de Nuevo León respecto a los resultados de su gestión financiera y gasto público, y que de acuerdo al artículo 46 de dicha Ley, se le comunico al Ente las observaciones detectadas sobre las cuales en uso del derecho de audiencia comunico las aclaraciones sobre las mismas, determinando nuestro órgano técnico fiscalizador las observaciones no solventadas, comunicándonos que el ente fiscalizado se ajustó a los criterios señalados en las Leyes, presupuestos y demás disposiciones aplicables, así como al cumplimiento de los objetivos generales y metas de los programas y </w:t>
      </w:r>
      <w:r w:rsidR="00270A54" w:rsidRPr="00DF50F5">
        <w:rPr>
          <w:rFonts w:ascii="Arial" w:hAnsi="Arial" w:cs="Arial"/>
          <w:bCs/>
          <w:sz w:val="24"/>
          <w:szCs w:val="24"/>
        </w:rPr>
        <w:lastRenderedPageBreak/>
        <w:t>subprogramas aprobados, salvo lo mencionado en el apartado V del Informe del Resultado.</w:t>
      </w:r>
    </w:p>
    <w:p w:rsidR="00270A54" w:rsidRPr="00295C16" w:rsidRDefault="00270A54" w:rsidP="00270A54">
      <w:pPr>
        <w:spacing w:before="240" w:line="360" w:lineRule="auto"/>
        <w:ind w:firstLine="709"/>
        <w:jc w:val="both"/>
        <w:rPr>
          <w:rFonts w:ascii="Arial" w:hAnsi="Arial" w:cs="Arial"/>
          <w:bCs/>
          <w:sz w:val="24"/>
          <w:szCs w:val="24"/>
        </w:rPr>
      </w:pPr>
      <w:r w:rsidRPr="00DF50F5">
        <w:rPr>
          <w:rFonts w:ascii="Arial" w:hAnsi="Arial" w:cs="Arial"/>
          <w:bCs/>
          <w:sz w:val="24"/>
          <w:szCs w:val="24"/>
        </w:rPr>
        <w:t>En lo particular, conviene resaltar que en el Dictamen de Revisión que acompaña al informe de resultados, signado por el Titular de la Auditoría Superior del Estado, se indica que</w:t>
      </w:r>
      <w:r w:rsidRPr="00295C16">
        <w:rPr>
          <w:rFonts w:ascii="Arial" w:hAnsi="Arial" w:cs="Arial"/>
          <w:bCs/>
          <w:sz w:val="24"/>
          <w:szCs w:val="24"/>
        </w:rPr>
        <w:t xml:space="preserve"> </w:t>
      </w:r>
      <w:r>
        <w:rPr>
          <w:rFonts w:ascii="Arial" w:hAnsi="Arial" w:cs="Arial"/>
          <w:bCs/>
          <w:sz w:val="24"/>
          <w:szCs w:val="24"/>
        </w:rPr>
        <w:t>la información presentada en la cuenta pública es razonable.</w:t>
      </w:r>
    </w:p>
    <w:p w:rsidR="009C0345" w:rsidRPr="00295C16" w:rsidRDefault="009C0345" w:rsidP="009A7A82">
      <w:pPr>
        <w:spacing w:line="360" w:lineRule="auto"/>
        <w:ind w:firstLine="708"/>
        <w:jc w:val="both"/>
        <w:rPr>
          <w:rFonts w:ascii="Arial" w:hAnsi="Arial" w:cs="Arial"/>
          <w:sz w:val="24"/>
          <w:szCs w:val="24"/>
        </w:rPr>
      </w:pPr>
      <w:r w:rsidRPr="00295C16">
        <w:rPr>
          <w:rFonts w:ascii="Arial" w:hAnsi="Arial" w:cs="Arial"/>
          <w:b/>
          <w:bCs/>
          <w:sz w:val="24"/>
          <w:szCs w:val="24"/>
        </w:rPr>
        <w:t xml:space="preserve">TERCERA: </w:t>
      </w:r>
      <w:r w:rsidR="00270A54">
        <w:rPr>
          <w:rFonts w:ascii="Arial" w:hAnsi="Arial" w:cs="Arial"/>
          <w:sz w:val="24"/>
          <w:szCs w:val="24"/>
        </w:rPr>
        <w:t xml:space="preserve">La Auditoría nos informa también que </w:t>
      </w:r>
      <w:r w:rsidR="00270A54" w:rsidRPr="00975896">
        <w:rPr>
          <w:rFonts w:ascii="Arial" w:hAnsi="Arial" w:cs="Arial"/>
          <w:sz w:val="24"/>
          <w:szCs w:val="24"/>
        </w:rPr>
        <w:t>respecto al</w:t>
      </w:r>
      <w:r w:rsidR="00270A54">
        <w:rPr>
          <w:rFonts w:ascii="Arial" w:hAnsi="Arial" w:cs="Arial"/>
          <w:sz w:val="24"/>
          <w:szCs w:val="24"/>
        </w:rPr>
        <w:t xml:space="preserve"> trámite y resultados obtenidos, </w:t>
      </w:r>
      <w:r w:rsidR="00270A54" w:rsidRPr="00975896">
        <w:rPr>
          <w:rFonts w:ascii="Arial" w:hAnsi="Arial" w:cs="Arial"/>
          <w:sz w:val="24"/>
          <w:szCs w:val="24"/>
        </w:rPr>
        <w:t xml:space="preserve">derivados de las solicitudes formuladas </w:t>
      </w:r>
      <w:r w:rsidR="00270A54">
        <w:rPr>
          <w:rFonts w:ascii="Arial" w:hAnsi="Arial" w:cs="Arial"/>
          <w:sz w:val="24"/>
          <w:szCs w:val="24"/>
        </w:rPr>
        <w:t xml:space="preserve">que en su caso </w:t>
      </w:r>
      <w:r w:rsidR="00270A54" w:rsidRPr="00975896">
        <w:rPr>
          <w:rFonts w:ascii="Arial" w:hAnsi="Arial" w:cs="Arial"/>
          <w:sz w:val="24"/>
          <w:szCs w:val="24"/>
        </w:rPr>
        <w:t>el Congreso del Estado</w:t>
      </w:r>
      <w:r w:rsidR="00270A54">
        <w:rPr>
          <w:rFonts w:ascii="Arial" w:hAnsi="Arial" w:cs="Arial"/>
          <w:sz w:val="24"/>
          <w:szCs w:val="24"/>
        </w:rPr>
        <w:t xml:space="preserve"> considerara necesarias solicitar para ser atendidas en el proceso de auditoría que se realizó al Fideicomiso, es de destacar que no se presentaron diligencias al respecto.  </w:t>
      </w:r>
    </w:p>
    <w:p w:rsidR="00745B59" w:rsidRDefault="00AE1EF7" w:rsidP="009A7A82">
      <w:pPr>
        <w:spacing w:before="240" w:line="360" w:lineRule="auto"/>
        <w:ind w:firstLine="709"/>
        <w:jc w:val="both"/>
        <w:rPr>
          <w:rFonts w:ascii="Arial" w:hAnsi="Arial" w:cs="Arial"/>
          <w:sz w:val="24"/>
        </w:rPr>
      </w:pPr>
      <w:r w:rsidRPr="00295C16">
        <w:rPr>
          <w:rFonts w:ascii="Arial" w:hAnsi="Arial" w:cs="Arial"/>
          <w:b/>
          <w:bCs/>
          <w:sz w:val="24"/>
          <w:szCs w:val="24"/>
        </w:rPr>
        <w:t xml:space="preserve">CUARTA: </w:t>
      </w:r>
      <w:r w:rsidR="00270A54" w:rsidRPr="007F5756">
        <w:rPr>
          <w:rFonts w:ascii="Arial" w:hAnsi="Arial" w:cs="Arial"/>
          <w:sz w:val="24"/>
          <w:szCs w:val="24"/>
        </w:rPr>
        <w:t>Adicionalmente</w:t>
      </w:r>
      <w:r w:rsidR="00270A54">
        <w:rPr>
          <w:rFonts w:ascii="Arial" w:hAnsi="Arial" w:cs="Arial"/>
          <w:sz w:val="24"/>
          <w:szCs w:val="24"/>
        </w:rPr>
        <w:t>,</w:t>
      </w:r>
      <w:r w:rsidR="00270A54" w:rsidRPr="007F5756">
        <w:rPr>
          <w:rFonts w:ascii="Arial" w:hAnsi="Arial" w:cs="Arial"/>
          <w:sz w:val="24"/>
          <w:szCs w:val="24"/>
        </w:rPr>
        <w:t xml:space="preserve"> se nos informa que durante </w:t>
      </w:r>
      <w:r w:rsidR="003F65E1">
        <w:rPr>
          <w:rFonts w:ascii="Arial" w:hAnsi="Arial" w:cs="Arial"/>
          <w:sz w:val="24"/>
          <w:szCs w:val="24"/>
        </w:rPr>
        <w:t>el ejercicio 2015</w:t>
      </w:r>
      <w:r w:rsidR="00270A54">
        <w:rPr>
          <w:rFonts w:ascii="Arial" w:hAnsi="Arial" w:cs="Arial"/>
          <w:sz w:val="24"/>
          <w:szCs w:val="24"/>
        </w:rPr>
        <w:t xml:space="preserve">, </w:t>
      </w:r>
      <w:r w:rsidR="00270A54" w:rsidRPr="007F5756">
        <w:rPr>
          <w:rFonts w:ascii="Arial" w:hAnsi="Arial" w:cs="Arial"/>
          <w:sz w:val="24"/>
          <w:szCs w:val="24"/>
        </w:rPr>
        <w:t>no se recibieron solicitudes de revisión de situaciones excepcionales en relación a la cuenta pública</w:t>
      </w:r>
      <w:r w:rsidR="003F65E1">
        <w:rPr>
          <w:rFonts w:ascii="Arial" w:hAnsi="Arial" w:cs="Arial"/>
          <w:sz w:val="24"/>
          <w:szCs w:val="24"/>
        </w:rPr>
        <w:t xml:space="preserve"> del Fideicomiso</w:t>
      </w:r>
      <w:r w:rsidR="00270A54" w:rsidRPr="007F5756">
        <w:rPr>
          <w:rFonts w:ascii="Arial" w:hAnsi="Arial" w:cs="Arial"/>
          <w:sz w:val="24"/>
          <w:szCs w:val="24"/>
        </w:rPr>
        <w:t xml:space="preserve"> </w:t>
      </w:r>
      <w:r w:rsidR="00270A54">
        <w:rPr>
          <w:rFonts w:ascii="Arial" w:hAnsi="Arial" w:cs="Arial"/>
          <w:sz w:val="24"/>
          <w:szCs w:val="24"/>
        </w:rPr>
        <w:t>auditado.</w:t>
      </w:r>
    </w:p>
    <w:p w:rsidR="00975896" w:rsidRPr="00975896" w:rsidRDefault="00E72928" w:rsidP="003F65E1">
      <w:pPr>
        <w:spacing w:after="0" w:line="360" w:lineRule="auto"/>
        <w:ind w:firstLine="708"/>
        <w:jc w:val="both"/>
        <w:rPr>
          <w:rFonts w:ascii="Arial" w:hAnsi="Arial" w:cs="Arial"/>
          <w:sz w:val="24"/>
          <w:szCs w:val="24"/>
        </w:rPr>
      </w:pPr>
      <w:r>
        <w:rPr>
          <w:rFonts w:ascii="Arial" w:hAnsi="Arial" w:cs="Arial"/>
          <w:b/>
          <w:sz w:val="24"/>
          <w:szCs w:val="24"/>
        </w:rPr>
        <w:t>QUINTA</w:t>
      </w:r>
      <w:r w:rsidR="00975896" w:rsidRPr="00975896">
        <w:rPr>
          <w:rFonts w:ascii="Arial" w:hAnsi="Arial" w:cs="Arial"/>
          <w:b/>
          <w:sz w:val="24"/>
          <w:szCs w:val="24"/>
        </w:rPr>
        <w:t>:</w:t>
      </w:r>
      <w:r w:rsidR="00975896" w:rsidRPr="00975896">
        <w:rPr>
          <w:rFonts w:ascii="Arial" w:hAnsi="Arial" w:cs="Arial"/>
          <w:sz w:val="24"/>
          <w:szCs w:val="24"/>
        </w:rPr>
        <w:t xml:space="preserve"> </w:t>
      </w:r>
      <w:r w:rsidR="00270A54">
        <w:rPr>
          <w:rFonts w:ascii="Arial" w:hAnsi="Arial" w:cs="Arial"/>
          <w:sz w:val="24"/>
          <w:szCs w:val="24"/>
        </w:rPr>
        <w:t xml:space="preserve">Relativo a la </w:t>
      </w:r>
      <w:r w:rsidR="003F65E1">
        <w:rPr>
          <w:rFonts w:ascii="Arial" w:hAnsi="Arial" w:cs="Arial"/>
          <w:sz w:val="24"/>
          <w:szCs w:val="24"/>
        </w:rPr>
        <w:t>s</w:t>
      </w:r>
      <w:r w:rsidR="003F65E1" w:rsidRPr="00270A54">
        <w:rPr>
          <w:rFonts w:ascii="Arial" w:hAnsi="Arial" w:cs="Arial"/>
          <w:sz w:val="24"/>
          <w:szCs w:val="24"/>
        </w:rPr>
        <w:t>ituación</w:t>
      </w:r>
      <w:r w:rsidR="00270A54" w:rsidRPr="00270A54">
        <w:rPr>
          <w:rFonts w:ascii="Arial" w:hAnsi="Arial" w:cs="Arial"/>
          <w:sz w:val="24"/>
          <w:szCs w:val="24"/>
        </w:rPr>
        <w:t xml:space="preserve"> que guardan las observaciones, recomendaciones y acciones promovidas, respecto de las Cuentas Públic</w:t>
      </w:r>
      <w:r w:rsidR="003F65E1">
        <w:rPr>
          <w:rFonts w:ascii="Arial" w:hAnsi="Arial" w:cs="Arial"/>
          <w:sz w:val="24"/>
          <w:szCs w:val="24"/>
        </w:rPr>
        <w:t xml:space="preserve">as de los ejercicios anteriores. </w:t>
      </w:r>
      <w:r w:rsidR="003F65E1">
        <w:rPr>
          <w:rFonts w:ascii="Arial" w:eastAsia="Times New Roman" w:hAnsi="Arial" w:cs="Arial"/>
          <w:bCs/>
          <w:sz w:val="24"/>
          <w:szCs w:val="24"/>
          <w:lang w:eastAsia="es-MX"/>
        </w:rPr>
        <w:t xml:space="preserve">Se informa que </w:t>
      </w:r>
      <w:r w:rsidR="006B2AA6">
        <w:rPr>
          <w:rFonts w:ascii="Arial" w:eastAsia="Times New Roman" w:hAnsi="Arial" w:cs="Arial"/>
          <w:bCs/>
          <w:sz w:val="24"/>
          <w:szCs w:val="24"/>
          <w:lang w:eastAsia="es-MX"/>
        </w:rPr>
        <w:t>existen dos</w:t>
      </w:r>
      <w:r w:rsidR="003F65E1">
        <w:rPr>
          <w:rFonts w:ascii="Arial" w:eastAsia="Times New Roman" w:hAnsi="Arial" w:cs="Arial"/>
          <w:bCs/>
          <w:sz w:val="24"/>
          <w:szCs w:val="24"/>
          <w:lang w:eastAsia="es-MX"/>
        </w:rPr>
        <w:t xml:space="preserve"> promocio</w:t>
      </w:r>
      <w:r w:rsidR="003F65E1" w:rsidRPr="002851D6">
        <w:rPr>
          <w:rFonts w:ascii="Arial" w:eastAsia="Times New Roman" w:hAnsi="Arial" w:cs="Arial"/>
          <w:bCs/>
          <w:sz w:val="24"/>
          <w:szCs w:val="24"/>
          <w:lang w:eastAsia="es-MX"/>
        </w:rPr>
        <w:t>n</w:t>
      </w:r>
      <w:r w:rsidR="003F65E1">
        <w:rPr>
          <w:rFonts w:ascii="Arial" w:eastAsia="Times New Roman" w:hAnsi="Arial" w:cs="Arial"/>
          <w:bCs/>
          <w:sz w:val="24"/>
          <w:szCs w:val="24"/>
          <w:lang w:eastAsia="es-MX"/>
        </w:rPr>
        <w:t>es del</w:t>
      </w:r>
      <w:r w:rsidR="003F65E1" w:rsidRPr="002851D6">
        <w:rPr>
          <w:rFonts w:ascii="Arial" w:eastAsia="Times New Roman" w:hAnsi="Arial" w:cs="Arial"/>
          <w:bCs/>
          <w:sz w:val="24"/>
          <w:szCs w:val="24"/>
          <w:lang w:eastAsia="es-MX"/>
        </w:rPr>
        <w:t xml:space="preserve"> Fincamiento de Responsabilidad Administrativa (PFRA)</w:t>
      </w:r>
      <w:r w:rsidR="006B2AA6">
        <w:rPr>
          <w:rFonts w:ascii="Arial" w:eastAsia="Times New Roman" w:hAnsi="Arial" w:cs="Arial"/>
          <w:bCs/>
          <w:sz w:val="24"/>
          <w:szCs w:val="24"/>
          <w:lang w:eastAsia="es-MX"/>
        </w:rPr>
        <w:t xml:space="preserve"> pendiente en trámite correspondientes al</w:t>
      </w:r>
      <w:r w:rsidR="003F65E1">
        <w:rPr>
          <w:rFonts w:ascii="Arial" w:eastAsia="Times New Roman" w:hAnsi="Arial" w:cs="Arial"/>
          <w:bCs/>
          <w:sz w:val="24"/>
          <w:szCs w:val="24"/>
          <w:lang w:eastAsia="es-MX"/>
        </w:rPr>
        <w:t xml:space="preserve"> ejercicio </w:t>
      </w:r>
      <w:r w:rsidR="006B2AA6">
        <w:rPr>
          <w:rFonts w:ascii="Arial" w:eastAsia="Times New Roman" w:hAnsi="Arial" w:cs="Arial"/>
          <w:bCs/>
          <w:sz w:val="24"/>
          <w:szCs w:val="24"/>
          <w:lang w:eastAsia="es-MX"/>
        </w:rPr>
        <w:t xml:space="preserve">fiscal </w:t>
      </w:r>
      <w:r w:rsidR="003F65E1">
        <w:rPr>
          <w:rFonts w:ascii="Arial" w:eastAsia="Times New Roman" w:hAnsi="Arial" w:cs="Arial"/>
          <w:bCs/>
          <w:sz w:val="24"/>
          <w:szCs w:val="24"/>
          <w:lang w:eastAsia="es-MX"/>
        </w:rPr>
        <w:t>2014.</w:t>
      </w:r>
    </w:p>
    <w:p w:rsidR="00975896" w:rsidRPr="00EB01DD" w:rsidRDefault="00975896" w:rsidP="009A7A82">
      <w:pPr>
        <w:spacing w:after="0" w:line="360" w:lineRule="auto"/>
        <w:ind w:left="708" w:firstLine="708"/>
        <w:jc w:val="both"/>
        <w:rPr>
          <w:rFonts w:ascii="Arial" w:hAnsi="Arial" w:cs="Arial"/>
        </w:rPr>
      </w:pPr>
    </w:p>
    <w:p w:rsidR="00807DB8" w:rsidRDefault="00975896" w:rsidP="00270A54">
      <w:pPr>
        <w:autoSpaceDE w:val="0"/>
        <w:autoSpaceDN w:val="0"/>
        <w:adjustRightInd w:val="0"/>
        <w:spacing w:after="0" w:line="360" w:lineRule="auto"/>
        <w:ind w:firstLine="708"/>
        <w:jc w:val="both"/>
        <w:rPr>
          <w:rFonts w:ascii="Arial" w:hAnsi="Arial" w:cs="Arial"/>
          <w:sz w:val="24"/>
          <w:szCs w:val="24"/>
        </w:rPr>
      </w:pPr>
      <w:r w:rsidRPr="00E72928">
        <w:rPr>
          <w:rFonts w:ascii="Arial" w:hAnsi="Arial" w:cs="Arial"/>
          <w:b/>
          <w:sz w:val="24"/>
          <w:szCs w:val="24"/>
        </w:rPr>
        <w:t>SEXTA:</w:t>
      </w:r>
      <w:r w:rsidRPr="00EB01DD">
        <w:rPr>
          <w:rFonts w:ascii="Arial" w:hAnsi="Arial" w:cs="Arial"/>
          <w:b/>
        </w:rPr>
        <w:t xml:space="preserve"> </w:t>
      </w:r>
      <w:r w:rsidRPr="00975896">
        <w:rPr>
          <w:rFonts w:ascii="Arial" w:hAnsi="Arial" w:cs="Arial"/>
          <w:sz w:val="24"/>
          <w:szCs w:val="24"/>
        </w:rPr>
        <w:t xml:space="preserve">Ahora bien, queda por resolver sobre la aprobación o rechazo de la cuenta que nos ocupa, a cuyo efecto debemos considerar, en su caso, si las irregularidades detectadas durante la revisión rompen con la </w:t>
      </w:r>
      <w:r w:rsidRPr="00975896">
        <w:rPr>
          <w:rFonts w:ascii="Arial" w:hAnsi="Arial" w:cs="Arial"/>
          <w:sz w:val="24"/>
          <w:szCs w:val="24"/>
        </w:rPr>
        <w:lastRenderedPageBreak/>
        <w:t>razonabilidad que exige el manejo, custodia y aplicación de los ingresos, egresos, fondos y en g</w:t>
      </w:r>
      <w:r w:rsidR="00E72928">
        <w:rPr>
          <w:rFonts w:ascii="Arial" w:hAnsi="Arial" w:cs="Arial"/>
          <w:sz w:val="24"/>
          <w:szCs w:val="24"/>
        </w:rPr>
        <w:t>eneral de los recursos públicos ejercidos,</w:t>
      </w:r>
      <w:r w:rsidRPr="00975896">
        <w:rPr>
          <w:rFonts w:ascii="Arial" w:hAnsi="Arial" w:cs="Arial"/>
          <w:sz w:val="24"/>
          <w:szCs w:val="24"/>
        </w:rPr>
        <w:t xml:space="preserve"> así como el cumplimiento de los programa</w:t>
      </w:r>
      <w:r w:rsidR="00E72928">
        <w:rPr>
          <w:rFonts w:ascii="Arial" w:hAnsi="Arial" w:cs="Arial"/>
          <w:sz w:val="24"/>
          <w:szCs w:val="24"/>
        </w:rPr>
        <w:t>s propios de la Administración P</w:t>
      </w:r>
      <w:r w:rsidRPr="00975896">
        <w:rPr>
          <w:rFonts w:ascii="Arial" w:hAnsi="Arial" w:cs="Arial"/>
          <w:sz w:val="24"/>
          <w:szCs w:val="24"/>
        </w:rPr>
        <w:t>ública</w:t>
      </w:r>
      <w:r w:rsidR="008A287D">
        <w:rPr>
          <w:rFonts w:ascii="Arial" w:hAnsi="Arial" w:cs="Arial"/>
          <w:sz w:val="24"/>
          <w:szCs w:val="24"/>
        </w:rPr>
        <w:t xml:space="preserve"> y de la normativa que le es aplicable </w:t>
      </w:r>
      <w:r w:rsidR="00E72928">
        <w:rPr>
          <w:rFonts w:ascii="Arial" w:hAnsi="Arial" w:cs="Arial"/>
          <w:bCs/>
          <w:sz w:val="24"/>
          <w:szCs w:val="24"/>
        </w:rPr>
        <w:t xml:space="preserve">al </w:t>
      </w:r>
      <w:r w:rsidR="00270A54">
        <w:rPr>
          <w:rFonts w:ascii="Arial" w:hAnsi="Arial" w:cs="Arial"/>
          <w:b/>
          <w:bCs/>
          <w:sz w:val="24"/>
          <w:szCs w:val="24"/>
        </w:rPr>
        <w:t>FIDEICOMISO EMPRESARIOS UNIDOS POR LA EDUCACIÓN</w:t>
      </w:r>
      <w:r w:rsidR="00DC471F">
        <w:rPr>
          <w:rFonts w:ascii="Arial" w:hAnsi="Arial" w:cs="Arial"/>
          <w:b/>
          <w:bCs/>
          <w:sz w:val="24"/>
          <w:szCs w:val="24"/>
        </w:rPr>
        <w:t>.</w:t>
      </w:r>
    </w:p>
    <w:p w:rsidR="00807DB8" w:rsidRDefault="00807DB8" w:rsidP="00807DB8">
      <w:pPr>
        <w:spacing w:after="0" w:line="360" w:lineRule="auto"/>
        <w:ind w:firstLine="708"/>
        <w:jc w:val="both"/>
        <w:rPr>
          <w:rFonts w:ascii="Arial" w:hAnsi="Arial" w:cs="Arial"/>
          <w:sz w:val="24"/>
          <w:szCs w:val="24"/>
        </w:rPr>
      </w:pPr>
    </w:p>
    <w:p w:rsidR="00270A54" w:rsidRDefault="00270A54" w:rsidP="00270A54">
      <w:pPr>
        <w:spacing w:after="0" w:line="360" w:lineRule="auto"/>
        <w:ind w:firstLine="708"/>
        <w:jc w:val="both"/>
        <w:rPr>
          <w:rFonts w:ascii="Arial" w:hAnsi="Arial" w:cs="Arial"/>
          <w:sz w:val="24"/>
          <w:szCs w:val="24"/>
        </w:rPr>
      </w:pPr>
      <w:r w:rsidRPr="00DF50F5">
        <w:rPr>
          <w:rFonts w:ascii="Arial" w:hAnsi="Arial" w:cs="Arial"/>
          <w:sz w:val="24"/>
          <w:szCs w:val="24"/>
        </w:rPr>
        <w:t xml:space="preserve">Dado lo anterior, es de estimarse que al </w:t>
      </w:r>
      <w:r w:rsidRPr="00295B85">
        <w:rPr>
          <w:rFonts w:ascii="Arial" w:hAnsi="Arial" w:cs="Arial"/>
          <w:sz w:val="24"/>
          <w:szCs w:val="24"/>
        </w:rPr>
        <w:t>no existir</w:t>
      </w:r>
      <w:r w:rsidRPr="00DF50F5">
        <w:rPr>
          <w:rFonts w:ascii="Arial" w:hAnsi="Arial" w:cs="Arial"/>
          <w:sz w:val="24"/>
          <w:szCs w:val="24"/>
        </w:rPr>
        <w:t xml:space="preserve"> en el informe de resultados en estudio observaciones</w:t>
      </w:r>
      <w:r>
        <w:rPr>
          <w:rFonts w:ascii="Arial" w:hAnsi="Arial" w:cs="Arial"/>
          <w:sz w:val="24"/>
          <w:szCs w:val="24"/>
        </w:rPr>
        <w:t xml:space="preserve"> que causen afectación al patrimonio del ente y teniendo que ninguna de las señaladas puede tenerse como </w:t>
      </w:r>
      <w:r w:rsidRPr="00DF50F5">
        <w:rPr>
          <w:rFonts w:ascii="Arial" w:hAnsi="Arial" w:cs="Arial"/>
          <w:sz w:val="24"/>
          <w:szCs w:val="24"/>
        </w:rPr>
        <w:t>causa para considerar que la generalidad de la actuación del ente revisado</w:t>
      </w:r>
      <w:r>
        <w:rPr>
          <w:rFonts w:ascii="Arial" w:hAnsi="Arial" w:cs="Arial"/>
          <w:sz w:val="24"/>
          <w:szCs w:val="24"/>
        </w:rPr>
        <w:t xml:space="preserve"> deba estimarse como deficiente</w:t>
      </w:r>
      <w:r w:rsidRPr="00DF50F5">
        <w:rPr>
          <w:rFonts w:ascii="Arial" w:hAnsi="Arial" w:cs="Arial"/>
          <w:sz w:val="24"/>
          <w:szCs w:val="24"/>
        </w:rPr>
        <w:t xml:space="preserve">, </w:t>
      </w:r>
      <w:r w:rsidRPr="00295B85">
        <w:rPr>
          <w:rFonts w:ascii="Arial" w:hAnsi="Arial" w:cs="Arial"/>
          <w:sz w:val="24"/>
          <w:szCs w:val="24"/>
        </w:rPr>
        <w:t>la entidad revisada es acreedora a una manifestación de aprobación de parte de este Poder Legislativo</w:t>
      </w:r>
      <w:r w:rsidRPr="00DF50F5">
        <w:rPr>
          <w:rFonts w:ascii="Arial" w:hAnsi="Arial" w:cs="Arial"/>
          <w:sz w:val="24"/>
          <w:szCs w:val="24"/>
        </w:rPr>
        <w:t xml:space="preserve"> respecto a su Cuenta Pública para el ejercic</w:t>
      </w:r>
      <w:r w:rsidR="003F65E1">
        <w:rPr>
          <w:rFonts w:ascii="Arial" w:hAnsi="Arial" w:cs="Arial"/>
          <w:sz w:val="24"/>
          <w:szCs w:val="24"/>
        </w:rPr>
        <w:t>io fiscal 2015</w:t>
      </w:r>
      <w:r w:rsidRPr="00DF50F5">
        <w:rPr>
          <w:rFonts w:ascii="Arial" w:hAnsi="Arial" w:cs="Arial"/>
          <w:sz w:val="24"/>
          <w:szCs w:val="24"/>
        </w:rPr>
        <w:t>.</w:t>
      </w:r>
    </w:p>
    <w:p w:rsidR="00270A54" w:rsidRPr="00DF50F5" w:rsidRDefault="00270A54" w:rsidP="00270A54">
      <w:pPr>
        <w:spacing w:after="0" w:line="360" w:lineRule="auto"/>
        <w:ind w:firstLine="708"/>
        <w:jc w:val="both"/>
        <w:rPr>
          <w:rFonts w:ascii="Arial" w:hAnsi="Arial" w:cs="Arial"/>
          <w:sz w:val="24"/>
          <w:szCs w:val="24"/>
        </w:rPr>
      </w:pPr>
    </w:p>
    <w:p w:rsidR="00270A54" w:rsidRPr="00DF50F5" w:rsidRDefault="00270A54" w:rsidP="00270A54">
      <w:pPr>
        <w:spacing w:after="0" w:line="360" w:lineRule="auto"/>
        <w:ind w:firstLine="708"/>
        <w:jc w:val="both"/>
        <w:rPr>
          <w:rFonts w:ascii="Arial" w:hAnsi="Arial" w:cs="Arial"/>
          <w:sz w:val="24"/>
          <w:szCs w:val="24"/>
        </w:rPr>
      </w:pPr>
      <w:r w:rsidRPr="00DF50F5">
        <w:rPr>
          <w:rFonts w:ascii="Arial" w:hAnsi="Arial" w:cs="Arial"/>
          <w:sz w:val="24"/>
          <w:szCs w:val="24"/>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975896" w:rsidRDefault="00975896" w:rsidP="009A7A82">
      <w:pPr>
        <w:spacing w:before="240" w:line="360" w:lineRule="auto"/>
        <w:ind w:firstLine="709"/>
        <w:jc w:val="both"/>
        <w:rPr>
          <w:rFonts w:ascii="Arial" w:hAnsi="Arial" w:cs="Arial"/>
          <w:sz w:val="24"/>
          <w:szCs w:val="24"/>
        </w:rPr>
      </w:pPr>
      <w:r w:rsidRPr="00975896">
        <w:rPr>
          <w:rFonts w:ascii="Arial" w:hAnsi="Arial" w:cs="Arial"/>
          <w:sz w:val="24"/>
          <w:szCs w:val="24"/>
        </w:rPr>
        <w:t>Por</w:t>
      </w:r>
      <w:r w:rsidR="007E6300">
        <w:rPr>
          <w:rFonts w:ascii="Arial" w:hAnsi="Arial" w:cs="Arial"/>
          <w:sz w:val="24"/>
          <w:szCs w:val="24"/>
        </w:rPr>
        <w:t xml:space="preserve"> ello, sometemos a la consideración del Pleno de esta Asamblea Legislativa el siguiente proyecto de:</w:t>
      </w:r>
    </w:p>
    <w:p w:rsidR="00975896" w:rsidRDefault="007E6300" w:rsidP="00270A54">
      <w:pPr>
        <w:pStyle w:val="Prrafodelista"/>
        <w:spacing w:before="240" w:line="360" w:lineRule="auto"/>
        <w:ind w:left="0"/>
        <w:jc w:val="center"/>
        <w:rPr>
          <w:rFonts w:ascii="Arial" w:hAnsi="Arial" w:cs="Arial"/>
          <w:b/>
          <w:sz w:val="24"/>
          <w:szCs w:val="24"/>
        </w:rPr>
      </w:pPr>
      <w:r>
        <w:rPr>
          <w:rFonts w:ascii="Arial" w:hAnsi="Arial" w:cs="Arial"/>
          <w:b/>
          <w:sz w:val="24"/>
          <w:szCs w:val="24"/>
        </w:rPr>
        <w:t>A C U E R D O</w:t>
      </w:r>
    </w:p>
    <w:p w:rsidR="006C2B1B" w:rsidRDefault="007E6300" w:rsidP="006C2B1B">
      <w:pPr>
        <w:spacing w:after="0" w:line="360" w:lineRule="auto"/>
        <w:ind w:firstLine="708"/>
        <w:jc w:val="both"/>
        <w:rPr>
          <w:rFonts w:ascii="Arial" w:hAnsi="Arial" w:cs="Arial"/>
          <w:sz w:val="24"/>
          <w:szCs w:val="24"/>
        </w:rPr>
      </w:pPr>
      <w:r>
        <w:rPr>
          <w:rFonts w:ascii="Arial" w:hAnsi="Arial" w:cs="Arial"/>
          <w:b/>
          <w:bCs/>
          <w:sz w:val="24"/>
          <w:szCs w:val="24"/>
        </w:rPr>
        <w:lastRenderedPageBreak/>
        <w:t xml:space="preserve">PRIMERO.- </w:t>
      </w:r>
      <w:r>
        <w:rPr>
          <w:rFonts w:ascii="Arial" w:hAnsi="Arial" w:cs="Arial"/>
          <w:bCs/>
          <w:sz w:val="24"/>
          <w:szCs w:val="24"/>
        </w:rPr>
        <w:t xml:space="preserve">Se tiene por recibido y analizado en tiempo y forma el </w:t>
      </w:r>
      <w:r w:rsidR="00A77799">
        <w:rPr>
          <w:rFonts w:ascii="Arial" w:hAnsi="Arial" w:cs="Arial"/>
          <w:bCs/>
          <w:sz w:val="24"/>
          <w:szCs w:val="24"/>
        </w:rPr>
        <w:t>Informe del Resultado</w:t>
      </w:r>
      <w:r w:rsidR="000C624C" w:rsidRPr="000C624C">
        <w:rPr>
          <w:rFonts w:ascii="Arial" w:hAnsi="Arial" w:cs="Arial"/>
          <w:bCs/>
          <w:sz w:val="24"/>
          <w:szCs w:val="24"/>
        </w:rPr>
        <w:t xml:space="preserve"> </w:t>
      </w:r>
      <w:r w:rsidR="000C624C">
        <w:rPr>
          <w:rFonts w:ascii="Arial" w:hAnsi="Arial" w:cs="Arial"/>
          <w:bCs/>
          <w:sz w:val="24"/>
          <w:szCs w:val="24"/>
        </w:rPr>
        <w:t>de la revisión</w:t>
      </w:r>
      <w:r w:rsidR="003F65E1">
        <w:rPr>
          <w:rFonts w:ascii="Arial" w:hAnsi="Arial" w:cs="Arial"/>
          <w:bCs/>
          <w:sz w:val="24"/>
          <w:szCs w:val="24"/>
        </w:rPr>
        <w:t xml:space="preserve"> de la Cuenta Pública 2015</w:t>
      </w:r>
      <w:r>
        <w:rPr>
          <w:rFonts w:ascii="Arial" w:hAnsi="Arial" w:cs="Arial"/>
          <w:bCs/>
          <w:sz w:val="24"/>
          <w:szCs w:val="24"/>
        </w:rPr>
        <w:t xml:space="preserve">, del </w:t>
      </w:r>
      <w:r w:rsidR="006C2B1B">
        <w:rPr>
          <w:rFonts w:ascii="Arial" w:hAnsi="Arial" w:cs="Arial"/>
          <w:b/>
          <w:bCs/>
          <w:sz w:val="24"/>
          <w:szCs w:val="24"/>
        </w:rPr>
        <w:t xml:space="preserve">FIDEICOMISO </w:t>
      </w:r>
      <w:r w:rsidR="00DC471F">
        <w:rPr>
          <w:rFonts w:ascii="Arial" w:hAnsi="Arial" w:cs="Arial"/>
          <w:b/>
          <w:bCs/>
          <w:sz w:val="24"/>
          <w:szCs w:val="24"/>
        </w:rPr>
        <w:t>EMPRESARIOS UNIDOS POR LA EDUCACIÓN</w:t>
      </w:r>
      <w:r w:rsidR="006C2B1B">
        <w:rPr>
          <w:rFonts w:ascii="Arial" w:hAnsi="Arial" w:cs="Arial"/>
          <w:b/>
          <w:bCs/>
          <w:sz w:val="24"/>
          <w:szCs w:val="24"/>
        </w:rPr>
        <w:t>.</w:t>
      </w:r>
      <w:r w:rsidR="006C2B1B">
        <w:rPr>
          <w:rFonts w:ascii="Arial" w:hAnsi="Arial" w:cs="Arial"/>
          <w:sz w:val="24"/>
          <w:szCs w:val="24"/>
        </w:rPr>
        <w:t xml:space="preserve"> </w:t>
      </w:r>
    </w:p>
    <w:p w:rsidR="00E82188" w:rsidRDefault="00E82188" w:rsidP="009A7A82">
      <w:pPr>
        <w:spacing w:line="360" w:lineRule="auto"/>
        <w:ind w:firstLine="709"/>
        <w:jc w:val="both"/>
        <w:rPr>
          <w:rFonts w:ascii="Arial" w:hAnsi="Arial" w:cs="Arial"/>
          <w:b/>
          <w:bCs/>
          <w:sz w:val="24"/>
          <w:szCs w:val="24"/>
        </w:rPr>
      </w:pPr>
    </w:p>
    <w:p w:rsidR="00270A54" w:rsidRDefault="007E6300" w:rsidP="00270A54">
      <w:pPr>
        <w:spacing w:after="0" w:line="360" w:lineRule="auto"/>
        <w:ind w:firstLine="708"/>
        <w:jc w:val="both"/>
        <w:rPr>
          <w:rFonts w:ascii="Arial" w:hAnsi="Arial" w:cs="Arial"/>
          <w:bCs/>
          <w:sz w:val="24"/>
          <w:szCs w:val="24"/>
        </w:rPr>
      </w:pPr>
      <w:r>
        <w:rPr>
          <w:rFonts w:ascii="Arial" w:hAnsi="Arial" w:cs="Arial"/>
          <w:b/>
          <w:bCs/>
          <w:sz w:val="24"/>
          <w:szCs w:val="24"/>
        </w:rPr>
        <w:t>SEGUNDO.-</w:t>
      </w:r>
      <w:r>
        <w:rPr>
          <w:rFonts w:ascii="Arial" w:hAnsi="Arial" w:cs="Arial"/>
          <w:bCs/>
          <w:sz w:val="24"/>
          <w:szCs w:val="24"/>
        </w:rPr>
        <w:t xml:space="preserve"> </w:t>
      </w:r>
      <w:r w:rsidR="00270A54" w:rsidRPr="006D048F">
        <w:rPr>
          <w:rFonts w:ascii="Arial" w:hAnsi="Arial" w:cs="Arial"/>
          <w:bCs/>
          <w:sz w:val="24"/>
          <w:szCs w:val="24"/>
          <w:lang w:val="es-MX"/>
        </w:rPr>
        <w:t>Tras el análisis del contenido del Informe de Resultados que no</w:t>
      </w:r>
      <w:r w:rsidR="003F65E1">
        <w:rPr>
          <w:rFonts w:ascii="Arial" w:hAnsi="Arial" w:cs="Arial"/>
          <w:bCs/>
          <w:sz w:val="24"/>
          <w:szCs w:val="24"/>
          <w:lang w:val="es-MX"/>
        </w:rPr>
        <w:t>s ocupa, se tiene por conocida la observación derivada</w:t>
      </w:r>
      <w:r w:rsidR="00270A54" w:rsidRPr="006D048F">
        <w:rPr>
          <w:rFonts w:ascii="Arial" w:hAnsi="Arial" w:cs="Arial"/>
          <w:bCs/>
          <w:sz w:val="24"/>
          <w:szCs w:val="24"/>
          <w:lang w:val="es-MX"/>
        </w:rPr>
        <w:t xml:space="preserve"> de la revisión practicada por la Auditoría Superior del Estado, </w:t>
      </w:r>
      <w:r w:rsidR="003F65E1">
        <w:rPr>
          <w:rFonts w:ascii="Arial" w:hAnsi="Arial" w:cs="Arial"/>
          <w:bCs/>
          <w:sz w:val="24"/>
          <w:szCs w:val="24"/>
          <w:lang w:val="es-MX"/>
        </w:rPr>
        <w:t>señalada con el</w:t>
      </w:r>
      <w:r w:rsidR="00270A54">
        <w:rPr>
          <w:rFonts w:ascii="Arial" w:hAnsi="Arial" w:cs="Arial"/>
          <w:bCs/>
          <w:sz w:val="24"/>
          <w:szCs w:val="24"/>
          <w:lang w:val="es-MX"/>
        </w:rPr>
        <w:t xml:space="preserve"> n</w:t>
      </w:r>
      <w:r w:rsidR="003F65E1">
        <w:rPr>
          <w:rFonts w:ascii="Arial" w:hAnsi="Arial" w:cs="Arial"/>
          <w:bCs/>
          <w:sz w:val="24"/>
          <w:szCs w:val="24"/>
          <w:lang w:val="es-MX"/>
        </w:rPr>
        <w:t>úmero 1 respecto de la cual</w:t>
      </w:r>
      <w:r w:rsidR="00270A54" w:rsidRPr="006D048F">
        <w:rPr>
          <w:rFonts w:ascii="Arial" w:hAnsi="Arial" w:cs="Arial"/>
          <w:bCs/>
          <w:sz w:val="24"/>
          <w:szCs w:val="24"/>
          <w:lang w:val="es-MX"/>
        </w:rPr>
        <w:t xml:space="preserve"> no se determinó emitir pliegos presuntivos de responsabilidades, ya que no se apreciaron observaciones susceptibles de generar afectación económica.</w:t>
      </w:r>
    </w:p>
    <w:p w:rsidR="00270A54" w:rsidRDefault="00270A54" w:rsidP="006C2B1B">
      <w:pPr>
        <w:spacing w:after="0" w:line="360" w:lineRule="auto"/>
        <w:ind w:firstLine="708"/>
        <w:jc w:val="both"/>
        <w:rPr>
          <w:rFonts w:ascii="Arial" w:hAnsi="Arial" w:cs="Arial"/>
          <w:bCs/>
          <w:sz w:val="24"/>
          <w:szCs w:val="24"/>
        </w:rPr>
      </w:pPr>
    </w:p>
    <w:p w:rsidR="00270A54" w:rsidRPr="00295B85" w:rsidRDefault="00270A54" w:rsidP="00270A54">
      <w:pPr>
        <w:spacing w:line="360" w:lineRule="auto"/>
        <w:ind w:firstLine="708"/>
        <w:jc w:val="both"/>
        <w:rPr>
          <w:rFonts w:ascii="Arial" w:hAnsi="Arial" w:cs="Arial"/>
          <w:bCs/>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Atendiendo a las c</w:t>
      </w:r>
      <w:r w:rsidR="003F65E1">
        <w:rPr>
          <w:rFonts w:ascii="Arial" w:hAnsi="Arial" w:cs="Arial"/>
          <w:bCs/>
          <w:sz w:val="24"/>
          <w:szCs w:val="24"/>
          <w:lang w:val="es-MX"/>
        </w:rPr>
        <w:t xml:space="preserve">aracterísticas y alcance de la </w:t>
      </w:r>
      <w:r w:rsidR="00F278ED">
        <w:rPr>
          <w:rFonts w:ascii="Arial" w:hAnsi="Arial" w:cs="Arial"/>
          <w:bCs/>
          <w:sz w:val="24"/>
          <w:szCs w:val="24"/>
          <w:lang w:val="es-MX"/>
        </w:rPr>
        <w:t>observación</w:t>
      </w:r>
      <w:r w:rsidR="003F65E1">
        <w:rPr>
          <w:rFonts w:ascii="Arial" w:hAnsi="Arial" w:cs="Arial"/>
          <w:bCs/>
          <w:sz w:val="24"/>
          <w:szCs w:val="24"/>
          <w:lang w:val="es-MX"/>
        </w:rPr>
        <w:t xml:space="preserve"> señalada</w:t>
      </w:r>
      <w:r w:rsidRPr="00190C96">
        <w:rPr>
          <w:rFonts w:ascii="Arial" w:hAnsi="Arial" w:cs="Arial"/>
          <w:bCs/>
          <w:sz w:val="24"/>
          <w:szCs w:val="24"/>
          <w:lang w:val="es-MX"/>
        </w:rPr>
        <w:t xml:space="preserve"> en el resolutivo anterior </w:t>
      </w:r>
      <w:r w:rsidRPr="00295B85">
        <w:rPr>
          <w:rFonts w:ascii="Arial" w:hAnsi="Arial" w:cs="Arial"/>
          <w:bCs/>
          <w:sz w:val="24"/>
          <w:szCs w:val="24"/>
          <w:lang w:val="es-MX"/>
        </w:rPr>
        <w:t xml:space="preserve">como </w:t>
      </w:r>
      <w:r w:rsidR="003F65E1" w:rsidRPr="00295B85">
        <w:rPr>
          <w:rFonts w:ascii="Arial" w:hAnsi="Arial" w:cs="Arial"/>
          <w:bCs/>
          <w:sz w:val="24"/>
          <w:szCs w:val="24"/>
          <w:lang w:val="es-MX"/>
        </w:rPr>
        <w:t xml:space="preserve">recomendaciones en </w:t>
      </w:r>
      <w:r w:rsidR="00F278ED" w:rsidRPr="00295B85">
        <w:rPr>
          <w:rFonts w:ascii="Arial" w:hAnsi="Arial" w:cs="Arial"/>
          <w:bCs/>
          <w:sz w:val="24"/>
          <w:szCs w:val="24"/>
          <w:lang w:val="es-MX"/>
        </w:rPr>
        <w:t>relación</w:t>
      </w:r>
      <w:r w:rsidR="003F65E1" w:rsidRPr="00295B85">
        <w:rPr>
          <w:rFonts w:ascii="Arial" w:hAnsi="Arial" w:cs="Arial"/>
          <w:bCs/>
          <w:sz w:val="24"/>
          <w:szCs w:val="24"/>
          <w:lang w:val="es-MX"/>
        </w:rPr>
        <w:t xml:space="preserve"> a la </w:t>
      </w:r>
      <w:r w:rsidR="00F278ED" w:rsidRPr="00295B85">
        <w:rPr>
          <w:rFonts w:ascii="Arial" w:hAnsi="Arial" w:cs="Arial"/>
          <w:bCs/>
          <w:sz w:val="24"/>
          <w:szCs w:val="24"/>
          <w:lang w:val="es-MX"/>
        </w:rPr>
        <w:t>Gestión</w:t>
      </w:r>
      <w:r w:rsidR="003F65E1" w:rsidRPr="00295B85">
        <w:rPr>
          <w:rFonts w:ascii="Arial" w:hAnsi="Arial" w:cs="Arial"/>
          <w:bCs/>
          <w:sz w:val="24"/>
          <w:szCs w:val="24"/>
          <w:lang w:val="es-MX"/>
        </w:rPr>
        <w:t xml:space="preserve"> o Control Interno,</w:t>
      </w:r>
      <w:r w:rsidRPr="00295B85">
        <w:rPr>
          <w:rFonts w:ascii="Arial" w:hAnsi="Arial" w:cs="Arial"/>
          <w:bCs/>
          <w:sz w:val="24"/>
          <w:szCs w:val="24"/>
          <w:lang w:val="es-MX"/>
        </w:rPr>
        <w:t xml:space="preserve"> responsabilidades administrativas</w:t>
      </w:r>
      <w:r w:rsidRPr="00190C96">
        <w:rPr>
          <w:rFonts w:ascii="Arial" w:hAnsi="Arial" w:cs="Arial"/>
          <w:bCs/>
          <w:sz w:val="24"/>
          <w:szCs w:val="24"/>
          <w:lang w:val="es-MX"/>
        </w:rPr>
        <w:t xml:space="preserve"> en el rubro de Auditoría a la Gestión Financiera</w:t>
      </w:r>
      <w:r w:rsidR="003F65E1">
        <w:rPr>
          <w:rFonts w:ascii="Arial" w:hAnsi="Arial" w:cs="Arial"/>
          <w:bCs/>
          <w:sz w:val="24"/>
          <w:szCs w:val="24"/>
          <w:lang w:val="es-MX"/>
        </w:rPr>
        <w:t xml:space="preserve"> que no afecta</w:t>
      </w:r>
      <w:r>
        <w:rPr>
          <w:rFonts w:ascii="Arial" w:hAnsi="Arial" w:cs="Arial"/>
          <w:bCs/>
          <w:sz w:val="24"/>
          <w:szCs w:val="24"/>
          <w:lang w:val="es-MX"/>
        </w:rPr>
        <w:t xml:space="preserve"> la gestión del ente</w:t>
      </w:r>
      <w:r w:rsidRPr="00190C96">
        <w:rPr>
          <w:rFonts w:ascii="Arial" w:hAnsi="Arial" w:cs="Arial"/>
          <w:bCs/>
          <w:sz w:val="24"/>
          <w:szCs w:val="24"/>
          <w:lang w:val="es-MX"/>
        </w:rPr>
        <w:t xml:space="preserve"> </w:t>
      </w:r>
      <w:r w:rsidR="003F65E1">
        <w:rPr>
          <w:rFonts w:ascii="Arial" w:hAnsi="Arial" w:cs="Arial"/>
          <w:bCs/>
          <w:sz w:val="24"/>
          <w:szCs w:val="24"/>
          <w:lang w:val="es-MX"/>
        </w:rPr>
        <w:t>fiscalizado</w:t>
      </w:r>
      <w:r w:rsidRPr="00190C96">
        <w:rPr>
          <w:rFonts w:ascii="Arial" w:hAnsi="Arial" w:cs="Arial"/>
          <w:bCs/>
          <w:sz w:val="24"/>
          <w:szCs w:val="24"/>
          <w:lang w:val="es-MX"/>
        </w:rPr>
        <w:t xml:space="preserve">, se estima que la </w:t>
      </w:r>
      <w:r w:rsidR="003F65E1">
        <w:rPr>
          <w:rFonts w:ascii="Arial" w:hAnsi="Arial" w:cs="Arial"/>
          <w:b/>
          <w:bCs/>
          <w:sz w:val="24"/>
          <w:szCs w:val="24"/>
          <w:lang w:val="es-MX"/>
        </w:rPr>
        <w:t>CUENTA PÚBLICA 2015</w:t>
      </w:r>
      <w:r w:rsidRPr="00190C96">
        <w:rPr>
          <w:rFonts w:ascii="Arial" w:hAnsi="Arial" w:cs="Arial"/>
          <w:b/>
          <w:bCs/>
          <w:sz w:val="24"/>
          <w:szCs w:val="24"/>
          <w:lang w:val="es-MX"/>
        </w:rPr>
        <w:t xml:space="preserve">, </w:t>
      </w:r>
      <w:r w:rsidRPr="00190C96">
        <w:rPr>
          <w:rFonts w:ascii="Arial" w:hAnsi="Arial" w:cs="Arial"/>
          <w:bCs/>
          <w:sz w:val="24"/>
          <w:szCs w:val="24"/>
          <w:lang w:val="es-MX"/>
        </w:rPr>
        <w:t>del</w:t>
      </w:r>
      <w:r w:rsidRPr="00190C96">
        <w:rPr>
          <w:rFonts w:ascii="Arial" w:hAnsi="Arial" w:cs="Arial"/>
          <w:b/>
          <w:bCs/>
          <w:sz w:val="24"/>
          <w:szCs w:val="24"/>
          <w:lang w:val="es-MX"/>
        </w:rPr>
        <w:t xml:space="preserve"> </w:t>
      </w:r>
      <w:r>
        <w:rPr>
          <w:rFonts w:ascii="Arial" w:hAnsi="Arial" w:cs="Arial"/>
          <w:b/>
          <w:bCs/>
          <w:sz w:val="24"/>
          <w:szCs w:val="24"/>
        </w:rPr>
        <w:t>FIDEICOMISO EMPRESARIOS UNIDOS POR LA EDUCACIÓN</w:t>
      </w:r>
      <w:r w:rsidRPr="00190C96">
        <w:rPr>
          <w:rFonts w:ascii="Arial" w:hAnsi="Arial" w:cs="Arial"/>
          <w:b/>
          <w:bCs/>
          <w:sz w:val="24"/>
          <w:szCs w:val="24"/>
          <w:lang w:val="es-MX"/>
        </w:rPr>
        <w:t xml:space="preserve"> </w:t>
      </w:r>
      <w:r w:rsidRPr="00295B85">
        <w:rPr>
          <w:rFonts w:ascii="Arial" w:hAnsi="Arial" w:cs="Arial"/>
          <w:bCs/>
          <w:sz w:val="24"/>
          <w:szCs w:val="24"/>
          <w:lang w:val="es-MX"/>
        </w:rPr>
        <w:t>es susceptible de aprobación.</w:t>
      </w:r>
    </w:p>
    <w:p w:rsidR="00270A54" w:rsidRDefault="00270A54" w:rsidP="00270A54">
      <w:pPr>
        <w:spacing w:after="0" w:line="360" w:lineRule="auto"/>
        <w:ind w:firstLine="708"/>
        <w:jc w:val="both"/>
        <w:rPr>
          <w:rFonts w:ascii="Arial" w:hAnsi="Arial" w:cs="Arial"/>
          <w:sz w:val="24"/>
          <w:szCs w:val="24"/>
        </w:rPr>
      </w:pPr>
      <w:r w:rsidRPr="00190C96">
        <w:rPr>
          <w:rFonts w:ascii="Arial" w:hAnsi="Arial" w:cs="Arial"/>
          <w:bCs/>
          <w:sz w:val="24"/>
          <w:szCs w:val="24"/>
          <w:lang w:val="es-MX"/>
        </w:rPr>
        <w:t>Por lo tanto, en</w:t>
      </w:r>
      <w:r>
        <w:rPr>
          <w:rFonts w:ascii="Arial" w:hAnsi="Arial" w:cs="Arial"/>
          <w:bCs/>
          <w:sz w:val="24"/>
          <w:szCs w:val="24"/>
          <w:lang w:val="es-MX"/>
        </w:rPr>
        <w:t xml:space="preserve"> </w:t>
      </w:r>
      <w:r>
        <w:rPr>
          <w:rFonts w:ascii="Arial" w:hAnsi="Arial" w:cs="Arial"/>
          <w:bCs/>
          <w:sz w:val="24"/>
          <w:szCs w:val="24"/>
        </w:rPr>
        <w:t>cumplimiento de lo señalado en el artículo 63 Fracción XIII de la Constitución Política del Estado Libre y Soberano de Nuevo León y demás disposiciones legales aplicables, así como lo descrito en el apartado de Consideraciones del presente Dictamen</w:t>
      </w:r>
      <w:r w:rsidRPr="00295B85">
        <w:rPr>
          <w:rFonts w:ascii="Arial" w:hAnsi="Arial" w:cs="Arial"/>
          <w:bCs/>
          <w:sz w:val="24"/>
          <w:szCs w:val="24"/>
        </w:rPr>
        <w:t xml:space="preserve">, </w:t>
      </w:r>
      <w:r w:rsidRPr="00295B85">
        <w:rPr>
          <w:rFonts w:ascii="Arial" w:hAnsi="Arial" w:cs="Arial"/>
          <w:b/>
          <w:bCs/>
          <w:sz w:val="24"/>
          <w:szCs w:val="24"/>
        </w:rPr>
        <w:t>SE APRUEBA</w:t>
      </w:r>
      <w:r w:rsidR="003F65E1">
        <w:rPr>
          <w:rFonts w:ascii="Arial" w:hAnsi="Arial" w:cs="Arial"/>
          <w:bCs/>
          <w:sz w:val="24"/>
          <w:szCs w:val="24"/>
        </w:rPr>
        <w:t xml:space="preserve"> la Cuenta Pública 2015</w:t>
      </w:r>
      <w:r>
        <w:rPr>
          <w:rFonts w:ascii="Arial" w:hAnsi="Arial" w:cs="Arial"/>
          <w:bCs/>
          <w:sz w:val="24"/>
          <w:szCs w:val="24"/>
        </w:rPr>
        <w:t xml:space="preserve"> del</w:t>
      </w:r>
      <w:r w:rsidRPr="00270A54">
        <w:rPr>
          <w:rFonts w:ascii="Arial" w:hAnsi="Arial" w:cs="Arial"/>
          <w:b/>
          <w:bCs/>
          <w:sz w:val="24"/>
          <w:szCs w:val="24"/>
        </w:rPr>
        <w:t xml:space="preserve"> </w:t>
      </w:r>
      <w:r>
        <w:rPr>
          <w:rFonts w:ascii="Arial" w:hAnsi="Arial" w:cs="Arial"/>
          <w:b/>
          <w:bCs/>
          <w:sz w:val="24"/>
          <w:szCs w:val="24"/>
        </w:rPr>
        <w:t>FIDEICOMISO EMPRESARIOS UNIDOS POR LA EDUCACIÓN.</w:t>
      </w:r>
      <w:r>
        <w:rPr>
          <w:rFonts w:ascii="Arial" w:hAnsi="Arial" w:cs="Arial"/>
          <w:sz w:val="24"/>
          <w:szCs w:val="24"/>
        </w:rPr>
        <w:t xml:space="preserve"> </w:t>
      </w:r>
    </w:p>
    <w:p w:rsidR="00270A54" w:rsidRDefault="00270A54" w:rsidP="006C2B1B">
      <w:pPr>
        <w:spacing w:after="0" w:line="360" w:lineRule="auto"/>
        <w:ind w:firstLine="708"/>
        <w:jc w:val="both"/>
        <w:rPr>
          <w:rFonts w:ascii="Arial" w:hAnsi="Arial" w:cs="Arial"/>
          <w:bCs/>
          <w:sz w:val="24"/>
          <w:szCs w:val="24"/>
        </w:rPr>
      </w:pPr>
    </w:p>
    <w:p w:rsidR="00270A54" w:rsidRDefault="00270A54" w:rsidP="00270A54">
      <w:pPr>
        <w:spacing w:after="0" w:line="360" w:lineRule="auto"/>
        <w:ind w:firstLine="708"/>
        <w:jc w:val="both"/>
        <w:rPr>
          <w:rFonts w:ascii="Arial" w:hAnsi="Arial" w:cs="Arial"/>
          <w:b/>
          <w:bCs/>
          <w:sz w:val="24"/>
          <w:szCs w:val="24"/>
        </w:rPr>
      </w:pPr>
      <w:r w:rsidRPr="00472E79">
        <w:rPr>
          <w:rFonts w:ascii="Arial" w:hAnsi="Arial" w:cs="Arial"/>
          <w:b/>
          <w:bCs/>
          <w:sz w:val="24"/>
          <w:szCs w:val="24"/>
        </w:rPr>
        <w:lastRenderedPageBreak/>
        <w:t xml:space="preserve">CUARTO.- </w:t>
      </w:r>
      <w:r w:rsidRPr="00472E79">
        <w:rPr>
          <w:rFonts w:ascii="Arial" w:hAnsi="Arial" w:cs="Arial"/>
          <w:bCs/>
          <w:sz w:val="24"/>
          <w:szCs w:val="24"/>
        </w:rPr>
        <w:t>Se instruye a la Auditoria Superior del Estado para que en términos del párrafo segundo del artículo 52 de la</w:t>
      </w:r>
      <w:r w:rsidRPr="00472E79">
        <w:rPr>
          <w:rFonts w:ascii="Arial" w:hAnsi="Arial" w:cs="Arial"/>
          <w:bCs/>
          <w:sz w:val="24"/>
          <w:szCs w:val="24"/>
          <w:lang w:val="es-ES_tradnl"/>
        </w:rPr>
        <w:t xml:space="preserve"> </w:t>
      </w:r>
      <w:r w:rsidRPr="00472E79">
        <w:rPr>
          <w:rFonts w:ascii="Arial" w:hAnsi="Arial" w:cs="Arial"/>
          <w:bCs/>
          <w:sz w:val="24"/>
          <w:szCs w:val="24"/>
        </w:rPr>
        <w:t xml:space="preserve">Ley de Fiscalización Superior del Estado de Nuevo León </w:t>
      </w:r>
      <w:r w:rsidRPr="00472E79">
        <w:rPr>
          <w:rFonts w:ascii="Arial" w:hAnsi="Arial" w:cs="Arial"/>
          <w:b/>
          <w:bCs/>
          <w:sz w:val="24"/>
          <w:szCs w:val="24"/>
        </w:rPr>
        <w:t xml:space="preserve">EXPIDA EL FINIQUITO CORRESPONDIENTE, </w:t>
      </w:r>
      <w:r w:rsidRPr="00472E79">
        <w:rPr>
          <w:rFonts w:ascii="Arial" w:hAnsi="Arial" w:cs="Arial"/>
          <w:bCs/>
          <w:sz w:val="24"/>
          <w:szCs w:val="24"/>
        </w:rPr>
        <w:t>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la cuenta pública del</w:t>
      </w:r>
      <w:r>
        <w:rPr>
          <w:rFonts w:ascii="Arial" w:hAnsi="Arial" w:cs="Arial"/>
          <w:bCs/>
          <w:sz w:val="24"/>
          <w:szCs w:val="24"/>
        </w:rPr>
        <w:t xml:space="preserve"> </w:t>
      </w:r>
      <w:r>
        <w:rPr>
          <w:rFonts w:ascii="Arial" w:hAnsi="Arial" w:cs="Arial"/>
          <w:b/>
          <w:bCs/>
          <w:sz w:val="24"/>
          <w:szCs w:val="24"/>
        </w:rPr>
        <w:t>FIDEICOMISO EMPRESARIOS UNIDOS POR LA EDUCACIÓN</w:t>
      </w:r>
      <w:r w:rsidRPr="00472E79">
        <w:rPr>
          <w:rFonts w:ascii="Arial" w:hAnsi="Arial" w:cs="Arial"/>
          <w:b/>
          <w:bCs/>
          <w:sz w:val="24"/>
          <w:szCs w:val="24"/>
          <w:lang w:val="es-MX"/>
        </w:rPr>
        <w:t xml:space="preserve">, </w:t>
      </w:r>
      <w:r w:rsidRPr="00472E79">
        <w:rPr>
          <w:rFonts w:ascii="Arial" w:hAnsi="Arial" w:cs="Arial"/>
          <w:bCs/>
          <w:sz w:val="24"/>
          <w:szCs w:val="24"/>
        </w:rPr>
        <w:t>correspondiente al ejercicio</w:t>
      </w:r>
      <w:r w:rsidRPr="00472E79">
        <w:rPr>
          <w:rFonts w:ascii="Arial" w:hAnsi="Arial" w:cs="Arial"/>
          <w:b/>
          <w:bCs/>
          <w:sz w:val="24"/>
          <w:szCs w:val="24"/>
        </w:rPr>
        <w:t xml:space="preserve"> </w:t>
      </w:r>
      <w:r w:rsidR="00F278ED">
        <w:rPr>
          <w:rFonts w:ascii="Arial" w:hAnsi="Arial" w:cs="Arial"/>
          <w:b/>
          <w:bCs/>
          <w:sz w:val="24"/>
          <w:szCs w:val="24"/>
        </w:rPr>
        <w:t>2015</w:t>
      </w:r>
      <w:r w:rsidRPr="00472E79">
        <w:rPr>
          <w:rFonts w:ascii="Arial" w:hAnsi="Arial" w:cs="Arial"/>
          <w:b/>
          <w:bCs/>
          <w:sz w:val="24"/>
          <w:szCs w:val="24"/>
        </w:rPr>
        <w:t xml:space="preserve">. </w:t>
      </w:r>
    </w:p>
    <w:p w:rsidR="006C2B1B" w:rsidRDefault="006C2B1B" w:rsidP="009A7A82">
      <w:pPr>
        <w:spacing w:line="360" w:lineRule="auto"/>
        <w:ind w:firstLine="709"/>
        <w:jc w:val="both"/>
        <w:rPr>
          <w:rFonts w:ascii="Arial" w:hAnsi="Arial" w:cs="Arial"/>
          <w:bCs/>
          <w:sz w:val="24"/>
          <w:szCs w:val="24"/>
        </w:rPr>
      </w:pPr>
    </w:p>
    <w:p w:rsidR="003C6162" w:rsidRDefault="00270A54" w:rsidP="006C2B1B">
      <w:pPr>
        <w:spacing w:after="0" w:line="360" w:lineRule="auto"/>
        <w:ind w:firstLine="708"/>
        <w:jc w:val="both"/>
        <w:rPr>
          <w:rFonts w:ascii="Arial" w:hAnsi="Arial" w:cs="Arial"/>
          <w:bCs/>
          <w:sz w:val="24"/>
          <w:szCs w:val="24"/>
        </w:rPr>
      </w:pPr>
      <w:r>
        <w:rPr>
          <w:rFonts w:ascii="Arial" w:hAnsi="Arial" w:cs="Arial"/>
          <w:b/>
          <w:bCs/>
          <w:sz w:val="24"/>
          <w:szCs w:val="24"/>
        </w:rPr>
        <w:t>QUIN</w:t>
      </w:r>
      <w:r w:rsidR="007E6300">
        <w:rPr>
          <w:rFonts w:ascii="Arial" w:hAnsi="Arial" w:cs="Arial"/>
          <w:b/>
          <w:bCs/>
          <w:sz w:val="24"/>
          <w:szCs w:val="24"/>
        </w:rPr>
        <w:t>TO.-</w:t>
      </w:r>
      <w:r w:rsidR="007E6300">
        <w:rPr>
          <w:rFonts w:ascii="Arial" w:hAnsi="Arial" w:cs="Arial"/>
          <w:bCs/>
          <w:sz w:val="24"/>
          <w:szCs w:val="24"/>
        </w:rPr>
        <w:t xml:space="preserve"> Remítase copia a la </w:t>
      </w:r>
      <w:r w:rsidR="007E6300" w:rsidRPr="00CE0720">
        <w:rPr>
          <w:rFonts w:ascii="Arial" w:hAnsi="Arial" w:cs="Arial"/>
          <w:b/>
          <w:bCs/>
          <w:sz w:val="24"/>
          <w:szCs w:val="24"/>
        </w:rPr>
        <w:t>AUDITORÍA SUPE</w:t>
      </w:r>
      <w:r w:rsidR="00CE0720">
        <w:rPr>
          <w:rFonts w:ascii="Arial" w:hAnsi="Arial" w:cs="Arial"/>
          <w:b/>
          <w:bCs/>
          <w:sz w:val="24"/>
          <w:szCs w:val="24"/>
        </w:rPr>
        <w:t>R</w:t>
      </w:r>
      <w:r w:rsidR="007E6300" w:rsidRPr="00CE0720">
        <w:rPr>
          <w:rFonts w:ascii="Arial" w:hAnsi="Arial" w:cs="Arial"/>
          <w:b/>
          <w:bCs/>
          <w:sz w:val="24"/>
          <w:szCs w:val="24"/>
        </w:rPr>
        <w:t>IOR DEL ESTADO DE NUEVO LEÓN</w:t>
      </w:r>
      <w:r w:rsidR="007E6300">
        <w:rPr>
          <w:rFonts w:ascii="Arial" w:hAnsi="Arial" w:cs="Arial"/>
          <w:bCs/>
          <w:sz w:val="24"/>
          <w:szCs w:val="24"/>
        </w:rPr>
        <w:t xml:space="preserve"> y a</w:t>
      </w:r>
      <w:r w:rsidR="006C2B1B">
        <w:rPr>
          <w:rFonts w:ascii="Arial" w:hAnsi="Arial" w:cs="Arial"/>
          <w:bCs/>
          <w:sz w:val="24"/>
          <w:szCs w:val="24"/>
        </w:rPr>
        <w:t>l</w:t>
      </w:r>
      <w:r w:rsidR="007E6300">
        <w:rPr>
          <w:rFonts w:ascii="Arial" w:hAnsi="Arial" w:cs="Arial"/>
          <w:bCs/>
          <w:sz w:val="24"/>
          <w:szCs w:val="24"/>
        </w:rPr>
        <w:t xml:space="preserve"> </w:t>
      </w:r>
      <w:r w:rsidR="006C2B1B">
        <w:rPr>
          <w:rFonts w:ascii="Arial" w:hAnsi="Arial" w:cs="Arial"/>
          <w:b/>
          <w:bCs/>
          <w:sz w:val="24"/>
          <w:szCs w:val="24"/>
        </w:rPr>
        <w:t xml:space="preserve">FIDEICOMISO </w:t>
      </w:r>
      <w:r w:rsidR="00DC471F">
        <w:rPr>
          <w:rFonts w:ascii="Arial" w:hAnsi="Arial" w:cs="Arial"/>
          <w:b/>
          <w:bCs/>
          <w:sz w:val="24"/>
          <w:szCs w:val="24"/>
        </w:rPr>
        <w:t>EMPRESARIOS UNIDOS POR LA EDUCACIÓN</w:t>
      </w:r>
      <w:r w:rsidR="00807DB8">
        <w:rPr>
          <w:rFonts w:ascii="Arial" w:hAnsi="Arial" w:cs="Arial"/>
          <w:b/>
          <w:bCs/>
          <w:sz w:val="24"/>
          <w:szCs w:val="24"/>
        </w:rPr>
        <w:t>,</w:t>
      </w:r>
      <w:r w:rsidR="007E6300">
        <w:rPr>
          <w:rFonts w:ascii="Arial" w:hAnsi="Arial" w:cs="Arial"/>
          <w:bCs/>
          <w:sz w:val="24"/>
          <w:szCs w:val="24"/>
        </w:rPr>
        <w:t xml:space="preserve"> para su conocimiento y efectos legales a que haya lugar.</w:t>
      </w:r>
    </w:p>
    <w:p w:rsidR="006B2AA6" w:rsidRPr="006C2B1B" w:rsidRDefault="006B2AA6" w:rsidP="006C2B1B">
      <w:pPr>
        <w:spacing w:after="0" w:line="360" w:lineRule="auto"/>
        <w:ind w:firstLine="708"/>
        <w:jc w:val="both"/>
        <w:rPr>
          <w:rFonts w:ascii="Arial" w:hAnsi="Arial" w:cs="Arial"/>
          <w:sz w:val="24"/>
          <w:szCs w:val="24"/>
        </w:rPr>
      </w:pPr>
    </w:p>
    <w:p w:rsidR="009A7A82" w:rsidRDefault="006B2AA6" w:rsidP="006B2AA6">
      <w:pPr>
        <w:spacing w:line="240" w:lineRule="auto"/>
        <w:ind w:firstLine="709"/>
        <w:jc w:val="center"/>
        <w:rPr>
          <w:rFonts w:ascii="Arial" w:hAnsi="Arial" w:cs="Arial"/>
          <w:b/>
          <w:bCs/>
          <w:sz w:val="24"/>
          <w:szCs w:val="24"/>
        </w:rPr>
      </w:pPr>
      <w:r>
        <w:rPr>
          <w:rFonts w:ascii="Arial" w:hAnsi="Arial" w:cs="Arial"/>
          <w:b/>
          <w:bCs/>
          <w:sz w:val="24"/>
          <w:szCs w:val="24"/>
        </w:rPr>
        <w:t>MONTERREY, NUEVO LEON</w:t>
      </w:r>
    </w:p>
    <w:p w:rsidR="006B2AA6" w:rsidRDefault="006B2AA6" w:rsidP="006B2AA6">
      <w:pPr>
        <w:spacing w:line="240" w:lineRule="auto"/>
        <w:ind w:firstLine="709"/>
        <w:jc w:val="center"/>
        <w:rPr>
          <w:rFonts w:ascii="Arial" w:hAnsi="Arial" w:cs="Arial"/>
          <w:b/>
          <w:bCs/>
          <w:sz w:val="24"/>
          <w:szCs w:val="24"/>
        </w:rPr>
      </w:pPr>
      <w:r>
        <w:rPr>
          <w:rFonts w:ascii="Arial" w:hAnsi="Arial" w:cs="Arial"/>
          <w:b/>
          <w:bCs/>
          <w:sz w:val="24"/>
          <w:szCs w:val="24"/>
        </w:rPr>
        <w:t>COMISIÓN DE HACIENDA DEL ESTADO</w:t>
      </w:r>
    </w:p>
    <w:p w:rsidR="006B2AA6" w:rsidRPr="006B2AA6" w:rsidRDefault="006B2AA6" w:rsidP="006B2AA6">
      <w:pPr>
        <w:spacing w:line="240" w:lineRule="auto"/>
        <w:ind w:firstLine="709"/>
        <w:jc w:val="center"/>
        <w:rPr>
          <w:rFonts w:ascii="Arial" w:hAnsi="Arial" w:cs="Arial"/>
          <w:b/>
          <w:bCs/>
          <w:sz w:val="24"/>
          <w:szCs w:val="24"/>
        </w:rPr>
      </w:pPr>
    </w:p>
    <w:p w:rsidR="006B2AA6" w:rsidRDefault="00D80432" w:rsidP="006B2AA6">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r w:rsidR="006B2AA6">
        <w:rPr>
          <w:rFonts w:ascii="Arial" w:hAnsi="Arial" w:cs="Arial"/>
          <w:b/>
          <w:lang w:val="es-ES_tradnl"/>
        </w:rPr>
        <w:t>:</w:t>
      </w:r>
    </w:p>
    <w:p w:rsidR="006B2AA6" w:rsidRDefault="006B2AA6" w:rsidP="006B2AA6">
      <w:pPr>
        <w:pStyle w:val="Body1"/>
        <w:widowControl w:val="0"/>
        <w:tabs>
          <w:tab w:val="left" w:pos="3828"/>
        </w:tabs>
        <w:suppressAutoHyphens/>
        <w:spacing w:after="120" w:line="360" w:lineRule="auto"/>
        <w:jc w:val="center"/>
        <w:rPr>
          <w:rFonts w:ascii="Arial" w:hAnsi="Arial" w:cs="Arial"/>
          <w:b/>
          <w:sz w:val="22"/>
          <w:lang w:val="es-ES_tradnl"/>
        </w:rPr>
      </w:pPr>
    </w:p>
    <w:p w:rsidR="006B2AA6" w:rsidRDefault="006B2AA6" w:rsidP="006B2AA6">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 xml:space="preserve">DIP. </w:t>
      </w:r>
      <w:r w:rsidRPr="00002F65">
        <w:rPr>
          <w:rFonts w:ascii="Arial" w:eastAsia="Arial Unicode MS" w:hAnsi="Arial" w:cs="Arial"/>
          <w:smallCaps/>
          <w:color w:val="000000"/>
          <w:lang w:val="es-MX"/>
        </w:rPr>
        <w:t>GLORIA CONCEPCIÓN TREVIÑO SALAZAR</w:t>
      </w:r>
    </w:p>
    <w:p w:rsidR="006B2AA6" w:rsidRPr="000A10A8" w:rsidRDefault="006B2AA6" w:rsidP="006B2AA6">
      <w:pPr>
        <w:jc w:val="cente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6B2AA6" w:rsidTr="00A20246">
        <w:trPr>
          <w:cantSplit/>
          <w:trHeight w:val="340"/>
          <w:jc w:val="center"/>
        </w:trPr>
        <w:tc>
          <w:tcPr>
            <w:tcW w:w="4322" w:type="dxa"/>
            <w:tcMar>
              <w:top w:w="80" w:type="dxa"/>
              <w:left w:w="0" w:type="dxa"/>
              <w:bottom w:w="80" w:type="dxa"/>
              <w:right w:w="0" w:type="dxa"/>
            </w:tcMar>
          </w:tcPr>
          <w:p w:rsidR="006B2AA6" w:rsidRDefault="006B2AA6" w:rsidP="00A20246">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VICEPRESIDENTE:</w:t>
            </w:r>
          </w:p>
          <w:p w:rsidR="006B2AA6" w:rsidRDefault="006B2AA6" w:rsidP="00A20246">
            <w:pPr>
              <w:outlineLvl w:val="0"/>
              <w:rPr>
                <w:rFonts w:ascii="Arial" w:eastAsia="Arial Unicode MS" w:hAnsi="Arial" w:cs="Arial"/>
                <w:b/>
                <w:color w:val="000000"/>
                <w:lang w:val="es-MX"/>
              </w:rPr>
            </w:pPr>
          </w:p>
          <w:p w:rsidR="006B2AA6" w:rsidRDefault="006B2AA6" w:rsidP="00A20246">
            <w:pPr>
              <w:jc w:val="center"/>
              <w:outlineLvl w:val="0"/>
              <w:rPr>
                <w:rFonts w:ascii="Arial" w:eastAsia="Arial Unicode MS" w:hAnsi="Arial" w:cs="Arial"/>
                <w:b/>
                <w:color w:val="000000"/>
                <w:lang w:val="es-MX"/>
              </w:rPr>
            </w:pPr>
          </w:p>
          <w:p w:rsidR="006B2AA6" w:rsidRDefault="006B2AA6" w:rsidP="00A20246">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6B2AA6" w:rsidRDefault="006B2AA6" w:rsidP="00A20246">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6B2AA6" w:rsidRDefault="006B2AA6" w:rsidP="00A20246">
            <w:pPr>
              <w:outlineLvl w:val="0"/>
              <w:rPr>
                <w:rFonts w:ascii="Arial" w:eastAsia="Arial Unicode MS" w:hAnsi="Arial" w:cs="Arial"/>
                <w:b/>
                <w:color w:val="000000"/>
                <w:lang w:val="es-MX"/>
              </w:rPr>
            </w:pPr>
          </w:p>
          <w:p w:rsidR="006B2AA6" w:rsidRDefault="006B2AA6" w:rsidP="00A20246">
            <w:pPr>
              <w:outlineLvl w:val="0"/>
              <w:rPr>
                <w:rFonts w:ascii="Arial" w:eastAsia="Arial Unicode MS" w:hAnsi="Arial" w:cs="Arial"/>
                <w:b/>
                <w:color w:val="000000"/>
                <w:lang w:val="es-MX"/>
              </w:rPr>
            </w:pPr>
          </w:p>
          <w:p w:rsidR="006B2AA6" w:rsidRDefault="006B2AA6" w:rsidP="00A20246">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6B2AA6" w:rsidTr="00A20246">
        <w:trPr>
          <w:cantSplit/>
          <w:trHeight w:val="340"/>
          <w:jc w:val="center"/>
        </w:trPr>
        <w:tc>
          <w:tcPr>
            <w:tcW w:w="4322" w:type="dxa"/>
            <w:tcMar>
              <w:top w:w="80" w:type="dxa"/>
              <w:left w:w="0" w:type="dxa"/>
              <w:bottom w:w="80" w:type="dxa"/>
              <w:right w:w="0" w:type="dxa"/>
            </w:tcMar>
          </w:tcPr>
          <w:p w:rsidR="006B2AA6" w:rsidRDefault="006B2AA6" w:rsidP="00A20246">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6B2AA6" w:rsidRDefault="006B2AA6" w:rsidP="00A20246">
            <w:pPr>
              <w:outlineLvl w:val="0"/>
              <w:rPr>
                <w:rFonts w:ascii="Arial" w:eastAsia="Arial Unicode MS" w:hAnsi="Arial" w:cs="Arial"/>
                <w:b/>
                <w:color w:val="000000"/>
                <w:lang w:val="es-MX"/>
              </w:rPr>
            </w:pPr>
          </w:p>
          <w:p w:rsidR="006B2AA6" w:rsidRDefault="006B2AA6" w:rsidP="00A20246">
            <w:pPr>
              <w:jc w:val="center"/>
              <w:outlineLvl w:val="0"/>
              <w:rPr>
                <w:rFonts w:ascii="Arial" w:eastAsia="Arial Unicode MS" w:hAnsi="Arial" w:cs="Arial"/>
                <w:color w:val="000000"/>
                <w:lang w:val="es-MX"/>
              </w:rPr>
            </w:pPr>
          </w:p>
          <w:p w:rsidR="006B2AA6" w:rsidRDefault="006B2AA6" w:rsidP="00A20246">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6B2AA6" w:rsidRDefault="006B2AA6" w:rsidP="00A20246">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6B2AA6" w:rsidRDefault="006B2AA6" w:rsidP="00A20246">
            <w:pPr>
              <w:jc w:val="center"/>
              <w:outlineLvl w:val="0"/>
              <w:rPr>
                <w:rFonts w:ascii="Arial" w:eastAsia="Arial Unicode MS" w:hAnsi="Arial" w:cs="Arial"/>
                <w:b/>
                <w:color w:val="000000"/>
                <w:lang w:val="es-MX"/>
              </w:rPr>
            </w:pPr>
          </w:p>
          <w:p w:rsidR="006B2AA6" w:rsidRDefault="006B2AA6" w:rsidP="00A20246">
            <w:pPr>
              <w:outlineLvl w:val="0"/>
              <w:rPr>
                <w:rFonts w:ascii="Arial" w:eastAsia="Arial Unicode MS" w:hAnsi="Arial" w:cs="Arial"/>
                <w:b/>
                <w:color w:val="000000"/>
                <w:lang w:val="es-MX"/>
              </w:rPr>
            </w:pPr>
          </w:p>
          <w:p w:rsidR="006B2AA6" w:rsidRDefault="006B2AA6" w:rsidP="00A20246">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6B2AA6" w:rsidTr="00A20246">
        <w:trPr>
          <w:cantSplit/>
          <w:trHeight w:val="340"/>
          <w:jc w:val="center"/>
        </w:trPr>
        <w:tc>
          <w:tcPr>
            <w:tcW w:w="4322" w:type="dxa"/>
            <w:tcMar>
              <w:top w:w="80" w:type="dxa"/>
              <w:left w:w="0" w:type="dxa"/>
              <w:bottom w:w="80" w:type="dxa"/>
              <w:right w:w="0" w:type="dxa"/>
            </w:tcMar>
          </w:tcPr>
          <w:p w:rsidR="006B2AA6" w:rsidRDefault="006B2AA6" w:rsidP="00A20246">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6B2AA6" w:rsidRDefault="006B2AA6" w:rsidP="00A20246">
            <w:pPr>
              <w:jc w:val="center"/>
              <w:outlineLvl w:val="0"/>
              <w:rPr>
                <w:rFonts w:ascii="Arial" w:eastAsia="Arial Unicode MS" w:hAnsi="Arial" w:cs="Arial"/>
                <w:b/>
                <w:color w:val="000000"/>
                <w:lang w:val="es-MX"/>
              </w:rPr>
            </w:pPr>
          </w:p>
          <w:p w:rsidR="006B2AA6" w:rsidRDefault="006B2AA6" w:rsidP="00A20246">
            <w:pPr>
              <w:outlineLvl w:val="0"/>
              <w:rPr>
                <w:rFonts w:ascii="Arial" w:eastAsia="Arial Unicode MS" w:hAnsi="Arial" w:cs="Arial"/>
                <w:b/>
                <w:color w:val="000000"/>
                <w:lang w:val="es-MX"/>
              </w:rPr>
            </w:pPr>
          </w:p>
          <w:p w:rsidR="006B2AA6" w:rsidRDefault="006B2AA6" w:rsidP="00A20246">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6B2AA6" w:rsidRDefault="006B2AA6" w:rsidP="00A20246">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6B2AA6" w:rsidRDefault="006B2AA6" w:rsidP="00A20246">
            <w:pPr>
              <w:jc w:val="center"/>
              <w:outlineLvl w:val="0"/>
              <w:rPr>
                <w:rFonts w:ascii="Arial" w:eastAsia="Arial Unicode MS" w:hAnsi="Arial" w:cs="Arial"/>
                <w:b/>
                <w:color w:val="000000"/>
                <w:lang w:val="es-MX"/>
              </w:rPr>
            </w:pPr>
          </w:p>
          <w:p w:rsidR="006B2AA6" w:rsidRDefault="006B2AA6" w:rsidP="00A20246">
            <w:pPr>
              <w:outlineLvl w:val="0"/>
              <w:rPr>
                <w:rFonts w:ascii="Arial" w:eastAsia="Arial Unicode MS" w:hAnsi="Arial" w:cs="Arial"/>
                <w:b/>
                <w:color w:val="000000"/>
                <w:lang w:val="es-MX"/>
              </w:rPr>
            </w:pPr>
          </w:p>
          <w:p w:rsidR="006B2AA6" w:rsidRDefault="006B2AA6" w:rsidP="00A20246">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6B2AA6" w:rsidTr="00A20246">
        <w:trPr>
          <w:cantSplit/>
          <w:trHeight w:val="340"/>
          <w:jc w:val="center"/>
        </w:trPr>
        <w:tc>
          <w:tcPr>
            <w:tcW w:w="4322" w:type="dxa"/>
            <w:tcMar>
              <w:top w:w="80" w:type="dxa"/>
              <w:left w:w="0" w:type="dxa"/>
              <w:bottom w:w="80" w:type="dxa"/>
              <w:right w:w="0" w:type="dxa"/>
            </w:tcMar>
          </w:tcPr>
          <w:p w:rsidR="006B2AA6" w:rsidRDefault="006B2AA6" w:rsidP="00A20246">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6B2AA6" w:rsidRDefault="006B2AA6" w:rsidP="00A20246">
            <w:pPr>
              <w:outlineLvl w:val="0"/>
              <w:rPr>
                <w:rFonts w:ascii="Arial" w:eastAsia="Arial Unicode MS" w:hAnsi="Arial" w:cs="Arial"/>
                <w:b/>
                <w:color w:val="000000"/>
                <w:lang w:val="es-MX"/>
              </w:rPr>
            </w:pPr>
          </w:p>
          <w:p w:rsidR="006B2AA6" w:rsidRDefault="006B2AA6" w:rsidP="00A20246">
            <w:pPr>
              <w:outlineLvl w:val="0"/>
              <w:rPr>
                <w:rFonts w:ascii="Arial" w:eastAsia="Arial Unicode MS" w:hAnsi="Arial" w:cs="Arial"/>
                <w:b/>
                <w:color w:val="000000"/>
                <w:lang w:val="es-MX"/>
              </w:rPr>
            </w:pPr>
          </w:p>
          <w:p w:rsidR="006B2AA6" w:rsidRDefault="006B2AA6" w:rsidP="00A20246">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6B2AA6" w:rsidRDefault="006B2AA6" w:rsidP="00A20246">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6B2AA6" w:rsidRDefault="006B2AA6" w:rsidP="00A20246">
            <w:pPr>
              <w:jc w:val="center"/>
              <w:outlineLvl w:val="0"/>
              <w:rPr>
                <w:rFonts w:ascii="Arial" w:eastAsia="Arial Unicode MS" w:hAnsi="Arial" w:cs="Arial"/>
                <w:b/>
                <w:color w:val="000000"/>
                <w:lang w:val="it-IT"/>
              </w:rPr>
            </w:pPr>
          </w:p>
          <w:p w:rsidR="006B2AA6" w:rsidRDefault="006B2AA6" w:rsidP="00A20246">
            <w:pPr>
              <w:outlineLvl w:val="0"/>
              <w:rPr>
                <w:rFonts w:ascii="Arial" w:eastAsia="Arial Unicode MS" w:hAnsi="Arial" w:cs="Arial"/>
                <w:b/>
                <w:color w:val="000000"/>
                <w:lang w:val="it-IT"/>
              </w:rPr>
            </w:pPr>
          </w:p>
          <w:p w:rsidR="006B2AA6" w:rsidRDefault="006B2AA6" w:rsidP="00A20246">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6B2AA6" w:rsidTr="00A20246">
        <w:trPr>
          <w:cantSplit/>
          <w:trHeight w:val="340"/>
          <w:jc w:val="center"/>
        </w:trPr>
        <w:tc>
          <w:tcPr>
            <w:tcW w:w="4322" w:type="dxa"/>
            <w:tcMar>
              <w:top w:w="80" w:type="dxa"/>
              <w:left w:w="0" w:type="dxa"/>
              <w:bottom w:w="80" w:type="dxa"/>
              <w:right w:w="0" w:type="dxa"/>
            </w:tcMar>
          </w:tcPr>
          <w:p w:rsidR="006B2AA6" w:rsidRDefault="006B2AA6" w:rsidP="00A20246">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6B2AA6" w:rsidRDefault="006B2AA6" w:rsidP="00A20246">
            <w:pPr>
              <w:jc w:val="center"/>
              <w:outlineLvl w:val="0"/>
              <w:rPr>
                <w:rFonts w:ascii="Arial" w:eastAsia="Arial Unicode MS" w:hAnsi="Arial" w:cs="Arial"/>
                <w:b/>
                <w:color w:val="000000"/>
                <w:lang w:val="es-MX"/>
              </w:rPr>
            </w:pPr>
          </w:p>
          <w:p w:rsidR="006B2AA6" w:rsidRDefault="006B2AA6" w:rsidP="00A20246">
            <w:pPr>
              <w:outlineLvl w:val="0"/>
              <w:rPr>
                <w:rFonts w:ascii="Arial" w:eastAsia="Arial Unicode MS" w:hAnsi="Arial" w:cs="Arial"/>
                <w:b/>
                <w:color w:val="000000"/>
                <w:lang w:val="es-MX"/>
              </w:rPr>
            </w:pPr>
          </w:p>
          <w:p w:rsidR="006B2AA6" w:rsidRDefault="006B2AA6" w:rsidP="00A20246">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6B2AA6" w:rsidRDefault="006B2AA6" w:rsidP="00A20246">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6B2AA6" w:rsidRDefault="006B2AA6" w:rsidP="00A20246">
            <w:pPr>
              <w:outlineLvl w:val="0"/>
              <w:rPr>
                <w:rFonts w:ascii="Arial" w:eastAsia="Arial Unicode MS" w:hAnsi="Arial" w:cs="Arial"/>
                <w:b/>
                <w:color w:val="000000"/>
                <w:lang w:val="es-MX"/>
              </w:rPr>
            </w:pPr>
          </w:p>
          <w:p w:rsidR="006B2AA6" w:rsidRDefault="006B2AA6" w:rsidP="00A20246">
            <w:pPr>
              <w:jc w:val="center"/>
              <w:outlineLvl w:val="0"/>
              <w:rPr>
                <w:rFonts w:ascii="Arial" w:eastAsia="Arial Unicode MS" w:hAnsi="Arial" w:cs="Arial"/>
                <w:b/>
                <w:color w:val="000000"/>
                <w:lang w:val="es-MX"/>
              </w:rPr>
            </w:pPr>
          </w:p>
          <w:p w:rsidR="006B2AA6" w:rsidRDefault="006B2AA6" w:rsidP="00A20246">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A62781" w:rsidRPr="009C0345" w:rsidRDefault="00A62781" w:rsidP="0037791A">
      <w:pPr>
        <w:spacing w:line="360" w:lineRule="auto"/>
        <w:ind w:right="-357"/>
        <w:jc w:val="center"/>
      </w:pPr>
    </w:p>
    <w:sectPr w:rsidR="00A62781" w:rsidRPr="009C0345" w:rsidSect="00247BF2">
      <w:headerReference w:type="even" r:id="rId12"/>
      <w:headerReference w:type="default" r:id="rId13"/>
      <w:footerReference w:type="even" r:id="rId14"/>
      <w:footerReference w:type="default" r:id="rId15"/>
      <w:headerReference w:type="first" r:id="rId16"/>
      <w:footerReference w:type="first" r:id="rId17"/>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CD0" w:rsidRDefault="00DA5CD0" w:rsidP="005003EB">
      <w:pPr>
        <w:spacing w:after="0" w:line="240" w:lineRule="auto"/>
      </w:pPr>
      <w:r>
        <w:separator/>
      </w:r>
    </w:p>
  </w:endnote>
  <w:endnote w:type="continuationSeparator" w:id="0">
    <w:p w:rsidR="00DA5CD0" w:rsidRDefault="00DA5CD0"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23" w:rsidRDefault="007555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AF0" w:rsidRPr="0088072B" w:rsidRDefault="00BD2AF0">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247BF2">
      <w:rPr>
        <w:rFonts w:ascii="Century Gothic" w:hAnsi="Century Gothic"/>
        <w:noProof/>
        <w:sz w:val="20"/>
        <w:szCs w:val="20"/>
      </w:rPr>
      <w:t>1</w:t>
    </w:r>
    <w:r w:rsidRPr="0088072B">
      <w:rPr>
        <w:rFonts w:ascii="Century Gothic" w:hAnsi="Century Gothic"/>
        <w:sz w:val="20"/>
        <w:szCs w:val="20"/>
      </w:rPr>
      <w:fldChar w:fldCharType="end"/>
    </w:r>
  </w:p>
  <w:p w:rsidR="00BD2AF0" w:rsidRPr="00513CE9" w:rsidRDefault="00BD2AF0" w:rsidP="007E057C">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BD2AF0" w:rsidRPr="00513CE9" w:rsidRDefault="00755523" w:rsidP="007E057C">
    <w:pPr>
      <w:pStyle w:val="Piedepgina"/>
      <w:jc w:val="center"/>
      <w:rPr>
        <w:rFonts w:ascii="Century Gothic" w:hAnsi="Century Gothic"/>
        <w:sz w:val="14"/>
        <w:szCs w:val="14"/>
      </w:rPr>
    </w:pPr>
    <w:r>
      <w:rPr>
        <w:rFonts w:ascii="Arial" w:hAnsi="Arial" w:cs="Arial"/>
        <w:sz w:val="14"/>
        <w:szCs w:val="14"/>
      </w:rPr>
      <w:t>Dictamen del Expediente 10426/LXXIV Cuenta Pública 2015</w:t>
    </w:r>
    <w:r w:rsidR="00BD2AF0" w:rsidRPr="00513CE9">
      <w:rPr>
        <w:rFonts w:ascii="Arial" w:hAnsi="Arial" w:cs="Arial"/>
        <w:sz w:val="14"/>
        <w:szCs w:val="14"/>
      </w:rPr>
      <w:t xml:space="preserve"> de</w:t>
    </w:r>
    <w:r w:rsidR="00BD2AF0">
      <w:rPr>
        <w:rFonts w:ascii="Arial" w:hAnsi="Arial" w:cs="Arial"/>
        <w:sz w:val="14"/>
        <w:szCs w:val="14"/>
      </w:rPr>
      <w:t>l Fideicomiso Empresarios Unidos por la Educación.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23" w:rsidRDefault="007555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CD0" w:rsidRDefault="00DA5CD0" w:rsidP="005003EB">
      <w:pPr>
        <w:spacing w:after="0" w:line="240" w:lineRule="auto"/>
      </w:pPr>
      <w:r>
        <w:separator/>
      </w:r>
    </w:p>
  </w:footnote>
  <w:footnote w:type="continuationSeparator" w:id="0">
    <w:p w:rsidR="00DA5CD0" w:rsidRDefault="00DA5CD0" w:rsidP="00500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23" w:rsidRDefault="0075552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23" w:rsidRDefault="0075552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23" w:rsidRDefault="007555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F7"/>
    <w:multiLevelType w:val="hybridMultilevel"/>
    <w:tmpl w:val="16588EA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D1DB5"/>
    <w:multiLevelType w:val="hybridMultilevel"/>
    <w:tmpl w:val="6BAAF4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48108DD"/>
    <w:multiLevelType w:val="hybridMultilevel"/>
    <w:tmpl w:val="BED6CC70"/>
    <w:lvl w:ilvl="0" w:tplc="50068098">
      <w:start w:val="1"/>
      <w:numFmt w:val="upperRoman"/>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4166C"/>
    <w:multiLevelType w:val="hybridMultilevel"/>
    <w:tmpl w:val="0E24EC70"/>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3452A384">
      <w:start w:val="1"/>
      <w:numFmt w:val="decimal"/>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0A1A6F"/>
    <w:multiLevelType w:val="hybridMultilevel"/>
    <w:tmpl w:val="32B835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651839"/>
    <w:multiLevelType w:val="hybridMultilevel"/>
    <w:tmpl w:val="F5C4075A"/>
    <w:lvl w:ilvl="0" w:tplc="EA988920">
      <w:start w:val="6"/>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1383C"/>
    <w:multiLevelType w:val="hybridMultilevel"/>
    <w:tmpl w:val="294250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E23368A"/>
    <w:multiLevelType w:val="hybridMultilevel"/>
    <w:tmpl w:val="F92CB9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773D99"/>
    <w:multiLevelType w:val="hybridMultilevel"/>
    <w:tmpl w:val="901E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686AB1"/>
    <w:multiLevelType w:val="hybridMultilevel"/>
    <w:tmpl w:val="B7782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DD0EFC"/>
    <w:multiLevelType w:val="hybridMultilevel"/>
    <w:tmpl w:val="14D6B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1055CC"/>
    <w:multiLevelType w:val="hybridMultilevel"/>
    <w:tmpl w:val="E7CAB31A"/>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19"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6045CF9"/>
    <w:multiLevelType w:val="hybridMultilevel"/>
    <w:tmpl w:val="F2C0509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5C6C62"/>
    <w:multiLevelType w:val="hybridMultilevel"/>
    <w:tmpl w:val="DD62B458"/>
    <w:lvl w:ilvl="0" w:tplc="2982E05A">
      <w:start w:val="1"/>
      <w:numFmt w:val="upperRoman"/>
      <w:lvlText w:val="%1."/>
      <w:lvlJc w:val="right"/>
      <w:pPr>
        <w:ind w:left="3550" w:hanging="360"/>
      </w:pPr>
      <w:rPr>
        <w:color w:val="auto"/>
      </w:rPr>
    </w:lvl>
    <w:lvl w:ilvl="1" w:tplc="080A0019" w:tentative="1">
      <w:start w:val="1"/>
      <w:numFmt w:val="lowerLetter"/>
      <w:lvlText w:val="%2."/>
      <w:lvlJc w:val="left"/>
      <w:pPr>
        <w:ind w:left="4270" w:hanging="360"/>
      </w:pPr>
    </w:lvl>
    <w:lvl w:ilvl="2" w:tplc="080A001B" w:tentative="1">
      <w:start w:val="1"/>
      <w:numFmt w:val="lowerRoman"/>
      <w:lvlText w:val="%3."/>
      <w:lvlJc w:val="right"/>
      <w:pPr>
        <w:ind w:left="4990" w:hanging="180"/>
      </w:pPr>
    </w:lvl>
    <w:lvl w:ilvl="3" w:tplc="080A000F" w:tentative="1">
      <w:start w:val="1"/>
      <w:numFmt w:val="decimal"/>
      <w:lvlText w:val="%4."/>
      <w:lvlJc w:val="left"/>
      <w:pPr>
        <w:ind w:left="5710" w:hanging="360"/>
      </w:pPr>
    </w:lvl>
    <w:lvl w:ilvl="4" w:tplc="080A0019" w:tentative="1">
      <w:start w:val="1"/>
      <w:numFmt w:val="lowerLetter"/>
      <w:lvlText w:val="%5."/>
      <w:lvlJc w:val="left"/>
      <w:pPr>
        <w:ind w:left="6430" w:hanging="360"/>
      </w:pPr>
    </w:lvl>
    <w:lvl w:ilvl="5" w:tplc="080A001B" w:tentative="1">
      <w:start w:val="1"/>
      <w:numFmt w:val="lowerRoman"/>
      <w:lvlText w:val="%6."/>
      <w:lvlJc w:val="right"/>
      <w:pPr>
        <w:ind w:left="7150" w:hanging="180"/>
      </w:pPr>
    </w:lvl>
    <w:lvl w:ilvl="6" w:tplc="080A000F" w:tentative="1">
      <w:start w:val="1"/>
      <w:numFmt w:val="decimal"/>
      <w:lvlText w:val="%7."/>
      <w:lvlJc w:val="left"/>
      <w:pPr>
        <w:ind w:left="7870" w:hanging="360"/>
      </w:pPr>
    </w:lvl>
    <w:lvl w:ilvl="7" w:tplc="080A0019" w:tentative="1">
      <w:start w:val="1"/>
      <w:numFmt w:val="lowerLetter"/>
      <w:lvlText w:val="%8."/>
      <w:lvlJc w:val="left"/>
      <w:pPr>
        <w:ind w:left="8590" w:hanging="360"/>
      </w:pPr>
    </w:lvl>
    <w:lvl w:ilvl="8" w:tplc="080A001B" w:tentative="1">
      <w:start w:val="1"/>
      <w:numFmt w:val="lowerRoman"/>
      <w:lvlText w:val="%9."/>
      <w:lvlJc w:val="right"/>
      <w:pPr>
        <w:ind w:left="9310" w:hanging="180"/>
      </w:pPr>
    </w:lvl>
  </w:abstractNum>
  <w:abstractNum w:abstractNumId="23" w15:restartNumberingAfterBreak="0">
    <w:nsid w:val="4B134AC7"/>
    <w:multiLevelType w:val="hybridMultilevel"/>
    <w:tmpl w:val="796EEE5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C482B48"/>
    <w:multiLevelType w:val="hybridMultilevel"/>
    <w:tmpl w:val="8A5A2560"/>
    <w:lvl w:ilvl="0" w:tplc="D958B9D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CF52BB"/>
    <w:multiLevelType w:val="hybridMultilevel"/>
    <w:tmpl w:val="811ECB72"/>
    <w:lvl w:ilvl="0" w:tplc="92ECCA3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0EC30FC"/>
    <w:multiLevelType w:val="hybridMultilevel"/>
    <w:tmpl w:val="AEC8A366"/>
    <w:lvl w:ilvl="0" w:tplc="5D7EFF88">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61D5B2F"/>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155C8F"/>
    <w:multiLevelType w:val="hybridMultilevel"/>
    <w:tmpl w:val="EBE2CD40"/>
    <w:lvl w:ilvl="0" w:tplc="9E908536">
      <w:start w:val="1"/>
      <w:numFmt w:val="lowerLetter"/>
      <w:lvlText w:val="%1)"/>
      <w:lvlJc w:val="left"/>
      <w:pPr>
        <w:ind w:left="470" w:hanging="360"/>
      </w:pPr>
      <w:rPr>
        <w:rFonts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2"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33" w15:restartNumberingAfterBreak="0">
    <w:nsid w:val="66103F4E"/>
    <w:multiLevelType w:val="hybridMultilevel"/>
    <w:tmpl w:val="37AAF8A0"/>
    <w:lvl w:ilvl="0" w:tplc="BD088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DB3538"/>
    <w:multiLevelType w:val="hybridMultilevel"/>
    <w:tmpl w:val="E530F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1844C7"/>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8F3A3D"/>
    <w:multiLevelType w:val="hybridMultilevel"/>
    <w:tmpl w:val="D222E2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0B5B97"/>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95341E"/>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F24DF5"/>
    <w:multiLevelType w:val="hybridMultilevel"/>
    <w:tmpl w:val="4994245C"/>
    <w:lvl w:ilvl="0" w:tplc="D590A1BC">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40" w15:restartNumberingAfterBreak="0">
    <w:nsid w:val="7447089E"/>
    <w:multiLevelType w:val="hybridMultilevel"/>
    <w:tmpl w:val="0DCA4FA2"/>
    <w:lvl w:ilvl="0" w:tplc="D75A35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B3367D"/>
    <w:multiLevelType w:val="hybridMultilevel"/>
    <w:tmpl w:val="CA0A8570"/>
    <w:lvl w:ilvl="0" w:tplc="81004926">
      <w:start w:val="1"/>
      <w:numFmt w:val="upperLetter"/>
      <w:lvlText w:val="%1)"/>
      <w:lvlJc w:val="left"/>
      <w:pPr>
        <w:ind w:left="720" w:hanging="360"/>
      </w:pPr>
      <w:rPr>
        <w:color w:val="808080" w:themeColor="background1" w:themeShade="8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AAB5700"/>
    <w:multiLevelType w:val="hybridMultilevel"/>
    <w:tmpl w:val="8B049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C477424"/>
    <w:multiLevelType w:val="hybridMultilevel"/>
    <w:tmpl w:val="FD3800A8"/>
    <w:lvl w:ilvl="0" w:tplc="95AC7996">
      <w:start w:val="6"/>
      <w:numFmt w:val="upperRoman"/>
      <w:lvlText w:val="%1."/>
      <w:lvlJc w:val="righ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0"/>
  </w:num>
  <w:num w:numId="2">
    <w:abstractNumId w:val="21"/>
  </w:num>
  <w:num w:numId="3">
    <w:abstractNumId w:val="4"/>
  </w:num>
  <w:num w:numId="4">
    <w:abstractNumId w:val="3"/>
  </w:num>
  <w:num w:numId="5">
    <w:abstractNumId w:val="5"/>
  </w:num>
  <w:num w:numId="6">
    <w:abstractNumId w:val="16"/>
  </w:num>
  <w:num w:numId="7">
    <w:abstractNumId w:val="19"/>
  </w:num>
  <w:num w:numId="8">
    <w:abstractNumId w:val="15"/>
  </w:num>
  <w:num w:numId="9">
    <w:abstractNumId w:val="23"/>
  </w:num>
  <w:num w:numId="10">
    <w:abstractNumId w:val="27"/>
  </w:num>
  <w:num w:numId="11">
    <w:abstractNumId w:val="29"/>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0"/>
  </w:num>
  <w:num w:numId="15">
    <w:abstractNumId w:val="0"/>
  </w:num>
  <w:num w:numId="16">
    <w:abstractNumId w:val="9"/>
  </w:num>
  <w:num w:numId="17">
    <w:abstractNumId w:val="28"/>
  </w:num>
  <w:num w:numId="18">
    <w:abstractNumId w:val="36"/>
  </w:num>
  <w:num w:numId="19">
    <w:abstractNumId w:val="7"/>
  </w:num>
  <w:num w:numId="20">
    <w:abstractNumId w:val="24"/>
  </w:num>
  <w:num w:numId="21">
    <w:abstractNumId w:val="11"/>
  </w:num>
  <w:num w:numId="22">
    <w:abstractNumId w:val="25"/>
  </w:num>
  <w:num w:numId="23">
    <w:abstractNumId w:val="13"/>
  </w:num>
  <w:num w:numId="24">
    <w:abstractNumId w:val="31"/>
  </w:num>
  <w:num w:numId="25">
    <w:abstractNumId w:val="37"/>
  </w:num>
  <w:num w:numId="26">
    <w:abstractNumId w:val="3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8"/>
  </w:num>
  <w:num w:numId="35">
    <w:abstractNumId w:val="8"/>
  </w:num>
  <w:num w:numId="36">
    <w:abstractNumId w:val="17"/>
  </w:num>
  <w:num w:numId="37">
    <w:abstractNumId w:val="6"/>
  </w:num>
  <w:num w:numId="38">
    <w:abstractNumId w:val="35"/>
  </w:num>
  <w:num w:numId="39">
    <w:abstractNumId w:val="2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2"/>
  </w:num>
  <w:num w:numId="43">
    <w:abstractNumId w:val="34"/>
  </w:num>
  <w:num w:numId="44">
    <w:abstractNumId w:val="42"/>
  </w:num>
  <w:num w:numId="45">
    <w:abstractNumId w:val="20"/>
  </w:num>
  <w:num w:numId="4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6469"/>
    <w:rsid w:val="00010F14"/>
    <w:rsid w:val="00011D4F"/>
    <w:rsid w:val="000126BE"/>
    <w:rsid w:val="00014672"/>
    <w:rsid w:val="00014756"/>
    <w:rsid w:val="000209D9"/>
    <w:rsid w:val="00022C35"/>
    <w:rsid w:val="00024100"/>
    <w:rsid w:val="00024BFE"/>
    <w:rsid w:val="000270BA"/>
    <w:rsid w:val="00030357"/>
    <w:rsid w:val="00030696"/>
    <w:rsid w:val="00030F07"/>
    <w:rsid w:val="00035CE3"/>
    <w:rsid w:val="00036186"/>
    <w:rsid w:val="000367DD"/>
    <w:rsid w:val="000405DF"/>
    <w:rsid w:val="00040A53"/>
    <w:rsid w:val="00040D81"/>
    <w:rsid w:val="00044ADF"/>
    <w:rsid w:val="00046A7F"/>
    <w:rsid w:val="00047CCC"/>
    <w:rsid w:val="00050916"/>
    <w:rsid w:val="00051286"/>
    <w:rsid w:val="000522D8"/>
    <w:rsid w:val="000551E4"/>
    <w:rsid w:val="00055486"/>
    <w:rsid w:val="00056BF6"/>
    <w:rsid w:val="0005714F"/>
    <w:rsid w:val="00057B3D"/>
    <w:rsid w:val="00063CBA"/>
    <w:rsid w:val="00064961"/>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67B2"/>
    <w:rsid w:val="00087527"/>
    <w:rsid w:val="00092263"/>
    <w:rsid w:val="00093131"/>
    <w:rsid w:val="00093C5B"/>
    <w:rsid w:val="00096111"/>
    <w:rsid w:val="000A2518"/>
    <w:rsid w:val="000A2DE6"/>
    <w:rsid w:val="000A4374"/>
    <w:rsid w:val="000A59BF"/>
    <w:rsid w:val="000A63E0"/>
    <w:rsid w:val="000A6C73"/>
    <w:rsid w:val="000A6FDF"/>
    <w:rsid w:val="000B16E4"/>
    <w:rsid w:val="000B2E4E"/>
    <w:rsid w:val="000B3778"/>
    <w:rsid w:val="000B516E"/>
    <w:rsid w:val="000C002B"/>
    <w:rsid w:val="000C02F1"/>
    <w:rsid w:val="000C03A1"/>
    <w:rsid w:val="000C1023"/>
    <w:rsid w:val="000C18C6"/>
    <w:rsid w:val="000C1977"/>
    <w:rsid w:val="000C2061"/>
    <w:rsid w:val="000C2D6F"/>
    <w:rsid w:val="000C3A06"/>
    <w:rsid w:val="000C5991"/>
    <w:rsid w:val="000C624C"/>
    <w:rsid w:val="000C676C"/>
    <w:rsid w:val="000D34D5"/>
    <w:rsid w:val="000D5EEA"/>
    <w:rsid w:val="000D7465"/>
    <w:rsid w:val="000D7680"/>
    <w:rsid w:val="000E00D7"/>
    <w:rsid w:val="000E3121"/>
    <w:rsid w:val="000E729A"/>
    <w:rsid w:val="000F1CE0"/>
    <w:rsid w:val="000F3F71"/>
    <w:rsid w:val="000F41AD"/>
    <w:rsid w:val="000F5448"/>
    <w:rsid w:val="000F5619"/>
    <w:rsid w:val="000F5D6E"/>
    <w:rsid w:val="00100351"/>
    <w:rsid w:val="00100C21"/>
    <w:rsid w:val="00100C4C"/>
    <w:rsid w:val="00102664"/>
    <w:rsid w:val="00102DB5"/>
    <w:rsid w:val="001042B4"/>
    <w:rsid w:val="00104468"/>
    <w:rsid w:val="00106FA7"/>
    <w:rsid w:val="0010753E"/>
    <w:rsid w:val="00114296"/>
    <w:rsid w:val="00117EB1"/>
    <w:rsid w:val="0012029B"/>
    <w:rsid w:val="00123C99"/>
    <w:rsid w:val="0012450B"/>
    <w:rsid w:val="00125A02"/>
    <w:rsid w:val="00127BEA"/>
    <w:rsid w:val="001307BE"/>
    <w:rsid w:val="00133BCB"/>
    <w:rsid w:val="00135504"/>
    <w:rsid w:val="00141D60"/>
    <w:rsid w:val="00141DEA"/>
    <w:rsid w:val="00141ED8"/>
    <w:rsid w:val="001432A0"/>
    <w:rsid w:val="001436C3"/>
    <w:rsid w:val="00143BB7"/>
    <w:rsid w:val="00143D85"/>
    <w:rsid w:val="00145515"/>
    <w:rsid w:val="00151E8C"/>
    <w:rsid w:val="00154BF5"/>
    <w:rsid w:val="00161467"/>
    <w:rsid w:val="001614FB"/>
    <w:rsid w:val="00162737"/>
    <w:rsid w:val="00164696"/>
    <w:rsid w:val="00164899"/>
    <w:rsid w:val="00165DF5"/>
    <w:rsid w:val="00167803"/>
    <w:rsid w:val="00171621"/>
    <w:rsid w:val="00182A12"/>
    <w:rsid w:val="00182FA2"/>
    <w:rsid w:val="00186CB2"/>
    <w:rsid w:val="00186DB7"/>
    <w:rsid w:val="00191679"/>
    <w:rsid w:val="001938B4"/>
    <w:rsid w:val="001938C2"/>
    <w:rsid w:val="00194242"/>
    <w:rsid w:val="001954A2"/>
    <w:rsid w:val="00195AE8"/>
    <w:rsid w:val="0019773E"/>
    <w:rsid w:val="001A0CAB"/>
    <w:rsid w:val="001A0F50"/>
    <w:rsid w:val="001A1313"/>
    <w:rsid w:val="001A1594"/>
    <w:rsid w:val="001A727A"/>
    <w:rsid w:val="001A7FB2"/>
    <w:rsid w:val="001B40AD"/>
    <w:rsid w:val="001B47DA"/>
    <w:rsid w:val="001B56BC"/>
    <w:rsid w:val="001B77AA"/>
    <w:rsid w:val="001B7FFE"/>
    <w:rsid w:val="001C071A"/>
    <w:rsid w:val="001C1F1F"/>
    <w:rsid w:val="001C4722"/>
    <w:rsid w:val="001C66A8"/>
    <w:rsid w:val="001C73B5"/>
    <w:rsid w:val="001C7975"/>
    <w:rsid w:val="001D253D"/>
    <w:rsid w:val="001D33E0"/>
    <w:rsid w:val="001D6082"/>
    <w:rsid w:val="001E20FC"/>
    <w:rsid w:val="001E40A5"/>
    <w:rsid w:val="001E6EEF"/>
    <w:rsid w:val="001F1226"/>
    <w:rsid w:val="001F1771"/>
    <w:rsid w:val="001F1D27"/>
    <w:rsid w:val="001F24EF"/>
    <w:rsid w:val="001F35FE"/>
    <w:rsid w:val="001F3F56"/>
    <w:rsid w:val="001F4301"/>
    <w:rsid w:val="001F5858"/>
    <w:rsid w:val="001F60D3"/>
    <w:rsid w:val="001F7316"/>
    <w:rsid w:val="001F78E4"/>
    <w:rsid w:val="001F7B8F"/>
    <w:rsid w:val="0020008B"/>
    <w:rsid w:val="002021F3"/>
    <w:rsid w:val="00203F64"/>
    <w:rsid w:val="002040DB"/>
    <w:rsid w:val="00210C4F"/>
    <w:rsid w:val="002110F6"/>
    <w:rsid w:val="00211972"/>
    <w:rsid w:val="002144B3"/>
    <w:rsid w:val="0021623F"/>
    <w:rsid w:val="00217FA5"/>
    <w:rsid w:val="002201B9"/>
    <w:rsid w:val="00223FA0"/>
    <w:rsid w:val="002241F6"/>
    <w:rsid w:val="00225A52"/>
    <w:rsid w:val="00225E57"/>
    <w:rsid w:val="0022657A"/>
    <w:rsid w:val="002269E2"/>
    <w:rsid w:val="00230540"/>
    <w:rsid w:val="00232FA1"/>
    <w:rsid w:val="00233963"/>
    <w:rsid w:val="00236D72"/>
    <w:rsid w:val="00240932"/>
    <w:rsid w:val="00240A0A"/>
    <w:rsid w:val="00240EAD"/>
    <w:rsid w:val="00244602"/>
    <w:rsid w:val="00245BC8"/>
    <w:rsid w:val="00246651"/>
    <w:rsid w:val="00246C8D"/>
    <w:rsid w:val="00247BF2"/>
    <w:rsid w:val="00250112"/>
    <w:rsid w:val="0025101A"/>
    <w:rsid w:val="002520EE"/>
    <w:rsid w:val="002524E2"/>
    <w:rsid w:val="00252A36"/>
    <w:rsid w:val="00252CCD"/>
    <w:rsid w:val="00253A0F"/>
    <w:rsid w:val="0025547B"/>
    <w:rsid w:val="002558E4"/>
    <w:rsid w:val="00256831"/>
    <w:rsid w:val="00256905"/>
    <w:rsid w:val="0025754A"/>
    <w:rsid w:val="00257B06"/>
    <w:rsid w:val="00257D7E"/>
    <w:rsid w:val="00260AC1"/>
    <w:rsid w:val="00262FD5"/>
    <w:rsid w:val="002669EF"/>
    <w:rsid w:val="0027007A"/>
    <w:rsid w:val="00270A54"/>
    <w:rsid w:val="00270E97"/>
    <w:rsid w:val="00272AA0"/>
    <w:rsid w:val="0027331D"/>
    <w:rsid w:val="00276558"/>
    <w:rsid w:val="002767DB"/>
    <w:rsid w:val="00282224"/>
    <w:rsid w:val="00283BB4"/>
    <w:rsid w:val="00285116"/>
    <w:rsid w:val="002851D6"/>
    <w:rsid w:val="002877DC"/>
    <w:rsid w:val="002878EB"/>
    <w:rsid w:val="00290E33"/>
    <w:rsid w:val="00292A20"/>
    <w:rsid w:val="00295469"/>
    <w:rsid w:val="002959ED"/>
    <w:rsid w:val="00295B85"/>
    <w:rsid w:val="00295C16"/>
    <w:rsid w:val="00297B3F"/>
    <w:rsid w:val="002A112F"/>
    <w:rsid w:val="002A19E9"/>
    <w:rsid w:val="002A2DD4"/>
    <w:rsid w:val="002A5B45"/>
    <w:rsid w:val="002A5FB3"/>
    <w:rsid w:val="002A623F"/>
    <w:rsid w:val="002A6802"/>
    <w:rsid w:val="002A7432"/>
    <w:rsid w:val="002A7822"/>
    <w:rsid w:val="002B1584"/>
    <w:rsid w:val="002B19EF"/>
    <w:rsid w:val="002B20E1"/>
    <w:rsid w:val="002B2D70"/>
    <w:rsid w:val="002B330B"/>
    <w:rsid w:val="002B4EA7"/>
    <w:rsid w:val="002B6026"/>
    <w:rsid w:val="002B6645"/>
    <w:rsid w:val="002C07ED"/>
    <w:rsid w:val="002C13EF"/>
    <w:rsid w:val="002C31E1"/>
    <w:rsid w:val="002C3A6D"/>
    <w:rsid w:val="002C3FD6"/>
    <w:rsid w:val="002C41D0"/>
    <w:rsid w:val="002C57CD"/>
    <w:rsid w:val="002D3ADB"/>
    <w:rsid w:val="002D4A62"/>
    <w:rsid w:val="002D5294"/>
    <w:rsid w:val="002E49C6"/>
    <w:rsid w:val="002E6F5D"/>
    <w:rsid w:val="002E7A32"/>
    <w:rsid w:val="002E7DEF"/>
    <w:rsid w:val="002E7F5A"/>
    <w:rsid w:val="002F1915"/>
    <w:rsid w:val="002F2B6D"/>
    <w:rsid w:val="002F41EB"/>
    <w:rsid w:val="002F5C7D"/>
    <w:rsid w:val="002F6570"/>
    <w:rsid w:val="002F7886"/>
    <w:rsid w:val="003049DF"/>
    <w:rsid w:val="00305F18"/>
    <w:rsid w:val="003066CA"/>
    <w:rsid w:val="0030675A"/>
    <w:rsid w:val="00310909"/>
    <w:rsid w:val="00310DD5"/>
    <w:rsid w:val="00312652"/>
    <w:rsid w:val="00320F3E"/>
    <w:rsid w:val="003219B2"/>
    <w:rsid w:val="00322FAE"/>
    <w:rsid w:val="00323D24"/>
    <w:rsid w:val="003277F5"/>
    <w:rsid w:val="00330CB7"/>
    <w:rsid w:val="0033156C"/>
    <w:rsid w:val="003316C0"/>
    <w:rsid w:val="00332790"/>
    <w:rsid w:val="0033280D"/>
    <w:rsid w:val="00333ACD"/>
    <w:rsid w:val="00333AFE"/>
    <w:rsid w:val="00334810"/>
    <w:rsid w:val="00334CA4"/>
    <w:rsid w:val="00335A36"/>
    <w:rsid w:val="0033659E"/>
    <w:rsid w:val="003430BD"/>
    <w:rsid w:val="00343193"/>
    <w:rsid w:val="00346AB9"/>
    <w:rsid w:val="00346CD8"/>
    <w:rsid w:val="00351B05"/>
    <w:rsid w:val="0035235C"/>
    <w:rsid w:val="00352B67"/>
    <w:rsid w:val="00356CC3"/>
    <w:rsid w:val="00356FB3"/>
    <w:rsid w:val="00361085"/>
    <w:rsid w:val="00361833"/>
    <w:rsid w:val="00361BF0"/>
    <w:rsid w:val="0036382C"/>
    <w:rsid w:val="00363856"/>
    <w:rsid w:val="00364668"/>
    <w:rsid w:val="00364A2C"/>
    <w:rsid w:val="00366E34"/>
    <w:rsid w:val="003673A4"/>
    <w:rsid w:val="003678B8"/>
    <w:rsid w:val="0037220C"/>
    <w:rsid w:val="00372421"/>
    <w:rsid w:val="003728F5"/>
    <w:rsid w:val="003737EF"/>
    <w:rsid w:val="00373B52"/>
    <w:rsid w:val="003740B3"/>
    <w:rsid w:val="00374282"/>
    <w:rsid w:val="00374BFE"/>
    <w:rsid w:val="00375B28"/>
    <w:rsid w:val="003777F7"/>
    <w:rsid w:val="0037791A"/>
    <w:rsid w:val="00380FE9"/>
    <w:rsid w:val="00381115"/>
    <w:rsid w:val="00381C5F"/>
    <w:rsid w:val="00382EDA"/>
    <w:rsid w:val="00386473"/>
    <w:rsid w:val="00387BDD"/>
    <w:rsid w:val="0039209E"/>
    <w:rsid w:val="00393507"/>
    <w:rsid w:val="003939C8"/>
    <w:rsid w:val="00393F80"/>
    <w:rsid w:val="00394448"/>
    <w:rsid w:val="00397279"/>
    <w:rsid w:val="003977EA"/>
    <w:rsid w:val="003A0649"/>
    <w:rsid w:val="003A21C8"/>
    <w:rsid w:val="003A24BC"/>
    <w:rsid w:val="003A408C"/>
    <w:rsid w:val="003A5486"/>
    <w:rsid w:val="003A5A7C"/>
    <w:rsid w:val="003A5ACA"/>
    <w:rsid w:val="003A6179"/>
    <w:rsid w:val="003A6BBE"/>
    <w:rsid w:val="003B0AE7"/>
    <w:rsid w:val="003B1337"/>
    <w:rsid w:val="003B4CC5"/>
    <w:rsid w:val="003B4FDC"/>
    <w:rsid w:val="003B61B3"/>
    <w:rsid w:val="003C10A7"/>
    <w:rsid w:val="003C289C"/>
    <w:rsid w:val="003C2C57"/>
    <w:rsid w:val="003C2EA1"/>
    <w:rsid w:val="003C3FCD"/>
    <w:rsid w:val="003C41D0"/>
    <w:rsid w:val="003C5DFF"/>
    <w:rsid w:val="003C6162"/>
    <w:rsid w:val="003D4168"/>
    <w:rsid w:val="003D440B"/>
    <w:rsid w:val="003D73AC"/>
    <w:rsid w:val="003E0D97"/>
    <w:rsid w:val="003E1E6D"/>
    <w:rsid w:val="003E1F43"/>
    <w:rsid w:val="003E3BD5"/>
    <w:rsid w:val="003E577F"/>
    <w:rsid w:val="003E6120"/>
    <w:rsid w:val="003F0110"/>
    <w:rsid w:val="003F3977"/>
    <w:rsid w:val="003F540C"/>
    <w:rsid w:val="003F65E1"/>
    <w:rsid w:val="003F6B5B"/>
    <w:rsid w:val="00401547"/>
    <w:rsid w:val="00401C23"/>
    <w:rsid w:val="004029FD"/>
    <w:rsid w:val="00403F05"/>
    <w:rsid w:val="00404E96"/>
    <w:rsid w:val="00405ACF"/>
    <w:rsid w:val="00407EE2"/>
    <w:rsid w:val="004104DB"/>
    <w:rsid w:val="00411C96"/>
    <w:rsid w:val="00412005"/>
    <w:rsid w:val="00412DF1"/>
    <w:rsid w:val="00413C7F"/>
    <w:rsid w:val="00414E39"/>
    <w:rsid w:val="00414F86"/>
    <w:rsid w:val="00415199"/>
    <w:rsid w:val="00416E17"/>
    <w:rsid w:val="004171CD"/>
    <w:rsid w:val="00422BB1"/>
    <w:rsid w:val="004234DA"/>
    <w:rsid w:val="004235E7"/>
    <w:rsid w:val="00424F17"/>
    <w:rsid w:val="0042588A"/>
    <w:rsid w:val="004278A7"/>
    <w:rsid w:val="00434D69"/>
    <w:rsid w:val="00434DB8"/>
    <w:rsid w:val="004412AD"/>
    <w:rsid w:val="004427B1"/>
    <w:rsid w:val="004431B4"/>
    <w:rsid w:val="00443275"/>
    <w:rsid w:val="00445101"/>
    <w:rsid w:val="00445A5F"/>
    <w:rsid w:val="00446628"/>
    <w:rsid w:val="00451991"/>
    <w:rsid w:val="00451E73"/>
    <w:rsid w:val="0045325A"/>
    <w:rsid w:val="004556E8"/>
    <w:rsid w:val="004556EC"/>
    <w:rsid w:val="00460442"/>
    <w:rsid w:val="0046258D"/>
    <w:rsid w:val="004641A1"/>
    <w:rsid w:val="004652F5"/>
    <w:rsid w:val="00466AA8"/>
    <w:rsid w:val="0046702B"/>
    <w:rsid w:val="00467B01"/>
    <w:rsid w:val="00467BF3"/>
    <w:rsid w:val="004722B8"/>
    <w:rsid w:val="00474218"/>
    <w:rsid w:val="00475E05"/>
    <w:rsid w:val="004770EE"/>
    <w:rsid w:val="00482830"/>
    <w:rsid w:val="00484DAF"/>
    <w:rsid w:val="00485C6B"/>
    <w:rsid w:val="00486F06"/>
    <w:rsid w:val="004906EB"/>
    <w:rsid w:val="00492509"/>
    <w:rsid w:val="00494B1C"/>
    <w:rsid w:val="00494BD9"/>
    <w:rsid w:val="004A34DB"/>
    <w:rsid w:val="004A4EA7"/>
    <w:rsid w:val="004B126C"/>
    <w:rsid w:val="004B2881"/>
    <w:rsid w:val="004B2DBD"/>
    <w:rsid w:val="004B454B"/>
    <w:rsid w:val="004B5D5F"/>
    <w:rsid w:val="004B62E1"/>
    <w:rsid w:val="004C14CB"/>
    <w:rsid w:val="004C2F21"/>
    <w:rsid w:val="004C7596"/>
    <w:rsid w:val="004D3E79"/>
    <w:rsid w:val="004D4DBF"/>
    <w:rsid w:val="004D5CD7"/>
    <w:rsid w:val="004D68FE"/>
    <w:rsid w:val="004D7B9B"/>
    <w:rsid w:val="004E0459"/>
    <w:rsid w:val="004E2BA1"/>
    <w:rsid w:val="004E4F78"/>
    <w:rsid w:val="004E6656"/>
    <w:rsid w:val="004F15D5"/>
    <w:rsid w:val="004F2CC6"/>
    <w:rsid w:val="004F2FC2"/>
    <w:rsid w:val="004F580B"/>
    <w:rsid w:val="004F5CC7"/>
    <w:rsid w:val="004F666B"/>
    <w:rsid w:val="005003EB"/>
    <w:rsid w:val="005017C9"/>
    <w:rsid w:val="005038BA"/>
    <w:rsid w:val="00504DBB"/>
    <w:rsid w:val="00505563"/>
    <w:rsid w:val="00506F3E"/>
    <w:rsid w:val="00507D7B"/>
    <w:rsid w:val="005101B3"/>
    <w:rsid w:val="005123EC"/>
    <w:rsid w:val="00512DC2"/>
    <w:rsid w:val="005134DB"/>
    <w:rsid w:val="005136D4"/>
    <w:rsid w:val="00513934"/>
    <w:rsid w:val="00513CE9"/>
    <w:rsid w:val="0051571D"/>
    <w:rsid w:val="00517765"/>
    <w:rsid w:val="00517B70"/>
    <w:rsid w:val="0052149E"/>
    <w:rsid w:val="00522668"/>
    <w:rsid w:val="005244DA"/>
    <w:rsid w:val="0052495A"/>
    <w:rsid w:val="00530066"/>
    <w:rsid w:val="00530604"/>
    <w:rsid w:val="0053102B"/>
    <w:rsid w:val="00533125"/>
    <w:rsid w:val="005349BA"/>
    <w:rsid w:val="00540275"/>
    <w:rsid w:val="00540ED9"/>
    <w:rsid w:val="00542178"/>
    <w:rsid w:val="005421C3"/>
    <w:rsid w:val="0054613E"/>
    <w:rsid w:val="005467D2"/>
    <w:rsid w:val="00546A1A"/>
    <w:rsid w:val="0054782B"/>
    <w:rsid w:val="00553D7B"/>
    <w:rsid w:val="005542C8"/>
    <w:rsid w:val="0055454C"/>
    <w:rsid w:val="0055474B"/>
    <w:rsid w:val="00562C2C"/>
    <w:rsid w:val="00562EF9"/>
    <w:rsid w:val="00563BC0"/>
    <w:rsid w:val="00564516"/>
    <w:rsid w:val="00564DF7"/>
    <w:rsid w:val="00566BD2"/>
    <w:rsid w:val="005733B4"/>
    <w:rsid w:val="0057555C"/>
    <w:rsid w:val="005758DD"/>
    <w:rsid w:val="00576CA8"/>
    <w:rsid w:val="00580490"/>
    <w:rsid w:val="0058315F"/>
    <w:rsid w:val="00583762"/>
    <w:rsid w:val="0058672B"/>
    <w:rsid w:val="00586733"/>
    <w:rsid w:val="0058707D"/>
    <w:rsid w:val="00587295"/>
    <w:rsid w:val="00587498"/>
    <w:rsid w:val="005902D3"/>
    <w:rsid w:val="005932DE"/>
    <w:rsid w:val="00593D9F"/>
    <w:rsid w:val="005975C4"/>
    <w:rsid w:val="005A10DB"/>
    <w:rsid w:val="005A29D9"/>
    <w:rsid w:val="005A2CD9"/>
    <w:rsid w:val="005A3C41"/>
    <w:rsid w:val="005A4369"/>
    <w:rsid w:val="005A4E6B"/>
    <w:rsid w:val="005A73E1"/>
    <w:rsid w:val="005A751D"/>
    <w:rsid w:val="005B1F6F"/>
    <w:rsid w:val="005B232C"/>
    <w:rsid w:val="005B546C"/>
    <w:rsid w:val="005B6907"/>
    <w:rsid w:val="005B7169"/>
    <w:rsid w:val="005C0F44"/>
    <w:rsid w:val="005C2080"/>
    <w:rsid w:val="005C2596"/>
    <w:rsid w:val="005C34D5"/>
    <w:rsid w:val="005C3AD5"/>
    <w:rsid w:val="005C5E1D"/>
    <w:rsid w:val="005C720E"/>
    <w:rsid w:val="005D1820"/>
    <w:rsid w:val="005D1967"/>
    <w:rsid w:val="005D3EC0"/>
    <w:rsid w:val="005D3EF4"/>
    <w:rsid w:val="005D570C"/>
    <w:rsid w:val="005D67E1"/>
    <w:rsid w:val="005E16BD"/>
    <w:rsid w:val="005E1F65"/>
    <w:rsid w:val="005E20B4"/>
    <w:rsid w:val="005E36A4"/>
    <w:rsid w:val="005E3C8D"/>
    <w:rsid w:val="005E4E25"/>
    <w:rsid w:val="005E6B3E"/>
    <w:rsid w:val="005F4540"/>
    <w:rsid w:val="005F6F02"/>
    <w:rsid w:val="00600575"/>
    <w:rsid w:val="006029A0"/>
    <w:rsid w:val="0060411D"/>
    <w:rsid w:val="00606583"/>
    <w:rsid w:val="006110ED"/>
    <w:rsid w:val="006139C5"/>
    <w:rsid w:val="00613AED"/>
    <w:rsid w:val="00616B19"/>
    <w:rsid w:val="00617EAA"/>
    <w:rsid w:val="00621A98"/>
    <w:rsid w:val="00623D27"/>
    <w:rsid w:val="006264F4"/>
    <w:rsid w:val="006276E0"/>
    <w:rsid w:val="00627A77"/>
    <w:rsid w:val="00627F56"/>
    <w:rsid w:val="00630BCE"/>
    <w:rsid w:val="006312AB"/>
    <w:rsid w:val="006326D6"/>
    <w:rsid w:val="00633465"/>
    <w:rsid w:val="00634667"/>
    <w:rsid w:val="00640E9E"/>
    <w:rsid w:val="00645132"/>
    <w:rsid w:val="0064678A"/>
    <w:rsid w:val="00646A5A"/>
    <w:rsid w:val="006470A6"/>
    <w:rsid w:val="00650B56"/>
    <w:rsid w:val="00651F19"/>
    <w:rsid w:val="0065266D"/>
    <w:rsid w:val="00652F87"/>
    <w:rsid w:val="006563AE"/>
    <w:rsid w:val="00656C4F"/>
    <w:rsid w:val="00660DFB"/>
    <w:rsid w:val="006622CB"/>
    <w:rsid w:val="006648B2"/>
    <w:rsid w:val="00664DCC"/>
    <w:rsid w:val="00665584"/>
    <w:rsid w:val="00667143"/>
    <w:rsid w:val="00671703"/>
    <w:rsid w:val="00671B9E"/>
    <w:rsid w:val="0067243E"/>
    <w:rsid w:val="00672BEC"/>
    <w:rsid w:val="00673004"/>
    <w:rsid w:val="006743D1"/>
    <w:rsid w:val="00675AC1"/>
    <w:rsid w:val="00676FBD"/>
    <w:rsid w:val="006775AA"/>
    <w:rsid w:val="0068014E"/>
    <w:rsid w:val="00682E6C"/>
    <w:rsid w:val="006842B6"/>
    <w:rsid w:val="00691F05"/>
    <w:rsid w:val="00692454"/>
    <w:rsid w:val="00692FCC"/>
    <w:rsid w:val="0069393F"/>
    <w:rsid w:val="00693B83"/>
    <w:rsid w:val="00694CBA"/>
    <w:rsid w:val="00696682"/>
    <w:rsid w:val="006A0489"/>
    <w:rsid w:val="006A0E41"/>
    <w:rsid w:val="006A166E"/>
    <w:rsid w:val="006A4AC6"/>
    <w:rsid w:val="006A55C9"/>
    <w:rsid w:val="006A5EE1"/>
    <w:rsid w:val="006A6A7A"/>
    <w:rsid w:val="006A7015"/>
    <w:rsid w:val="006A7FAC"/>
    <w:rsid w:val="006B24CD"/>
    <w:rsid w:val="006B2904"/>
    <w:rsid w:val="006B2AA6"/>
    <w:rsid w:val="006B34F8"/>
    <w:rsid w:val="006B355B"/>
    <w:rsid w:val="006B5348"/>
    <w:rsid w:val="006B5A3F"/>
    <w:rsid w:val="006B5CF6"/>
    <w:rsid w:val="006B6153"/>
    <w:rsid w:val="006B763F"/>
    <w:rsid w:val="006C0B46"/>
    <w:rsid w:val="006C2543"/>
    <w:rsid w:val="006C2B1B"/>
    <w:rsid w:val="006C31CC"/>
    <w:rsid w:val="006C36DE"/>
    <w:rsid w:val="006C59DE"/>
    <w:rsid w:val="006D2336"/>
    <w:rsid w:val="006D4BFA"/>
    <w:rsid w:val="006D691D"/>
    <w:rsid w:val="006E18E2"/>
    <w:rsid w:val="006E6339"/>
    <w:rsid w:val="006E6809"/>
    <w:rsid w:val="006E681F"/>
    <w:rsid w:val="006F1794"/>
    <w:rsid w:val="006F2D61"/>
    <w:rsid w:val="006F2F9B"/>
    <w:rsid w:val="006F37EF"/>
    <w:rsid w:val="006F3859"/>
    <w:rsid w:val="0070041B"/>
    <w:rsid w:val="007005A8"/>
    <w:rsid w:val="00701795"/>
    <w:rsid w:val="00704294"/>
    <w:rsid w:val="0070470C"/>
    <w:rsid w:val="00705767"/>
    <w:rsid w:val="00705C21"/>
    <w:rsid w:val="00706D6C"/>
    <w:rsid w:val="007072EA"/>
    <w:rsid w:val="00711B10"/>
    <w:rsid w:val="007126EB"/>
    <w:rsid w:val="007140E2"/>
    <w:rsid w:val="00715405"/>
    <w:rsid w:val="00715592"/>
    <w:rsid w:val="007174B1"/>
    <w:rsid w:val="00720BAB"/>
    <w:rsid w:val="00721CC4"/>
    <w:rsid w:val="0072204F"/>
    <w:rsid w:val="00723883"/>
    <w:rsid w:val="007255C4"/>
    <w:rsid w:val="00726E1D"/>
    <w:rsid w:val="0072751A"/>
    <w:rsid w:val="00733024"/>
    <w:rsid w:val="00733504"/>
    <w:rsid w:val="0073464A"/>
    <w:rsid w:val="00734797"/>
    <w:rsid w:val="007354DA"/>
    <w:rsid w:val="00735F30"/>
    <w:rsid w:val="0073621E"/>
    <w:rsid w:val="007427A0"/>
    <w:rsid w:val="007449AB"/>
    <w:rsid w:val="00744E6F"/>
    <w:rsid w:val="00745B59"/>
    <w:rsid w:val="00747919"/>
    <w:rsid w:val="00750274"/>
    <w:rsid w:val="00750E20"/>
    <w:rsid w:val="00752145"/>
    <w:rsid w:val="007521A1"/>
    <w:rsid w:val="007523C9"/>
    <w:rsid w:val="00752635"/>
    <w:rsid w:val="007529C9"/>
    <w:rsid w:val="00752E4E"/>
    <w:rsid w:val="00755523"/>
    <w:rsid w:val="00756A48"/>
    <w:rsid w:val="0075736A"/>
    <w:rsid w:val="00757498"/>
    <w:rsid w:val="007608FD"/>
    <w:rsid w:val="007626EE"/>
    <w:rsid w:val="0076292E"/>
    <w:rsid w:val="00763360"/>
    <w:rsid w:val="00764416"/>
    <w:rsid w:val="00764488"/>
    <w:rsid w:val="00764AB7"/>
    <w:rsid w:val="007665C7"/>
    <w:rsid w:val="007710A8"/>
    <w:rsid w:val="00771FB5"/>
    <w:rsid w:val="0077383E"/>
    <w:rsid w:val="0077477C"/>
    <w:rsid w:val="0077488F"/>
    <w:rsid w:val="00776D3E"/>
    <w:rsid w:val="0077749F"/>
    <w:rsid w:val="0078078B"/>
    <w:rsid w:val="00782DD5"/>
    <w:rsid w:val="0079024E"/>
    <w:rsid w:val="00793F07"/>
    <w:rsid w:val="007967E7"/>
    <w:rsid w:val="00796F49"/>
    <w:rsid w:val="00797556"/>
    <w:rsid w:val="00797723"/>
    <w:rsid w:val="007A0BE6"/>
    <w:rsid w:val="007A0C5E"/>
    <w:rsid w:val="007A2869"/>
    <w:rsid w:val="007A3B65"/>
    <w:rsid w:val="007A41BB"/>
    <w:rsid w:val="007B00B3"/>
    <w:rsid w:val="007B0642"/>
    <w:rsid w:val="007B3E00"/>
    <w:rsid w:val="007B6AC5"/>
    <w:rsid w:val="007B6DAD"/>
    <w:rsid w:val="007C10F5"/>
    <w:rsid w:val="007C12FE"/>
    <w:rsid w:val="007C297E"/>
    <w:rsid w:val="007C6528"/>
    <w:rsid w:val="007C6659"/>
    <w:rsid w:val="007D172B"/>
    <w:rsid w:val="007D2925"/>
    <w:rsid w:val="007D52DA"/>
    <w:rsid w:val="007D6C69"/>
    <w:rsid w:val="007E057C"/>
    <w:rsid w:val="007E1654"/>
    <w:rsid w:val="007E1B67"/>
    <w:rsid w:val="007E2235"/>
    <w:rsid w:val="007E42DD"/>
    <w:rsid w:val="007E6300"/>
    <w:rsid w:val="007E70AD"/>
    <w:rsid w:val="007F3001"/>
    <w:rsid w:val="007F392D"/>
    <w:rsid w:val="007F4153"/>
    <w:rsid w:val="007F4213"/>
    <w:rsid w:val="007F5756"/>
    <w:rsid w:val="007F6A8B"/>
    <w:rsid w:val="007F779D"/>
    <w:rsid w:val="008006C0"/>
    <w:rsid w:val="00801740"/>
    <w:rsid w:val="00801A09"/>
    <w:rsid w:val="0080297E"/>
    <w:rsid w:val="00802C12"/>
    <w:rsid w:val="00806BE7"/>
    <w:rsid w:val="0080715F"/>
    <w:rsid w:val="00807DB8"/>
    <w:rsid w:val="00812292"/>
    <w:rsid w:val="00816CB8"/>
    <w:rsid w:val="00816E5B"/>
    <w:rsid w:val="00817A35"/>
    <w:rsid w:val="00817DC5"/>
    <w:rsid w:val="00820A73"/>
    <w:rsid w:val="00821778"/>
    <w:rsid w:val="0082476F"/>
    <w:rsid w:val="00824C9E"/>
    <w:rsid w:val="00825485"/>
    <w:rsid w:val="0082584B"/>
    <w:rsid w:val="00831D49"/>
    <w:rsid w:val="00832615"/>
    <w:rsid w:val="008327D4"/>
    <w:rsid w:val="00833808"/>
    <w:rsid w:val="00834D18"/>
    <w:rsid w:val="008356E2"/>
    <w:rsid w:val="0083672B"/>
    <w:rsid w:val="0083712E"/>
    <w:rsid w:val="0084251D"/>
    <w:rsid w:val="00845748"/>
    <w:rsid w:val="00845F45"/>
    <w:rsid w:val="00846BE3"/>
    <w:rsid w:val="00846EB9"/>
    <w:rsid w:val="00847C4B"/>
    <w:rsid w:val="0085040A"/>
    <w:rsid w:val="00853F9E"/>
    <w:rsid w:val="00855C41"/>
    <w:rsid w:val="0085613D"/>
    <w:rsid w:val="0085645F"/>
    <w:rsid w:val="0086172B"/>
    <w:rsid w:val="00861C46"/>
    <w:rsid w:val="008621AD"/>
    <w:rsid w:val="00862FC4"/>
    <w:rsid w:val="008632CF"/>
    <w:rsid w:val="008645A5"/>
    <w:rsid w:val="00865154"/>
    <w:rsid w:val="00865C5D"/>
    <w:rsid w:val="00871226"/>
    <w:rsid w:val="008730A6"/>
    <w:rsid w:val="008732B7"/>
    <w:rsid w:val="0087565F"/>
    <w:rsid w:val="00875A36"/>
    <w:rsid w:val="0088072B"/>
    <w:rsid w:val="00881A39"/>
    <w:rsid w:val="00882BC8"/>
    <w:rsid w:val="008870BF"/>
    <w:rsid w:val="00887D59"/>
    <w:rsid w:val="008900B3"/>
    <w:rsid w:val="00890A77"/>
    <w:rsid w:val="00890C0E"/>
    <w:rsid w:val="00891B08"/>
    <w:rsid w:val="00894CED"/>
    <w:rsid w:val="008955F6"/>
    <w:rsid w:val="00895621"/>
    <w:rsid w:val="00895CDE"/>
    <w:rsid w:val="00896C17"/>
    <w:rsid w:val="008A0997"/>
    <w:rsid w:val="008A1E22"/>
    <w:rsid w:val="008A271C"/>
    <w:rsid w:val="008A287D"/>
    <w:rsid w:val="008A356E"/>
    <w:rsid w:val="008A398D"/>
    <w:rsid w:val="008A4282"/>
    <w:rsid w:val="008A510E"/>
    <w:rsid w:val="008A69FD"/>
    <w:rsid w:val="008B1660"/>
    <w:rsid w:val="008B1EB7"/>
    <w:rsid w:val="008B3769"/>
    <w:rsid w:val="008B3FCA"/>
    <w:rsid w:val="008B488D"/>
    <w:rsid w:val="008B6336"/>
    <w:rsid w:val="008B74DC"/>
    <w:rsid w:val="008C301B"/>
    <w:rsid w:val="008C72AC"/>
    <w:rsid w:val="008C7A4F"/>
    <w:rsid w:val="008D13BC"/>
    <w:rsid w:val="008D355B"/>
    <w:rsid w:val="008D361B"/>
    <w:rsid w:val="008D3CE3"/>
    <w:rsid w:val="008D6F09"/>
    <w:rsid w:val="008E06C8"/>
    <w:rsid w:val="008E2586"/>
    <w:rsid w:val="008E3B31"/>
    <w:rsid w:val="008F0BC2"/>
    <w:rsid w:val="008F20CB"/>
    <w:rsid w:val="008F2571"/>
    <w:rsid w:val="008F2960"/>
    <w:rsid w:val="008F337F"/>
    <w:rsid w:val="008F36A7"/>
    <w:rsid w:val="008F62E6"/>
    <w:rsid w:val="008F730A"/>
    <w:rsid w:val="008F7DD1"/>
    <w:rsid w:val="00901DB1"/>
    <w:rsid w:val="00901FA9"/>
    <w:rsid w:val="00902BD8"/>
    <w:rsid w:val="00902D03"/>
    <w:rsid w:val="00902D57"/>
    <w:rsid w:val="00903B5E"/>
    <w:rsid w:val="00906B39"/>
    <w:rsid w:val="00906B79"/>
    <w:rsid w:val="009102C9"/>
    <w:rsid w:val="00912B80"/>
    <w:rsid w:val="00912D6C"/>
    <w:rsid w:val="009147C7"/>
    <w:rsid w:val="0091595A"/>
    <w:rsid w:val="00916C1A"/>
    <w:rsid w:val="00922D4E"/>
    <w:rsid w:val="009230F4"/>
    <w:rsid w:val="00923937"/>
    <w:rsid w:val="009249F2"/>
    <w:rsid w:val="00925833"/>
    <w:rsid w:val="009258B7"/>
    <w:rsid w:val="00926583"/>
    <w:rsid w:val="0093023E"/>
    <w:rsid w:val="009332F6"/>
    <w:rsid w:val="00933BD8"/>
    <w:rsid w:val="00933CC2"/>
    <w:rsid w:val="00933D08"/>
    <w:rsid w:val="00933FA4"/>
    <w:rsid w:val="009344FC"/>
    <w:rsid w:val="00934A48"/>
    <w:rsid w:val="00936301"/>
    <w:rsid w:val="009364AB"/>
    <w:rsid w:val="0093758C"/>
    <w:rsid w:val="009409A5"/>
    <w:rsid w:val="00942CE8"/>
    <w:rsid w:val="00943727"/>
    <w:rsid w:val="0094694E"/>
    <w:rsid w:val="00946B07"/>
    <w:rsid w:val="0094785E"/>
    <w:rsid w:val="00953777"/>
    <w:rsid w:val="00954336"/>
    <w:rsid w:val="0095612E"/>
    <w:rsid w:val="00956E73"/>
    <w:rsid w:val="00960812"/>
    <w:rsid w:val="009610E5"/>
    <w:rsid w:val="00965C0C"/>
    <w:rsid w:val="00966307"/>
    <w:rsid w:val="00971694"/>
    <w:rsid w:val="00975896"/>
    <w:rsid w:val="009771AB"/>
    <w:rsid w:val="0097732A"/>
    <w:rsid w:val="00977868"/>
    <w:rsid w:val="00977CF6"/>
    <w:rsid w:val="0098126D"/>
    <w:rsid w:val="009819E9"/>
    <w:rsid w:val="00983180"/>
    <w:rsid w:val="00985318"/>
    <w:rsid w:val="009859E8"/>
    <w:rsid w:val="00987264"/>
    <w:rsid w:val="00994E1D"/>
    <w:rsid w:val="00995E6A"/>
    <w:rsid w:val="009961B8"/>
    <w:rsid w:val="00996430"/>
    <w:rsid w:val="00997BFA"/>
    <w:rsid w:val="009A05DE"/>
    <w:rsid w:val="009A0A31"/>
    <w:rsid w:val="009A2C60"/>
    <w:rsid w:val="009A407F"/>
    <w:rsid w:val="009A5A8A"/>
    <w:rsid w:val="009A6CEA"/>
    <w:rsid w:val="009A7A82"/>
    <w:rsid w:val="009B10A9"/>
    <w:rsid w:val="009B2A23"/>
    <w:rsid w:val="009B3B09"/>
    <w:rsid w:val="009B47CC"/>
    <w:rsid w:val="009B54F3"/>
    <w:rsid w:val="009B5B26"/>
    <w:rsid w:val="009B63FA"/>
    <w:rsid w:val="009C0345"/>
    <w:rsid w:val="009C45CD"/>
    <w:rsid w:val="009C60E5"/>
    <w:rsid w:val="009C70B6"/>
    <w:rsid w:val="009D310D"/>
    <w:rsid w:val="009D34FF"/>
    <w:rsid w:val="009D578B"/>
    <w:rsid w:val="009E0735"/>
    <w:rsid w:val="009E0DCA"/>
    <w:rsid w:val="009E0E18"/>
    <w:rsid w:val="009E1871"/>
    <w:rsid w:val="009E1F58"/>
    <w:rsid w:val="009E2648"/>
    <w:rsid w:val="009E4B01"/>
    <w:rsid w:val="009E7BBC"/>
    <w:rsid w:val="009F15E0"/>
    <w:rsid w:val="009F2118"/>
    <w:rsid w:val="009F349D"/>
    <w:rsid w:val="009F4FEE"/>
    <w:rsid w:val="009F512A"/>
    <w:rsid w:val="009F56C2"/>
    <w:rsid w:val="009F5F15"/>
    <w:rsid w:val="009F628D"/>
    <w:rsid w:val="009F7F45"/>
    <w:rsid w:val="00A01341"/>
    <w:rsid w:val="00A01D73"/>
    <w:rsid w:val="00A05652"/>
    <w:rsid w:val="00A058B7"/>
    <w:rsid w:val="00A0789B"/>
    <w:rsid w:val="00A10998"/>
    <w:rsid w:val="00A118B4"/>
    <w:rsid w:val="00A1223D"/>
    <w:rsid w:val="00A13E09"/>
    <w:rsid w:val="00A1461B"/>
    <w:rsid w:val="00A14B58"/>
    <w:rsid w:val="00A15641"/>
    <w:rsid w:val="00A20163"/>
    <w:rsid w:val="00A204EA"/>
    <w:rsid w:val="00A2311A"/>
    <w:rsid w:val="00A2468E"/>
    <w:rsid w:val="00A25331"/>
    <w:rsid w:val="00A25ED9"/>
    <w:rsid w:val="00A26BF2"/>
    <w:rsid w:val="00A27746"/>
    <w:rsid w:val="00A32686"/>
    <w:rsid w:val="00A350F2"/>
    <w:rsid w:val="00A3647C"/>
    <w:rsid w:val="00A36641"/>
    <w:rsid w:val="00A40204"/>
    <w:rsid w:val="00A41555"/>
    <w:rsid w:val="00A42D7A"/>
    <w:rsid w:val="00A42F7D"/>
    <w:rsid w:val="00A46599"/>
    <w:rsid w:val="00A47444"/>
    <w:rsid w:val="00A5117A"/>
    <w:rsid w:val="00A5201C"/>
    <w:rsid w:val="00A54E47"/>
    <w:rsid w:val="00A5616D"/>
    <w:rsid w:val="00A563EE"/>
    <w:rsid w:val="00A57201"/>
    <w:rsid w:val="00A60692"/>
    <w:rsid w:val="00A61E65"/>
    <w:rsid w:val="00A62781"/>
    <w:rsid w:val="00A650C3"/>
    <w:rsid w:val="00A67CCA"/>
    <w:rsid w:val="00A707B2"/>
    <w:rsid w:val="00A709F7"/>
    <w:rsid w:val="00A732F9"/>
    <w:rsid w:val="00A73A4F"/>
    <w:rsid w:val="00A74CAE"/>
    <w:rsid w:val="00A75071"/>
    <w:rsid w:val="00A7576D"/>
    <w:rsid w:val="00A7734E"/>
    <w:rsid w:val="00A77799"/>
    <w:rsid w:val="00A828B4"/>
    <w:rsid w:val="00A82CAB"/>
    <w:rsid w:val="00A83062"/>
    <w:rsid w:val="00A8446E"/>
    <w:rsid w:val="00A84D8D"/>
    <w:rsid w:val="00A84E0D"/>
    <w:rsid w:val="00A85478"/>
    <w:rsid w:val="00A8634F"/>
    <w:rsid w:val="00A87A8A"/>
    <w:rsid w:val="00A90F09"/>
    <w:rsid w:val="00A9282B"/>
    <w:rsid w:val="00A96E45"/>
    <w:rsid w:val="00AA1098"/>
    <w:rsid w:val="00AA10B8"/>
    <w:rsid w:val="00AA10C3"/>
    <w:rsid w:val="00AA1C95"/>
    <w:rsid w:val="00AA2108"/>
    <w:rsid w:val="00AA3F41"/>
    <w:rsid w:val="00AA57C8"/>
    <w:rsid w:val="00AA6299"/>
    <w:rsid w:val="00AA62E3"/>
    <w:rsid w:val="00AB0494"/>
    <w:rsid w:val="00AB0529"/>
    <w:rsid w:val="00AB1308"/>
    <w:rsid w:val="00AB14A8"/>
    <w:rsid w:val="00AB3DFB"/>
    <w:rsid w:val="00AB52EB"/>
    <w:rsid w:val="00AB6DC8"/>
    <w:rsid w:val="00AB7ABF"/>
    <w:rsid w:val="00AC042D"/>
    <w:rsid w:val="00AC1314"/>
    <w:rsid w:val="00AC3914"/>
    <w:rsid w:val="00AC4462"/>
    <w:rsid w:val="00AD0EA3"/>
    <w:rsid w:val="00AD2800"/>
    <w:rsid w:val="00AD5197"/>
    <w:rsid w:val="00AD5649"/>
    <w:rsid w:val="00AD684E"/>
    <w:rsid w:val="00AD70F9"/>
    <w:rsid w:val="00AE1EF7"/>
    <w:rsid w:val="00AE26AF"/>
    <w:rsid w:val="00AE3BA2"/>
    <w:rsid w:val="00AE5937"/>
    <w:rsid w:val="00AE6A73"/>
    <w:rsid w:val="00AE6DA7"/>
    <w:rsid w:val="00AE7804"/>
    <w:rsid w:val="00AF083C"/>
    <w:rsid w:val="00AF18E3"/>
    <w:rsid w:val="00AF31E7"/>
    <w:rsid w:val="00AF3CA2"/>
    <w:rsid w:val="00B001B4"/>
    <w:rsid w:val="00B01893"/>
    <w:rsid w:val="00B04FBD"/>
    <w:rsid w:val="00B07B8E"/>
    <w:rsid w:val="00B07CD9"/>
    <w:rsid w:val="00B112E6"/>
    <w:rsid w:val="00B126B2"/>
    <w:rsid w:val="00B13026"/>
    <w:rsid w:val="00B21FC3"/>
    <w:rsid w:val="00B2476E"/>
    <w:rsid w:val="00B26D84"/>
    <w:rsid w:val="00B2707D"/>
    <w:rsid w:val="00B306D3"/>
    <w:rsid w:val="00B334E0"/>
    <w:rsid w:val="00B3602D"/>
    <w:rsid w:val="00B36F51"/>
    <w:rsid w:val="00B37A21"/>
    <w:rsid w:val="00B4136A"/>
    <w:rsid w:val="00B41C92"/>
    <w:rsid w:val="00B43E08"/>
    <w:rsid w:val="00B4518C"/>
    <w:rsid w:val="00B459D4"/>
    <w:rsid w:val="00B461CE"/>
    <w:rsid w:val="00B47A33"/>
    <w:rsid w:val="00B53341"/>
    <w:rsid w:val="00B54F65"/>
    <w:rsid w:val="00B56B91"/>
    <w:rsid w:val="00B607B5"/>
    <w:rsid w:val="00B615F9"/>
    <w:rsid w:val="00B61DDF"/>
    <w:rsid w:val="00B66210"/>
    <w:rsid w:val="00B66CD8"/>
    <w:rsid w:val="00B67E1E"/>
    <w:rsid w:val="00B702FE"/>
    <w:rsid w:val="00B7037A"/>
    <w:rsid w:val="00B72AA2"/>
    <w:rsid w:val="00B72F26"/>
    <w:rsid w:val="00B740A2"/>
    <w:rsid w:val="00B74320"/>
    <w:rsid w:val="00B759DD"/>
    <w:rsid w:val="00B7610A"/>
    <w:rsid w:val="00B76A1E"/>
    <w:rsid w:val="00B77048"/>
    <w:rsid w:val="00B77A24"/>
    <w:rsid w:val="00B77BDF"/>
    <w:rsid w:val="00B77D70"/>
    <w:rsid w:val="00B80B55"/>
    <w:rsid w:val="00B82359"/>
    <w:rsid w:val="00B837BC"/>
    <w:rsid w:val="00B83A71"/>
    <w:rsid w:val="00B84DCE"/>
    <w:rsid w:val="00B85695"/>
    <w:rsid w:val="00B8608A"/>
    <w:rsid w:val="00B9047B"/>
    <w:rsid w:val="00B92054"/>
    <w:rsid w:val="00B93132"/>
    <w:rsid w:val="00BA0212"/>
    <w:rsid w:val="00BA1FE0"/>
    <w:rsid w:val="00BA26E0"/>
    <w:rsid w:val="00BA2972"/>
    <w:rsid w:val="00BA5254"/>
    <w:rsid w:val="00BA729D"/>
    <w:rsid w:val="00BB0A4C"/>
    <w:rsid w:val="00BB6553"/>
    <w:rsid w:val="00BB65A1"/>
    <w:rsid w:val="00BB7207"/>
    <w:rsid w:val="00BB79C2"/>
    <w:rsid w:val="00BC02BC"/>
    <w:rsid w:val="00BC1C71"/>
    <w:rsid w:val="00BC3DD8"/>
    <w:rsid w:val="00BC3EB5"/>
    <w:rsid w:val="00BC3ED5"/>
    <w:rsid w:val="00BC4A03"/>
    <w:rsid w:val="00BC4D52"/>
    <w:rsid w:val="00BD2AF0"/>
    <w:rsid w:val="00BD3181"/>
    <w:rsid w:val="00BD5005"/>
    <w:rsid w:val="00BD6723"/>
    <w:rsid w:val="00BD7816"/>
    <w:rsid w:val="00BE1187"/>
    <w:rsid w:val="00BE1BEA"/>
    <w:rsid w:val="00BE2CB6"/>
    <w:rsid w:val="00BE40CA"/>
    <w:rsid w:val="00BE604D"/>
    <w:rsid w:val="00BF44BF"/>
    <w:rsid w:val="00BF490A"/>
    <w:rsid w:val="00BF54E1"/>
    <w:rsid w:val="00BF69BE"/>
    <w:rsid w:val="00C03FB2"/>
    <w:rsid w:val="00C040E7"/>
    <w:rsid w:val="00C0737D"/>
    <w:rsid w:val="00C12C29"/>
    <w:rsid w:val="00C144FF"/>
    <w:rsid w:val="00C14A35"/>
    <w:rsid w:val="00C2080C"/>
    <w:rsid w:val="00C22004"/>
    <w:rsid w:val="00C30826"/>
    <w:rsid w:val="00C30B91"/>
    <w:rsid w:val="00C35135"/>
    <w:rsid w:val="00C4199E"/>
    <w:rsid w:val="00C41E1F"/>
    <w:rsid w:val="00C4275C"/>
    <w:rsid w:val="00C4374A"/>
    <w:rsid w:val="00C4419A"/>
    <w:rsid w:val="00C44C34"/>
    <w:rsid w:val="00C44F31"/>
    <w:rsid w:val="00C45B67"/>
    <w:rsid w:val="00C461FB"/>
    <w:rsid w:val="00C5210D"/>
    <w:rsid w:val="00C52970"/>
    <w:rsid w:val="00C53AD7"/>
    <w:rsid w:val="00C54430"/>
    <w:rsid w:val="00C5485C"/>
    <w:rsid w:val="00C54A5B"/>
    <w:rsid w:val="00C5579B"/>
    <w:rsid w:val="00C56C49"/>
    <w:rsid w:val="00C575D1"/>
    <w:rsid w:val="00C60067"/>
    <w:rsid w:val="00C60DB3"/>
    <w:rsid w:val="00C643C8"/>
    <w:rsid w:val="00C644EB"/>
    <w:rsid w:val="00C64FB8"/>
    <w:rsid w:val="00C652F5"/>
    <w:rsid w:val="00C71A28"/>
    <w:rsid w:val="00C72810"/>
    <w:rsid w:val="00C73BFB"/>
    <w:rsid w:val="00C74F05"/>
    <w:rsid w:val="00C77425"/>
    <w:rsid w:val="00C777DF"/>
    <w:rsid w:val="00C77AB2"/>
    <w:rsid w:val="00C8160D"/>
    <w:rsid w:val="00C818EF"/>
    <w:rsid w:val="00C81DEB"/>
    <w:rsid w:val="00C84E06"/>
    <w:rsid w:val="00C85A78"/>
    <w:rsid w:val="00C85C29"/>
    <w:rsid w:val="00C8602D"/>
    <w:rsid w:val="00C905B4"/>
    <w:rsid w:val="00C93AC6"/>
    <w:rsid w:val="00C93CA1"/>
    <w:rsid w:val="00C959AD"/>
    <w:rsid w:val="00C9747C"/>
    <w:rsid w:val="00CA33D6"/>
    <w:rsid w:val="00CA4D10"/>
    <w:rsid w:val="00CA6EC1"/>
    <w:rsid w:val="00CB0259"/>
    <w:rsid w:val="00CB0661"/>
    <w:rsid w:val="00CB15C1"/>
    <w:rsid w:val="00CB2483"/>
    <w:rsid w:val="00CB2C22"/>
    <w:rsid w:val="00CB33FD"/>
    <w:rsid w:val="00CB3E70"/>
    <w:rsid w:val="00CB4BCF"/>
    <w:rsid w:val="00CB4CC1"/>
    <w:rsid w:val="00CB5B7A"/>
    <w:rsid w:val="00CB5DFE"/>
    <w:rsid w:val="00CB6830"/>
    <w:rsid w:val="00CB695F"/>
    <w:rsid w:val="00CC65B1"/>
    <w:rsid w:val="00CC678F"/>
    <w:rsid w:val="00CC7611"/>
    <w:rsid w:val="00CC7802"/>
    <w:rsid w:val="00CD1BB6"/>
    <w:rsid w:val="00CD3FC2"/>
    <w:rsid w:val="00CD41F1"/>
    <w:rsid w:val="00CD57F5"/>
    <w:rsid w:val="00CD6862"/>
    <w:rsid w:val="00CD6C61"/>
    <w:rsid w:val="00CD72E3"/>
    <w:rsid w:val="00CE0488"/>
    <w:rsid w:val="00CE0720"/>
    <w:rsid w:val="00CE341D"/>
    <w:rsid w:val="00CE46A3"/>
    <w:rsid w:val="00CE6C30"/>
    <w:rsid w:val="00CF0B93"/>
    <w:rsid w:val="00CF2F63"/>
    <w:rsid w:val="00CF55C8"/>
    <w:rsid w:val="00CF58E0"/>
    <w:rsid w:val="00CF76C6"/>
    <w:rsid w:val="00D029B6"/>
    <w:rsid w:val="00D03895"/>
    <w:rsid w:val="00D13EDC"/>
    <w:rsid w:val="00D14FD2"/>
    <w:rsid w:val="00D20104"/>
    <w:rsid w:val="00D26CDD"/>
    <w:rsid w:val="00D271BA"/>
    <w:rsid w:val="00D2728F"/>
    <w:rsid w:val="00D30A10"/>
    <w:rsid w:val="00D318FB"/>
    <w:rsid w:val="00D3288F"/>
    <w:rsid w:val="00D42B04"/>
    <w:rsid w:val="00D42F97"/>
    <w:rsid w:val="00D431E2"/>
    <w:rsid w:val="00D4337F"/>
    <w:rsid w:val="00D44509"/>
    <w:rsid w:val="00D44F46"/>
    <w:rsid w:val="00D45C66"/>
    <w:rsid w:val="00D50A60"/>
    <w:rsid w:val="00D52D45"/>
    <w:rsid w:val="00D53DC8"/>
    <w:rsid w:val="00D55EBD"/>
    <w:rsid w:val="00D56E3D"/>
    <w:rsid w:val="00D6041A"/>
    <w:rsid w:val="00D60C51"/>
    <w:rsid w:val="00D62053"/>
    <w:rsid w:val="00D649D9"/>
    <w:rsid w:val="00D64E0F"/>
    <w:rsid w:val="00D65040"/>
    <w:rsid w:val="00D6505D"/>
    <w:rsid w:val="00D6529C"/>
    <w:rsid w:val="00D71FAF"/>
    <w:rsid w:val="00D729B9"/>
    <w:rsid w:val="00D72C33"/>
    <w:rsid w:val="00D73394"/>
    <w:rsid w:val="00D74BF4"/>
    <w:rsid w:val="00D74D4C"/>
    <w:rsid w:val="00D74DA6"/>
    <w:rsid w:val="00D7509C"/>
    <w:rsid w:val="00D75965"/>
    <w:rsid w:val="00D75BEF"/>
    <w:rsid w:val="00D76701"/>
    <w:rsid w:val="00D802A3"/>
    <w:rsid w:val="00D80432"/>
    <w:rsid w:val="00D81302"/>
    <w:rsid w:val="00D82383"/>
    <w:rsid w:val="00D83C96"/>
    <w:rsid w:val="00D86422"/>
    <w:rsid w:val="00D8709C"/>
    <w:rsid w:val="00D87EE3"/>
    <w:rsid w:val="00D915C0"/>
    <w:rsid w:val="00D94552"/>
    <w:rsid w:val="00DA2D48"/>
    <w:rsid w:val="00DA5CD0"/>
    <w:rsid w:val="00DA633A"/>
    <w:rsid w:val="00DA7456"/>
    <w:rsid w:val="00DB175F"/>
    <w:rsid w:val="00DB235A"/>
    <w:rsid w:val="00DB40BE"/>
    <w:rsid w:val="00DB4B03"/>
    <w:rsid w:val="00DB6B81"/>
    <w:rsid w:val="00DB751D"/>
    <w:rsid w:val="00DB7BFE"/>
    <w:rsid w:val="00DC3FE9"/>
    <w:rsid w:val="00DC471F"/>
    <w:rsid w:val="00DC5145"/>
    <w:rsid w:val="00DC5F4B"/>
    <w:rsid w:val="00DD0225"/>
    <w:rsid w:val="00DD1FF7"/>
    <w:rsid w:val="00DD2322"/>
    <w:rsid w:val="00DD2915"/>
    <w:rsid w:val="00DD2CC9"/>
    <w:rsid w:val="00DD3DF8"/>
    <w:rsid w:val="00DE0B9F"/>
    <w:rsid w:val="00DE3323"/>
    <w:rsid w:val="00DE34A1"/>
    <w:rsid w:val="00DE3BE9"/>
    <w:rsid w:val="00DE587B"/>
    <w:rsid w:val="00DE726A"/>
    <w:rsid w:val="00DF0C87"/>
    <w:rsid w:val="00DF271A"/>
    <w:rsid w:val="00DF2F7D"/>
    <w:rsid w:val="00DF2FC4"/>
    <w:rsid w:val="00DF4D6F"/>
    <w:rsid w:val="00DF4FE2"/>
    <w:rsid w:val="00E0164E"/>
    <w:rsid w:val="00E01DB1"/>
    <w:rsid w:val="00E03020"/>
    <w:rsid w:val="00E033FC"/>
    <w:rsid w:val="00E04C5D"/>
    <w:rsid w:val="00E04CAF"/>
    <w:rsid w:val="00E0561B"/>
    <w:rsid w:val="00E05828"/>
    <w:rsid w:val="00E11534"/>
    <w:rsid w:val="00E1289B"/>
    <w:rsid w:val="00E14459"/>
    <w:rsid w:val="00E153F4"/>
    <w:rsid w:val="00E17E42"/>
    <w:rsid w:val="00E205E1"/>
    <w:rsid w:val="00E21635"/>
    <w:rsid w:val="00E21BD5"/>
    <w:rsid w:val="00E2240E"/>
    <w:rsid w:val="00E22B86"/>
    <w:rsid w:val="00E256F6"/>
    <w:rsid w:val="00E27EBA"/>
    <w:rsid w:val="00E30656"/>
    <w:rsid w:val="00E406BC"/>
    <w:rsid w:val="00E409BD"/>
    <w:rsid w:val="00E44B46"/>
    <w:rsid w:val="00E4675F"/>
    <w:rsid w:val="00E53A20"/>
    <w:rsid w:val="00E55433"/>
    <w:rsid w:val="00E570F9"/>
    <w:rsid w:val="00E60368"/>
    <w:rsid w:val="00E614E6"/>
    <w:rsid w:val="00E625D5"/>
    <w:rsid w:val="00E639F4"/>
    <w:rsid w:val="00E649C4"/>
    <w:rsid w:val="00E70C69"/>
    <w:rsid w:val="00E72928"/>
    <w:rsid w:val="00E729C0"/>
    <w:rsid w:val="00E75852"/>
    <w:rsid w:val="00E75C0C"/>
    <w:rsid w:val="00E76994"/>
    <w:rsid w:val="00E77599"/>
    <w:rsid w:val="00E80437"/>
    <w:rsid w:val="00E82188"/>
    <w:rsid w:val="00E8362C"/>
    <w:rsid w:val="00E913EE"/>
    <w:rsid w:val="00E94591"/>
    <w:rsid w:val="00E94C72"/>
    <w:rsid w:val="00E962A7"/>
    <w:rsid w:val="00EA065C"/>
    <w:rsid w:val="00EA4224"/>
    <w:rsid w:val="00EA6B0F"/>
    <w:rsid w:val="00EB0777"/>
    <w:rsid w:val="00EB12B1"/>
    <w:rsid w:val="00EB1B60"/>
    <w:rsid w:val="00EB1C35"/>
    <w:rsid w:val="00EB3B48"/>
    <w:rsid w:val="00EB557E"/>
    <w:rsid w:val="00EB5EDE"/>
    <w:rsid w:val="00EB69DD"/>
    <w:rsid w:val="00EB7BA3"/>
    <w:rsid w:val="00EB7ECC"/>
    <w:rsid w:val="00ED28A8"/>
    <w:rsid w:val="00ED2A8D"/>
    <w:rsid w:val="00ED3608"/>
    <w:rsid w:val="00ED521D"/>
    <w:rsid w:val="00EE1C81"/>
    <w:rsid w:val="00EE3351"/>
    <w:rsid w:val="00EE5388"/>
    <w:rsid w:val="00EE6DBF"/>
    <w:rsid w:val="00EF02CF"/>
    <w:rsid w:val="00EF1672"/>
    <w:rsid w:val="00EF3C47"/>
    <w:rsid w:val="00EF4FC2"/>
    <w:rsid w:val="00F00C5B"/>
    <w:rsid w:val="00F01344"/>
    <w:rsid w:val="00F02869"/>
    <w:rsid w:val="00F04A09"/>
    <w:rsid w:val="00F05220"/>
    <w:rsid w:val="00F06D93"/>
    <w:rsid w:val="00F070A2"/>
    <w:rsid w:val="00F072A9"/>
    <w:rsid w:val="00F10081"/>
    <w:rsid w:val="00F132B1"/>
    <w:rsid w:val="00F15D77"/>
    <w:rsid w:val="00F246E4"/>
    <w:rsid w:val="00F25433"/>
    <w:rsid w:val="00F25DAF"/>
    <w:rsid w:val="00F26039"/>
    <w:rsid w:val="00F27097"/>
    <w:rsid w:val="00F278ED"/>
    <w:rsid w:val="00F32C7D"/>
    <w:rsid w:val="00F343A3"/>
    <w:rsid w:val="00F363DB"/>
    <w:rsid w:val="00F37B2C"/>
    <w:rsid w:val="00F40082"/>
    <w:rsid w:val="00F40B6B"/>
    <w:rsid w:val="00F4156C"/>
    <w:rsid w:val="00F4310B"/>
    <w:rsid w:val="00F44B53"/>
    <w:rsid w:val="00F45AAB"/>
    <w:rsid w:val="00F461BA"/>
    <w:rsid w:val="00F4639E"/>
    <w:rsid w:val="00F5073D"/>
    <w:rsid w:val="00F50DEF"/>
    <w:rsid w:val="00F54C62"/>
    <w:rsid w:val="00F57A76"/>
    <w:rsid w:val="00F57DEF"/>
    <w:rsid w:val="00F60175"/>
    <w:rsid w:val="00F61C21"/>
    <w:rsid w:val="00F658A2"/>
    <w:rsid w:val="00F659C1"/>
    <w:rsid w:val="00F66900"/>
    <w:rsid w:val="00F707FF"/>
    <w:rsid w:val="00F72D02"/>
    <w:rsid w:val="00F73FA1"/>
    <w:rsid w:val="00F77F3C"/>
    <w:rsid w:val="00F80691"/>
    <w:rsid w:val="00F8086E"/>
    <w:rsid w:val="00F80BE7"/>
    <w:rsid w:val="00F813A1"/>
    <w:rsid w:val="00F8185A"/>
    <w:rsid w:val="00F81AFC"/>
    <w:rsid w:val="00F82A7B"/>
    <w:rsid w:val="00F83919"/>
    <w:rsid w:val="00F83D40"/>
    <w:rsid w:val="00F859A6"/>
    <w:rsid w:val="00F85B33"/>
    <w:rsid w:val="00F87719"/>
    <w:rsid w:val="00F87DCC"/>
    <w:rsid w:val="00F9054A"/>
    <w:rsid w:val="00F90DF9"/>
    <w:rsid w:val="00F91EEE"/>
    <w:rsid w:val="00F935B9"/>
    <w:rsid w:val="00F9393D"/>
    <w:rsid w:val="00F948D3"/>
    <w:rsid w:val="00F94BFE"/>
    <w:rsid w:val="00F97213"/>
    <w:rsid w:val="00FA26F9"/>
    <w:rsid w:val="00FA27A6"/>
    <w:rsid w:val="00FA3377"/>
    <w:rsid w:val="00FA41EB"/>
    <w:rsid w:val="00FA57E1"/>
    <w:rsid w:val="00FA66AC"/>
    <w:rsid w:val="00FA6E3E"/>
    <w:rsid w:val="00FB1137"/>
    <w:rsid w:val="00FB13A8"/>
    <w:rsid w:val="00FB2036"/>
    <w:rsid w:val="00FB386A"/>
    <w:rsid w:val="00FB4D9E"/>
    <w:rsid w:val="00FC17BB"/>
    <w:rsid w:val="00FC5D02"/>
    <w:rsid w:val="00FC765B"/>
    <w:rsid w:val="00FD13FF"/>
    <w:rsid w:val="00FD15BC"/>
    <w:rsid w:val="00FD25EB"/>
    <w:rsid w:val="00FD397E"/>
    <w:rsid w:val="00FD47BC"/>
    <w:rsid w:val="00FE16B7"/>
    <w:rsid w:val="00FE335D"/>
    <w:rsid w:val="00FE61B4"/>
    <w:rsid w:val="00FE776C"/>
    <w:rsid w:val="00FE79A8"/>
    <w:rsid w:val="00FF17CB"/>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2D5418E-F70E-420A-A19F-ABD09035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semiHidden/>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semiHidden/>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1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2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1652639859">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D9BA2-90E2-46D9-B71C-20C16719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22</Pages>
  <Words>3497</Words>
  <Characters>19238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22690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10</cp:revision>
  <cp:lastPrinted>2017-03-07T00:15:00Z</cp:lastPrinted>
  <dcterms:created xsi:type="dcterms:W3CDTF">2016-11-17T17:09:00Z</dcterms:created>
  <dcterms:modified xsi:type="dcterms:W3CDTF">2017-03-07T00:15:00Z</dcterms:modified>
</cp:coreProperties>
</file>