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1D48BA">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w:t>
      </w:r>
      <w:r w:rsidR="00B92CEE">
        <w:rPr>
          <w:rFonts w:ascii="Arial" w:hAnsi="Arial" w:cs="Arial"/>
          <w:sz w:val="24"/>
        </w:rPr>
        <w:t>ior del Estado de Nuevo León, al</w:t>
      </w:r>
      <w:r w:rsidRPr="00117EB1">
        <w:rPr>
          <w:rFonts w:ascii="Arial" w:hAnsi="Arial" w:cs="Arial"/>
          <w:sz w:val="24"/>
        </w:rPr>
        <w:t xml:space="preserve"> </w:t>
      </w:r>
      <w:r w:rsidR="00B92CEE">
        <w:rPr>
          <w:rFonts w:ascii="Arial" w:hAnsi="Arial" w:cs="Arial"/>
          <w:b/>
          <w:bCs/>
          <w:sz w:val="24"/>
        </w:rPr>
        <w:t>Fideicomiso Fondo Editorial Nuevo León 2105</w:t>
      </w:r>
      <w:r w:rsidR="004A1733">
        <w:rPr>
          <w:rFonts w:ascii="Arial" w:hAnsi="Arial" w:cs="Arial"/>
          <w:sz w:val="24"/>
        </w:rPr>
        <w:t>, correspondiente al</w:t>
      </w:r>
      <w:r w:rsidRPr="00117EB1">
        <w:rPr>
          <w:rFonts w:ascii="Arial" w:hAnsi="Arial" w:cs="Arial"/>
          <w:sz w:val="24"/>
        </w:rPr>
        <w:t xml:space="preserve"> Ejercicio Fiscal </w:t>
      </w:r>
      <w:r w:rsidR="001D48BA">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D46C0A">
        <w:rPr>
          <w:rFonts w:ascii="Arial" w:hAnsi="Arial" w:cs="Arial"/>
          <w:b/>
          <w:sz w:val="24"/>
        </w:rPr>
        <w:t>10428</w:t>
      </w:r>
      <w:r w:rsidR="00513CE9">
        <w:rPr>
          <w:rFonts w:ascii="Arial" w:hAnsi="Arial" w:cs="Arial"/>
          <w:b/>
          <w:bCs/>
          <w:sz w:val="24"/>
        </w:rPr>
        <w:t>/LXXIV</w:t>
      </w:r>
      <w:r w:rsidRPr="00117EB1">
        <w:rPr>
          <w:rFonts w:ascii="Arial" w:hAnsi="Arial" w:cs="Arial"/>
          <w:b/>
          <w:bCs/>
          <w:sz w:val="24"/>
        </w:rPr>
        <w:t>.</w:t>
      </w:r>
      <w:r w:rsidR="001D48BA">
        <w:rPr>
          <w:rFonts w:ascii="Arial" w:hAnsi="Arial" w:cs="Arial"/>
          <w:b/>
          <w:bCs/>
          <w:sz w:val="24"/>
        </w:rPr>
        <w:tab/>
        <w:t xml:space="preserve"> </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w:t>
      </w:r>
      <w:r w:rsidR="00292159">
        <w:rPr>
          <w:rFonts w:ascii="Arial" w:hAnsi="Arial" w:cs="Arial"/>
          <w:szCs w:val="22"/>
        </w:rPr>
        <w:t xml:space="preserve"> ante este Pleno los siguientes</w:t>
      </w:r>
    </w:p>
    <w:p w:rsidR="00F072A9" w:rsidRDefault="00292159" w:rsidP="009C0345">
      <w:pPr>
        <w:jc w:val="both"/>
        <w:rPr>
          <w:rFonts w:ascii="Arial" w:hAnsi="Arial" w:cs="Arial"/>
          <w:b/>
          <w:bCs/>
        </w:rPr>
      </w:pPr>
      <w:r>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513CE9">
        <w:rPr>
          <w:rFonts w:ascii="Arial" w:hAnsi="Arial" w:cs="Arial"/>
          <w:sz w:val="24"/>
          <w:szCs w:val="24"/>
        </w:rPr>
        <w:t xml:space="preserve">uenta </w:t>
      </w:r>
      <w:r w:rsidR="001D48BA">
        <w:rPr>
          <w:rFonts w:ascii="Arial" w:hAnsi="Arial" w:cs="Arial"/>
          <w:sz w:val="24"/>
          <w:szCs w:val="24"/>
        </w:rPr>
        <w:t>Pública del ejercicio 2015</w:t>
      </w:r>
      <w:r w:rsidRPr="00B67BEE">
        <w:rPr>
          <w:rFonts w:ascii="Arial" w:hAnsi="Arial" w:cs="Arial"/>
          <w:sz w:val="24"/>
          <w:szCs w:val="24"/>
        </w:rPr>
        <w:t xml:space="preserve"> </w:t>
      </w:r>
      <w:r w:rsidR="00D03452">
        <w:rPr>
          <w:rFonts w:ascii="Arial" w:hAnsi="Arial" w:cs="Arial"/>
          <w:sz w:val="24"/>
        </w:rPr>
        <w:t>al</w:t>
      </w:r>
      <w:r w:rsidR="00D03452" w:rsidRPr="00117EB1">
        <w:rPr>
          <w:rFonts w:ascii="Arial" w:hAnsi="Arial" w:cs="Arial"/>
          <w:sz w:val="24"/>
        </w:rPr>
        <w:t xml:space="preserve"> </w:t>
      </w:r>
      <w:r w:rsidR="00D03452">
        <w:rPr>
          <w:rFonts w:ascii="Arial" w:hAnsi="Arial" w:cs="Arial"/>
          <w:b/>
          <w:bCs/>
          <w:sz w:val="24"/>
        </w:rPr>
        <w:t>Fideicomiso Fondo Editorial Nuevo León 2105</w:t>
      </w:r>
      <w:r w:rsidR="00D03452">
        <w:rPr>
          <w:rFonts w:ascii="Arial" w:hAnsi="Arial" w:cs="Arial"/>
          <w:sz w:val="24"/>
        </w:rPr>
        <w:t xml:space="preserve">, </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1D48BA">
        <w:rPr>
          <w:rFonts w:ascii="Arial" w:hAnsi="Arial" w:cs="Arial"/>
          <w:sz w:val="24"/>
          <w:szCs w:val="24"/>
        </w:rPr>
        <w:t>uenta Pública del ejercicio 2015</w:t>
      </w:r>
      <w:r w:rsidR="009C0345" w:rsidRPr="00B67BEE">
        <w:rPr>
          <w:rFonts w:ascii="Arial" w:hAnsi="Arial" w:cs="Arial"/>
          <w:sz w:val="24"/>
          <w:szCs w:val="24"/>
        </w:rPr>
        <w:t xml:space="preserve"> </w:t>
      </w:r>
      <w:r w:rsidR="00D03452">
        <w:rPr>
          <w:rFonts w:ascii="Arial" w:hAnsi="Arial" w:cs="Arial"/>
          <w:sz w:val="24"/>
        </w:rPr>
        <w:t>al</w:t>
      </w:r>
      <w:r w:rsidR="00D03452" w:rsidRPr="00117EB1">
        <w:rPr>
          <w:rFonts w:ascii="Arial" w:hAnsi="Arial" w:cs="Arial"/>
          <w:sz w:val="24"/>
        </w:rPr>
        <w:t xml:space="preserve"> </w:t>
      </w:r>
      <w:r w:rsidR="00D03452">
        <w:rPr>
          <w:rFonts w:ascii="Arial" w:hAnsi="Arial" w:cs="Arial"/>
          <w:b/>
          <w:bCs/>
          <w:sz w:val="24"/>
        </w:rPr>
        <w:t>Fideicomiso Fondo Editorial Nuevo León 2105</w:t>
      </w:r>
      <w:r w:rsidR="00D03452">
        <w:rPr>
          <w:rFonts w:ascii="Arial" w:hAnsi="Arial" w:cs="Arial"/>
          <w:sz w:val="24"/>
        </w:rPr>
        <w:t xml:space="preserve">, </w:t>
      </w:r>
      <w:r>
        <w:rPr>
          <w:rFonts w:ascii="Arial" w:hAnsi="Arial" w:cs="Arial"/>
          <w:sz w:val="24"/>
          <w:szCs w:val="24"/>
        </w:rPr>
        <w:t>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7B61D9" w:rsidRPr="007B61D9" w:rsidRDefault="007B61D9" w:rsidP="007B61D9">
      <w:pPr>
        <w:tabs>
          <w:tab w:val="left" w:pos="2610"/>
        </w:tabs>
        <w:spacing w:line="360" w:lineRule="auto"/>
        <w:ind w:firstLine="709"/>
        <w:jc w:val="both"/>
        <w:rPr>
          <w:rFonts w:ascii="Arial" w:hAnsi="Arial" w:cs="Arial"/>
          <w:sz w:val="24"/>
        </w:rPr>
      </w:pPr>
      <w:r w:rsidRPr="007B61D9">
        <w:rPr>
          <w:rFonts w:ascii="Arial" w:hAnsi="Arial" w:cs="Arial"/>
          <w:sz w:val="24"/>
        </w:rPr>
        <w:t>El Fideicomiso Fondo Editorial de Nuevo León 2105, se constituyó el 21 de febrero de 2006 entre el Gobierno del Estado de Nuevo León, como fideicomitente, el Banco Nacional de Obras y Servicios Públicos, S.N.C., en su carácter de fiduciario, mediante contrato del Fideicomiso No. 2105 firmado el día 21 de febrero de 2006 en la C</w:t>
      </w:r>
      <w:r>
        <w:rPr>
          <w:rFonts w:ascii="Arial" w:hAnsi="Arial" w:cs="Arial"/>
          <w:sz w:val="24"/>
        </w:rPr>
        <w:t>iudad de Monterrey, Nuevo León.</w:t>
      </w:r>
    </w:p>
    <w:p w:rsidR="007B61D9" w:rsidRDefault="007B61D9" w:rsidP="007B61D9">
      <w:pPr>
        <w:tabs>
          <w:tab w:val="left" w:pos="2610"/>
        </w:tabs>
        <w:spacing w:line="360" w:lineRule="auto"/>
        <w:ind w:firstLine="709"/>
        <w:jc w:val="both"/>
        <w:rPr>
          <w:rFonts w:ascii="Arial" w:hAnsi="Arial" w:cs="Arial"/>
          <w:sz w:val="24"/>
        </w:rPr>
      </w:pPr>
      <w:r w:rsidRPr="007B61D9">
        <w:rPr>
          <w:rFonts w:ascii="Arial" w:hAnsi="Arial" w:cs="Arial"/>
          <w:sz w:val="24"/>
        </w:rPr>
        <w:t>Para ayudar a la consecución de dichos objetivos establecidos en el Plan Estatal de Desarrollo, el Gobierno de Nuevo León, ha decidido constituir el Fideicomiso Fondo Editorial de Nuevo León 2105 como un Fideicomiso público con carácter de entidad paraestatal, con el propósito de producir, divulgar y comercializar los proyectos editoriales de las dependencias y entidades de la Administración Pública Estatal, así como, de los autores cuyas obras humanísticas, literarias, científicas o tecnológicas contribuyan a incrementar la cultura tanto del Estado de Nuevo León como del país.</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lastRenderedPageBreak/>
        <w:t>Objetivos y alcances de la revisión practicada tanto a la gestión como al desempeño, incluyendo prevenciones generales sobre los 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1D48BA">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1D48BA">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1D48BA">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AC7DC0" w:rsidRPr="00190CC1" w:rsidTr="000A385E">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AC7DC0" w:rsidRPr="00190CC1" w:rsidRDefault="00AC7DC0" w:rsidP="000A385E">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AC7DC0" w:rsidRPr="00190CC1" w:rsidRDefault="00AC7DC0" w:rsidP="000A385E">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AC7DC0" w:rsidRPr="00190CC1" w:rsidTr="000A385E">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AC7DC0" w:rsidRPr="00190CC1" w:rsidRDefault="00AC7DC0" w:rsidP="000A385E">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AC7DC0" w:rsidRPr="00190CC1" w:rsidRDefault="00AC7DC0" w:rsidP="000A385E">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AC7DC0" w:rsidRPr="00C20EA5" w:rsidTr="000A385E">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C7DC0" w:rsidRPr="00B92AD2" w:rsidRDefault="00AC7DC0" w:rsidP="000A385E">
            <w:pPr>
              <w:jc w:val="center"/>
              <w:rPr>
                <w:rFonts w:ascii="Arial" w:hAnsi="Arial" w:cs="Arial"/>
                <w:b/>
                <w:bCs/>
                <w:sz w:val="14"/>
                <w:szCs w:val="14"/>
                <w:lang w:eastAsia="es-MX"/>
              </w:rPr>
            </w:pPr>
            <w:r w:rsidRPr="00B92AD2">
              <w:rPr>
                <w:rFonts w:ascii="Arial" w:hAnsi="Arial" w:cs="Arial"/>
                <w:sz w:val="16"/>
                <w:szCs w:val="16"/>
              </w:rPr>
              <w:t>Fideicomiso Fondo Editorial de Nuevo León 2105</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B92AD2" w:rsidRDefault="00AC7DC0" w:rsidP="000A385E">
            <w:pPr>
              <w:jc w:val="center"/>
              <w:rPr>
                <w:rFonts w:ascii="Arial" w:hAnsi="Arial" w:cs="Arial"/>
                <w:b/>
                <w:bCs/>
                <w:sz w:val="14"/>
                <w:szCs w:val="14"/>
                <w:lang w:eastAsia="es-MX"/>
              </w:rPr>
            </w:pPr>
            <w:r w:rsidRPr="00B92AD2">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Pr>
                <w:rFonts w:ascii="Arial" w:hAnsi="Arial" w:cs="Arial"/>
                <w:b/>
                <w:bCs/>
                <w:color w:val="FF0000"/>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Pr>
                <w:rFonts w:ascii="Arial" w:hAnsi="Arial" w:cs="Arial"/>
                <w:b/>
                <w:bCs/>
                <w:color w:val="FF0000"/>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sidRPr="00C20EA5">
              <w:rPr>
                <w:rFonts w:ascii="Arial" w:hAnsi="Arial" w:cs="Arial"/>
                <w:b/>
                <w:bCs/>
                <w:color w:val="FF0000"/>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sidRPr="00C20EA5">
              <w:rPr>
                <w:rFonts w:ascii="Arial" w:hAnsi="Arial" w:cs="Arial"/>
                <w:b/>
                <w:bCs/>
                <w:color w:val="FF0000"/>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Pr>
                <w:rFonts w:ascii="Arial" w:hAnsi="Arial" w:cs="Arial"/>
                <w:b/>
                <w:bCs/>
                <w:color w:val="FF0000"/>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AC7DC0" w:rsidRPr="00C20EA5" w:rsidRDefault="00AC7DC0" w:rsidP="000A385E">
            <w:pPr>
              <w:jc w:val="center"/>
              <w:rPr>
                <w:rFonts w:ascii="Arial" w:hAnsi="Arial" w:cs="Arial"/>
                <w:b/>
                <w:bCs/>
                <w:color w:val="FF0000"/>
                <w:sz w:val="14"/>
                <w:szCs w:val="14"/>
                <w:lang w:eastAsia="es-MX"/>
              </w:rPr>
            </w:pPr>
            <w:r>
              <w:rPr>
                <w:rFonts w:ascii="Arial" w:hAnsi="Arial" w:cs="Arial"/>
                <w:b/>
                <w:bCs/>
                <w:color w:val="FF0000"/>
                <w:sz w:val="14"/>
                <w:szCs w:val="14"/>
                <w:lang w:eastAsia="es-MX"/>
              </w:rPr>
              <w:t>1</w:t>
            </w:r>
          </w:p>
        </w:tc>
      </w:tr>
    </w:tbl>
    <w:p w:rsidR="00AC7DC0" w:rsidRDefault="00AC7DC0" w:rsidP="00902D03">
      <w:pPr>
        <w:spacing w:after="0"/>
        <w:ind w:firstLine="567"/>
        <w:jc w:val="center"/>
        <w:rPr>
          <w:rFonts w:ascii="Arial" w:eastAsia="Arial" w:hAnsi="Arial" w:cs="Arial"/>
          <w:bCs/>
          <w:smallCaps/>
          <w:sz w:val="16"/>
        </w:rPr>
      </w:pPr>
    </w:p>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lastRenderedPageBreak/>
        <w:t>En la implementación y ejecución del Programa Anual de Auditoría</w:t>
      </w:r>
      <w:r w:rsidR="00AC7DC0">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AC7DC0">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w:t>
      </w:r>
      <w:r w:rsidRPr="00B67BEE">
        <w:rPr>
          <w:rFonts w:ascii="Arial" w:eastAsia="Times New Roman" w:hAnsi="Arial" w:cs="Arial"/>
          <w:sz w:val="24"/>
          <w:szCs w:val="24"/>
          <w:lang w:eastAsia="es-ES"/>
        </w:rPr>
        <w:lastRenderedPageBreak/>
        <w:t>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AC7DC0">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AC7DC0">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DC3367" w:rsidRPr="00AC7DC0" w:rsidRDefault="009C0345" w:rsidP="00AC7DC0">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AC7DC0">
        <w:rPr>
          <w:rFonts w:ascii="Arial" w:hAnsi="Arial" w:cs="Arial"/>
          <w:sz w:val="24"/>
          <w:szCs w:val="24"/>
        </w:rPr>
        <w:t>l 2015</w:t>
      </w:r>
      <w:r w:rsidR="00276558">
        <w:rPr>
          <w:rFonts w:ascii="Arial" w:hAnsi="Arial" w:cs="Arial"/>
          <w:sz w:val="24"/>
          <w:szCs w:val="24"/>
        </w:rPr>
        <w:t xml:space="preserve">, que el Fideicomiso </w:t>
      </w:r>
      <w:r w:rsidR="0047376C">
        <w:rPr>
          <w:rFonts w:ascii="Arial" w:hAnsi="Arial" w:cs="Arial"/>
          <w:sz w:val="24"/>
          <w:szCs w:val="24"/>
        </w:rPr>
        <w:t>Fondo Editorial Nuevo León</w:t>
      </w:r>
      <w:r w:rsidR="005B1693">
        <w:rPr>
          <w:rFonts w:ascii="Arial" w:hAnsi="Arial" w:cs="Arial"/>
          <w:sz w:val="24"/>
          <w:szCs w:val="24"/>
        </w:rPr>
        <w:t xml:space="preserve"> 2105</w:t>
      </w:r>
      <w:r w:rsidR="0047376C">
        <w:rPr>
          <w:rFonts w:ascii="Arial" w:hAnsi="Arial" w:cs="Arial"/>
          <w:sz w:val="24"/>
          <w:szCs w:val="24"/>
        </w:rPr>
        <w:t xml:space="preserve"> </w:t>
      </w:r>
      <w:r w:rsidRPr="00B67BEE">
        <w:rPr>
          <w:rFonts w:ascii="Arial" w:hAnsi="Arial" w:cs="Arial"/>
          <w:sz w:val="24"/>
          <w:szCs w:val="24"/>
        </w:rPr>
        <w:t>presentó como parte de la información que integra la Cuenta Pública.</w:t>
      </w:r>
    </w:p>
    <w:p w:rsidR="00DC3367" w:rsidRDefault="00DC3367" w:rsidP="009A7A82">
      <w:pPr>
        <w:pStyle w:val="Prrafodelista"/>
        <w:spacing w:after="0" w:line="360" w:lineRule="auto"/>
        <w:ind w:left="0" w:firstLine="709"/>
        <w:jc w:val="both"/>
        <w:rPr>
          <w:rFonts w:ascii="Arial" w:hAnsi="Arial" w:cs="Arial"/>
          <w:sz w:val="24"/>
          <w:szCs w:val="24"/>
        </w:rPr>
      </w:pPr>
    </w:p>
    <w:p w:rsidR="00DC3367" w:rsidRPr="009E61C2" w:rsidRDefault="00DC3367" w:rsidP="009E61C2">
      <w:pPr>
        <w:spacing w:after="0" w:line="360" w:lineRule="auto"/>
        <w:ind w:firstLine="708"/>
        <w:jc w:val="both"/>
        <w:rPr>
          <w:rFonts w:ascii="Arial" w:hAnsi="Arial" w:cs="Arial"/>
          <w:sz w:val="24"/>
          <w:szCs w:val="24"/>
        </w:rPr>
      </w:pPr>
      <w:r w:rsidRPr="009E61C2">
        <w:rPr>
          <w:rFonts w:ascii="Arial" w:hAnsi="Arial" w:cs="Arial"/>
          <w:sz w:val="24"/>
          <w:szCs w:val="24"/>
        </w:rPr>
        <w:t>Para el desarrollo de la revisión de la información antes menciona</w:t>
      </w:r>
      <w:r w:rsidR="009E61C2" w:rsidRPr="009E61C2">
        <w:rPr>
          <w:rFonts w:ascii="Arial" w:hAnsi="Arial" w:cs="Arial"/>
          <w:sz w:val="24"/>
          <w:szCs w:val="24"/>
        </w:rPr>
        <w:t>da, l</w:t>
      </w:r>
      <w:r w:rsidRPr="009E61C2">
        <w:rPr>
          <w:rFonts w:ascii="Arial" w:hAnsi="Arial" w:cs="Arial"/>
          <w:sz w:val="24"/>
          <w:szCs w:val="24"/>
        </w:rPr>
        <w:t xml:space="preserve">a Auditoría Superior del Estado, aplicó una serie de procedimientos enfocados </w:t>
      </w:r>
      <w:r w:rsidRPr="009E61C2">
        <w:rPr>
          <w:rFonts w:ascii="Arial" w:hAnsi="Arial" w:cs="Arial"/>
          <w:sz w:val="24"/>
          <w:szCs w:val="24"/>
        </w:rPr>
        <w:lastRenderedPageBreak/>
        <w:t>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AC7DC0">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276558">
        <w:rPr>
          <w:rFonts w:ascii="Arial" w:hAnsi="Arial" w:cs="Arial"/>
          <w:sz w:val="24"/>
          <w:szCs w:val="24"/>
        </w:rPr>
        <w:t>este Fideicomiso:</w:t>
      </w:r>
    </w:p>
    <w:p w:rsidR="005B6FF9" w:rsidRDefault="005B6FF9" w:rsidP="0077749F">
      <w:pPr>
        <w:pStyle w:val="Prrafodelista"/>
        <w:spacing w:after="0" w:line="360" w:lineRule="auto"/>
        <w:ind w:left="0" w:firstLine="709"/>
        <w:jc w:val="both"/>
        <w:rPr>
          <w:rFonts w:ascii="Arial" w:hAnsi="Arial" w:cs="Arial"/>
          <w:sz w:val="24"/>
          <w:szCs w:val="24"/>
        </w:rPr>
      </w:pPr>
    </w:p>
    <w:p w:rsidR="005B6FF9" w:rsidRDefault="00AC7DC0" w:rsidP="005B6FF9">
      <w:r>
        <w:rPr>
          <w:noProof/>
          <w:lang w:val="es-MX" w:eastAsia="es-MX"/>
        </w:rPr>
        <w:lastRenderedPageBreak/>
        <w:drawing>
          <wp:inline distT="0" distB="0" distL="0" distR="0">
            <wp:extent cx="5094605" cy="52133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4605" cy="5213350"/>
                    </a:xfrm>
                    <a:prstGeom prst="rect">
                      <a:avLst/>
                    </a:prstGeom>
                    <a:noFill/>
                    <a:ln>
                      <a:noFill/>
                    </a:ln>
                  </pic:spPr>
                </pic:pic>
              </a:graphicData>
            </a:graphic>
          </wp:inline>
        </w:drawing>
      </w:r>
    </w:p>
    <w:p w:rsidR="00AC7DC0" w:rsidRDefault="00AC7DC0" w:rsidP="005B6FF9"/>
    <w:p w:rsidR="00AC7DC0" w:rsidRDefault="00AC7DC0" w:rsidP="005B6FF9">
      <w:r>
        <w:rPr>
          <w:noProof/>
          <w:lang w:val="es-MX" w:eastAsia="es-MX"/>
        </w:rPr>
        <w:lastRenderedPageBreak/>
        <w:drawing>
          <wp:inline distT="0" distB="0" distL="0" distR="0">
            <wp:extent cx="5059045" cy="532003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9045" cy="5320030"/>
                    </a:xfrm>
                    <a:prstGeom prst="rect">
                      <a:avLst/>
                    </a:prstGeom>
                    <a:noFill/>
                    <a:ln>
                      <a:noFill/>
                    </a:ln>
                  </pic:spPr>
                </pic:pic>
              </a:graphicData>
            </a:graphic>
          </wp:inline>
        </w:drawing>
      </w:r>
    </w:p>
    <w:p w:rsidR="00AC7DC0" w:rsidRDefault="00AC7DC0" w:rsidP="005B6FF9"/>
    <w:p w:rsidR="00AC7DC0" w:rsidRPr="005B6FF9" w:rsidRDefault="00AC7DC0" w:rsidP="005B6FF9">
      <w:r>
        <w:rPr>
          <w:noProof/>
          <w:lang w:val="es-MX" w:eastAsia="es-MX"/>
        </w:rPr>
        <w:lastRenderedPageBreak/>
        <w:drawing>
          <wp:inline distT="0" distB="0" distL="0" distR="0">
            <wp:extent cx="4524375" cy="99758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997585"/>
                    </a:xfrm>
                    <a:prstGeom prst="rect">
                      <a:avLst/>
                    </a:prstGeom>
                    <a:noFill/>
                    <a:ln>
                      <a:noFill/>
                    </a:ln>
                  </pic:spPr>
                </pic:pic>
              </a:graphicData>
            </a:graphic>
          </wp:inline>
        </w:drawing>
      </w:r>
    </w:p>
    <w:p w:rsidR="005B6FF9" w:rsidRDefault="00AC7DC0" w:rsidP="005B6FF9">
      <w:r>
        <w:rPr>
          <w:noProof/>
          <w:lang w:val="es-MX" w:eastAsia="es-MX"/>
        </w:rPr>
        <w:drawing>
          <wp:inline distT="0" distB="0" distL="0" distR="0">
            <wp:extent cx="4643120" cy="1139825"/>
            <wp:effectExtent l="0" t="0" r="508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3120" cy="1139825"/>
                    </a:xfrm>
                    <a:prstGeom prst="rect">
                      <a:avLst/>
                    </a:prstGeom>
                    <a:noFill/>
                    <a:ln>
                      <a:noFill/>
                    </a:ln>
                  </pic:spPr>
                </pic:pic>
              </a:graphicData>
            </a:graphic>
          </wp:inline>
        </w:drawing>
      </w:r>
    </w:p>
    <w:p w:rsidR="005F4540" w:rsidRDefault="005F4540" w:rsidP="009C0345">
      <w:pPr>
        <w:spacing w:after="0"/>
        <w:contextualSpacing/>
        <w:jc w:val="both"/>
        <w:rPr>
          <w:rFonts w:ascii="Arial" w:hAnsi="Arial" w:cs="Arial"/>
          <w:b/>
          <w:sz w:val="24"/>
        </w:rPr>
      </w:pPr>
    </w:p>
    <w:p w:rsidR="00AC7DC0" w:rsidRDefault="00AC7DC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 administración del Fideicomiso son los siguientes:</w:t>
      </w:r>
    </w:p>
    <w:p w:rsidR="005F4540" w:rsidRDefault="00AC7DC0" w:rsidP="00AC7DC0">
      <w:pPr>
        <w:pStyle w:val="Textoindependiente"/>
        <w:spacing w:line="360" w:lineRule="auto"/>
        <w:jc w:val="center"/>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3040380" cy="735965"/>
            <wp:effectExtent l="0" t="0" r="762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735965"/>
                    </a:xfrm>
                    <a:prstGeom prst="rect">
                      <a:avLst/>
                    </a:prstGeom>
                    <a:noFill/>
                    <a:ln>
                      <a:noFill/>
                    </a:ln>
                  </pic:spPr>
                </pic:pic>
              </a:graphicData>
            </a:graphic>
          </wp:inline>
        </w:drawing>
      </w:r>
    </w:p>
    <w:p w:rsidR="004171CD" w:rsidRDefault="004171CD" w:rsidP="005F4540">
      <w:pPr>
        <w:pStyle w:val="Prrafodelista"/>
        <w:spacing w:after="0" w:line="240" w:lineRule="auto"/>
        <w:contextualSpacing/>
        <w:jc w:val="both"/>
        <w:rPr>
          <w:rFonts w:ascii="Arial" w:hAnsi="Arial" w:cs="Arial"/>
          <w:sz w:val="24"/>
        </w:rPr>
      </w:pPr>
    </w:p>
    <w:p w:rsidR="00856573" w:rsidRDefault="00856573" w:rsidP="005F4540">
      <w:pPr>
        <w:pStyle w:val="Prrafodelista"/>
        <w:spacing w:after="0" w:line="240" w:lineRule="auto"/>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recomendaciones que se formularán</w:t>
      </w:r>
      <w:r w:rsidR="005B6FF9">
        <w:rPr>
          <w:rFonts w:ascii="Arial" w:hAnsi="Arial" w:cs="Arial"/>
          <w:b/>
          <w:bCs/>
          <w:sz w:val="24"/>
        </w:rPr>
        <w:t>.</w:t>
      </w:r>
      <w:r w:rsidR="00401C23" w:rsidRPr="00401C23">
        <w:rPr>
          <w:rFonts w:ascii="Arial" w:hAnsi="Arial" w:cs="Arial"/>
          <w:b/>
          <w:bCs/>
          <w:sz w:val="24"/>
        </w:rPr>
        <w:t xml:space="preserve"> </w:t>
      </w:r>
    </w:p>
    <w:p w:rsidR="00856573" w:rsidRPr="001E2AE5" w:rsidRDefault="00856573" w:rsidP="001E2AE5">
      <w:pPr>
        <w:spacing w:after="0"/>
        <w:contextualSpacing/>
        <w:jc w:val="both"/>
        <w:rPr>
          <w:rFonts w:ascii="Arial" w:hAnsi="Arial" w:cs="Arial"/>
          <w:b/>
          <w:sz w:val="24"/>
          <w:u w:val="single"/>
        </w:rPr>
      </w:pPr>
      <w:r w:rsidRPr="001E2AE5">
        <w:rPr>
          <w:rFonts w:ascii="Arial" w:hAnsi="Arial" w:cs="Arial"/>
          <w:b/>
          <w:sz w:val="24"/>
          <w:u w:val="single"/>
        </w:rPr>
        <w:t>Ley General de Contabilidad Gubernamental</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1. Se revisó la observancia de la Ley General de Contabilidad Gubernamental (LGCG)</w:t>
      </w:r>
      <w:r w:rsidR="00B5453F" w:rsidRPr="001E2AE5">
        <w:rPr>
          <w:rFonts w:ascii="Arial" w:hAnsi="Arial" w:cs="Arial"/>
          <w:sz w:val="24"/>
        </w:rPr>
        <w:t xml:space="preserve"> </w:t>
      </w:r>
      <w:r w:rsidRPr="001E2AE5">
        <w:rPr>
          <w:rFonts w:ascii="Arial" w:hAnsi="Arial" w:cs="Arial"/>
          <w:sz w:val="24"/>
        </w:rPr>
        <w:t>y la normatividad emitida por el Consejo Nacional de Armonización Contable (Conac),</w:t>
      </w:r>
      <w:r w:rsidR="00B5453F" w:rsidRPr="001E2AE5">
        <w:rPr>
          <w:rFonts w:ascii="Arial" w:hAnsi="Arial" w:cs="Arial"/>
          <w:sz w:val="24"/>
        </w:rPr>
        <w:t xml:space="preserve"> </w:t>
      </w:r>
      <w:r w:rsidRPr="001E2AE5">
        <w:rPr>
          <w:rFonts w:ascii="Arial" w:hAnsi="Arial" w:cs="Arial"/>
          <w:sz w:val="24"/>
        </w:rPr>
        <w:t>advirtiéndose incumplimientos por parte del Ente Público, a las obligaciones que diversos</w:t>
      </w:r>
      <w:r w:rsidR="00B5453F" w:rsidRPr="001E2AE5">
        <w:rPr>
          <w:rFonts w:ascii="Arial" w:hAnsi="Arial" w:cs="Arial"/>
          <w:sz w:val="24"/>
        </w:rPr>
        <w:t xml:space="preserve"> </w:t>
      </w:r>
      <w:r w:rsidRPr="001E2AE5">
        <w:rPr>
          <w:rFonts w:ascii="Arial" w:hAnsi="Arial" w:cs="Arial"/>
          <w:sz w:val="24"/>
        </w:rPr>
        <w:t>preceptos de la referida Ley le imponen, acorde con lo que se enuncia a continuación:</w:t>
      </w:r>
    </w:p>
    <w:p w:rsidR="00B5453F" w:rsidRPr="001E2AE5" w:rsidRDefault="00B5453F"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I. Registros Contables</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a) Disponer de las matrices de conversión con las características señaladas en los</w:t>
      </w:r>
      <w:r w:rsidR="00B5453F" w:rsidRPr="001E2AE5">
        <w:rPr>
          <w:rFonts w:ascii="Arial" w:hAnsi="Arial" w:cs="Arial"/>
          <w:sz w:val="24"/>
        </w:rPr>
        <w:t xml:space="preserve"> </w:t>
      </w:r>
      <w:r w:rsidRPr="001E2AE5">
        <w:rPr>
          <w:rFonts w:ascii="Arial" w:hAnsi="Arial" w:cs="Arial"/>
          <w:sz w:val="24"/>
        </w:rPr>
        <w:t>artículos 40 y 41, (artículo cuarto transitorio del decreto por el que se expide la LGCG</w:t>
      </w:r>
      <w:r w:rsidR="00B5453F" w:rsidRPr="001E2AE5">
        <w:rPr>
          <w:rFonts w:ascii="Arial" w:hAnsi="Arial" w:cs="Arial"/>
          <w:sz w:val="24"/>
        </w:rPr>
        <w:t xml:space="preserve"> </w:t>
      </w:r>
      <w:r w:rsidRPr="001E2AE5">
        <w:rPr>
          <w:rFonts w:ascii="Arial" w:hAnsi="Arial" w:cs="Arial"/>
          <w:sz w:val="24"/>
        </w:rPr>
        <w:t>publicado en el Diario Oficial de la Federación el 31 de diciembre de 2008).</w:t>
      </w:r>
    </w:p>
    <w:p w:rsidR="00B5453F" w:rsidRPr="001E2AE5" w:rsidRDefault="00B5453F"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II. Registros presupuestarios</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a) Realizar los registros en las etapas del presupuesto de egresos en aprobado,</w:t>
      </w:r>
      <w:r w:rsidR="00B5453F" w:rsidRPr="001E2AE5">
        <w:rPr>
          <w:rFonts w:ascii="Arial" w:hAnsi="Arial" w:cs="Arial"/>
          <w:sz w:val="24"/>
        </w:rPr>
        <w:t xml:space="preserve"> </w:t>
      </w:r>
      <w:r w:rsidRPr="001E2AE5">
        <w:rPr>
          <w:rFonts w:ascii="Arial" w:hAnsi="Arial" w:cs="Arial"/>
          <w:sz w:val="24"/>
        </w:rPr>
        <w:t>modificado, comprometido, devengado, ejercido y pagado y del ingreso en estimado,</w:t>
      </w:r>
      <w:r w:rsidR="00B5453F" w:rsidRPr="001E2AE5">
        <w:rPr>
          <w:rFonts w:ascii="Arial" w:hAnsi="Arial" w:cs="Arial"/>
          <w:sz w:val="24"/>
        </w:rPr>
        <w:t xml:space="preserve"> </w:t>
      </w:r>
      <w:r w:rsidRPr="001E2AE5">
        <w:rPr>
          <w:rFonts w:ascii="Arial" w:hAnsi="Arial" w:cs="Arial"/>
          <w:sz w:val="24"/>
        </w:rPr>
        <w:t>modificado, devengado y recaudado (artículo 38, conforme a Normas y metodología</w:t>
      </w:r>
      <w:r w:rsidR="00B5453F" w:rsidRPr="001E2AE5">
        <w:rPr>
          <w:rFonts w:ascii="Arial" w:hAnsi="Arial" w:cs="Arial"/>
          <w:sz w:val="24"/>
        </w:rPr>
        <w:t xml:space="preserve"> </w:t>
      </w:r>
      <w:r w:rsidRPr="001E2AE5">
        <w:rPr>
          <w:rFonts w:ascii="Arial" w:hAnsi="Arial" w:cs="Arial"/>
          <w:sz w:val="24"/>
        </w:rPr>
        <w:t>para la determinación de los momentos contables de los ingresos y Normas y</w:t>
      </w:r>
      <w:r w:rsidR="00B5453F" w:rsidRPr="001E2AE5">
        <w:rPr>
          <w:rFonts w:ascii="Arial" w:hAnsi="Arial" w:cs="Arial"/>
          <w:sz w:val="24"/>
        </w:rPr>
        <w:t xml:space="preserve"> </w:t>
      </w:r>
      <w:r w:rsidRPr="001E2AE5">
        <w:rPr>
          <w:rFonts w:ascii="Arial" w:hAnsi="Arial" w:cs="Arial"/>
          <w:sz w:val="24"/>
        </w:rPr>
        <w:t>metodología para la determinación de los momentos contables de los egresos).</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b) Exhibir en los registros auxiliares los avances presupuestarios y contables (artículo</w:t>
      </w:r>
      <w:r w:rsidR="00B5453F" w:rsidRPr="001E2AE5">
        <w:rPr>
          <w:rFonts w:ascii="Arial" w:hAnsi="Arial" w:cs="Arial"/>
          <w:sz w:val="24"/>
        </w:rPr>
        <w:t xml:space="preserve"> </w:t>
      </w:r>
      <w:r w:rsidRPr="001E2AE5">
        <w:rPr>
          <w:rFonts w:ascii="Arial" w:hAnsi="Arial" w:cs="Arial"/>
          <w:sz w:val="24"/>
        </w:rPr>
        <w:t>36).</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lastRenderedPageBreak/>
        <w:t>c) Generar registros automáticos y por única vez en los momentos contables</w:t>
      </w:r>
      <w:r w:rsidR="00B5453F" w:rsidRPr="001E2AE5">
        <w:rPr>
          <w:rFonts w:ascii="Arial" w:hAnsi="Arial" w:cs="Arial"/>
          <w:sz w:val="24"/>
        </w:rPr>
        <w:t xml:space="preserve"> </w:t>
      </w:r>
      <w:r w:rsidRPr="001E2AE5">
        <w:rPr>
          <w:rFonts w:ascii="Arial" w:hAnsi="Arial" w:cs="Arial"/>
          <w:sz w:val="24"/>
        </w:rPr>
        <w:t>correspondientes de los procesos administrativos de los Entes Públicos que</w:t>
      </w:r>
      <w:r w:rsidR="00B5453F" w:rsidRPr="001E2AE5">
        <w:rPr>
          <w:rFonts w:ascii="Arial" w:hAnsi="Arial" w:cs="Arial"/>
          <w:sz w:val="24"/>
        </w:rPr>
        <w:t xml:space="preserve"> </w:t>
      </w:r>
      <w:r w:rsidRPr="001E2AE5">
        <w:rPr>
          <w:rFonts w:ascii="Arial" w:hAnsi="Arial" w:cs="Arial"/>
          <w:sz w:val="24"/>
        </w:rPr>
        <w:t>impliquen transacciones presupuestarias y contables (artículos 16 y 40, conforme al</w:t>
      </w:r>
      <w:r w:rsidR="00B5453F" w:rsidRPr="001E2AE5">
        <w:rPr>
          <w:rFonts w:ascii="Arial" w:hAnsi="Arial" w:cs="Arial"/>
          <w:sz w:val="24"/>
        </w:rPr>
        <w:t xml:space="preserve"> </w:t>
      </w:r>
      <w:r w:rsidRPr="001E2AE5">
        <w:rPr>
          <w:rFonts w:ascii="Arial" w:hAnsi="Arial" w:cs="Arial"/>
          <w:sz w:val="24"/>
        </w:rPr>
        <w:t>Acuerdo por el que se determina la norma de información financiera para precisar</w:t>
      </w:r>
      <w:r w:rsidR="00B5453F" w:rsidRPr="001E2AE5">
        <w:rPr>
          <w:rFonts w:ascii="Arial" w:hAnsi="Arial" w:cs="Arial"/>
          <w:sz w:val="24"/>
        </w:rPr>
        <w:t xml:space="preserve"> </w:t>
      </w:r>
      <w:r w:rsidRPr="001E2AE5">
        <w:rPr>
          <w:rFonts w:ascii="Arial" w:hAnsi="Arial" w:cs="Arial"/>
          <w:sz w:val="24"/>
        </w:rPr>
        <w:t>los alcances del Acuerdo 1 aprobado por el Consejo Nacional de Armonización</w:t>
      </w:r>
      <w:r w:rsidR="00B5453F" w:rsidRPr="001E2AE5">
        <w:rPr>
          <w:rFonts w:ascii="Arial" w:hAnsi="Arial" w:cs="Arial"/>
          <w:sz w:val="24"/>
        </w:rPr>
        <w:t xml:space="preserve"> </w:t>
      </w:r>
      <w:r w:rsidRPr="001E2AE5">
        <w:rPr>
          <w:rFonts w:ascii="Arial" w:hAnsi="Arial" w:cs="Arial"/>
          <w:sz w:val="24"/>
        </w:rPr>
        <w:t>Contable, en reunión del 3 de mayo de 2013 y publicado el 16 de mayo de 2013).</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d) El sistema interrelaciona de manera automática los clasificadores presupuestarios y</w:t>
      </w:r>
      <w:r w:rsidR="00B5453F" w:rsidRPr="001E2AE5">
        <w:rPr>
          <w:rFonts w:ascii="Arial" w:hAnsi="Arial" w:cs="Arial"/>
          <w:sz w:val="24"/>
        </w:rPr>
        <w:t xml:space="preserve"> </w:t>
      </w:r>
      <w:r w:rsidRPr="001E2AE5">
        <w:rPr>
          <w:rFonts w:ascii="Arial" w:hAnsi="Arial" w:cs="Arial"/>
          <w:sz w:val="24"/>
        </w:rPr>
        <w:t>lista de cuenta (artículos 19, fracción III y IV y 41, conforme al Acuerdo por el que se</w:t>
      </w:r>
      <w:r w:rsidR="00B5453F" w:rsidRPr="001E2AE5">
        <w:rPr>
          <w:rFonts w:ascii="Arial" w:hAnsi="Arial" w:cs="Arial"/>
          <w:sz w:val="24"/>
        </w:rPr>
        <w:t xml:space="preserve"> </w:t>
      </w:r>
      <w:r w:rsidRPr="001E2AE5">
        <w:rPr>
          <w:rFonts w:ascii="Arial" w:hAnsi="Arial" w:cs="Arial"/>
          <w:sz w:val="24"/>
        </w:rPr>
        <w:t xml:space="preserve">determina la norma de información financiera para precisar los alcances del Acuerdo </w:t>
      </w:r>
      <w:r w:rsidRPr="001E2AE5">
        <w:rPr>
          <w:rFonts w:ascii="Arial" w:hAnsi="Arial" w:cs="Arial"/>
          <w:sz w:val="24"/>
          <w:szCs w:val="24"/>
          <w:lang w:val="es-MX" w:eastAsia="es-ES"/>
        </w:rPr>
        <w:t>1 apro</w:t>
      </w:r>
      <w:r w:rsidR="00B5453F" w:rsidRPr="001E2AE5">
        <w:rPr>
          <w:rFonts w:ascii="Arial" w:hAnsi="Arial" w:cs="Arial"/>
          <w:sz w:val="24"/>
          <w:szCs w:val="24"/>
          <w:lang w:val="es-MX" w:eastAsia="es-ES"/>
        </w:rPr>
        <w:t xml:space="preserve">bado por el Consejo Nacional de </w:t>
      </w:r>
      <w:r w:rsidRPr="001E2AE5">
        <w:rPr>
          <w:rFonts w:ascii="Arial" w:hAnsi="Arial" w:cs="Arial"/>
          <w:sz w:val="24"/>
          <w:szCs w:val="24"/>
          <w:lang w:val="es-MX" w:eastAsia="es-ES"/>
        </w:rPr>
        <w:t>Armonización Contable, en reunión del 3 de</w:t>
      </w:r>
      <w:r w:rsidR="00B5453F" w:rsidRPr="001E2AE5">
        <w:rPr>
          <w:rFonts w:ascii="Arial" w:hAnsi="Arial" w:cs="Arial"/>
          <w:sz w:val="24"/>
        </w:rPr>
        <w:t xml:space="preserve"> </w:t>
      </w:r>
      <w:r w:rsidRPr="001E2AE5">
        <w:rPr>
          <w:rFonts w:ascii="Arial" w:hAnsi="Arial" w:cs="Arial"/>
          <w:sz w:val="24"/>
          <w:szCs w:val="24"/>
          <w:lang w:val="es-MX" w:eastAsia="es-ES"/>
        </w:rPr>
        <w:t>mayo de 2013 y publicado el 16 de mayo de 2013).</w:t>
      </w:r>
    </w:p>
    <w:p w:rsidR="00856573"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t>e) Generar estados financieros en tiempo real (artículo 19, fracción V, VI y Sexto</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transitorio, conforme al Acuerdo por el que se determina la norma de información</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financiera para precisar los alcances del Acuerdo 1 aprobado por el Consejo</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Nacional de Armonización Contable, en reunión del 3 de mayo de 2013 y publicado</w:t>
      </w:r>
      <w:r w:rsidR="00B5453F" w:rsidRPr="001E2AE5">
        <w:rPr>
          <w:rFonts w:ascii="Arial" w:hAnsi="Arial" w:cs="Arial"/>
          <w:sz w:val="24"/>
          <w:szCs w:val="24"/>
          <w:lang w:val="es-MX" w:eastAsia="es-ES"/>
        </w:rPr>
        <w:t xml:space="preserve"> </w:t>
      </w:r>
      <w:r w:rsidR="001E2AE5">
        <w:rPr>
          <w:rFonts w:ascii="Arial" w:hAnsi="Arial" w:cs="Arial"/>
          <w:sz w:val="24"/>
          <w:szCs w:val="24"/>
          <w:lang w:val="es-MX" w:eastAsia="es-ES"/>
        </w:rPr>
        <w:t>el 16 de mayo de 2013).</w:t>
      </w:r>
    </w:p>
    <w:p w:rsidR="001E2AE5" w:rsidRPr="001E2AE5" w:rsidRDefault="001E2AE5" w:rsidP="001E2AE5">
      <w:pPr>
        <w:autoSpaceDE w:val="0"/>
        <w:autoSpaceDN w:val="0"/>
        <w:adjustRightInd w:val="0"/>
        <w:spacing w:after="0" w:line="240" w:lineRule="auto"/>
        <w:jc w:val="both"/>
        <w:rPr>
          <w:rFonts w:ascii="Arial" w:hAnsi="Arial" w:cs="Arial"/>
          <w:sz w:val="24"/>
          <w:szCs w:val="24"/>
          <w:lang w:val="es-MX" w:eastAsia="es-ES"/>
        </w:rPr>
      </w:pPr>
    </w:p>
    <w:p w:rsidR="00856573" w:rsidRPr="001E2AE5" w:rsidRDefault="00856573" w:rsidP="001E2AE5">
      <w:pPr>
        <w:autoSpaceDE w:val="0"/>
        <w:autoSpaceDN w:val="0"/>
        <w:adjustRightInd w:val="0"/>
        <w:spacing w:after="0" w:line="240" w:lineRule="auto"/>
        <w:jc w:val="both"/>
        <w:rPr>
          <w:rFonts w:ascii="Arial" w:hAnsi="Arial" w:cs="Arial"/>
          <w:b/>
          <w:sz w:val="24"/>
          <w:szCs w:val="24"/>
          <w:lang w:val="es-MX" w:eastAsia="es-ES"/>
        </w:rPr>
      </w:pPr>
      <w:r w:rsidRPr="001E2AE5">
        <w:rPr>
          <w:rFonts w:ascii="Arial" w:hAnsi="Arial" w:cs="Arial"/>
          <w:b/>
          <w:sz w:val="24"/>
          <w:szCs w:val="24"/>
          <w:lang w:val="es-MX" w:eastAsia="es-ES"/>
        </w:rPr>
        <w:t>IV. Cuenta pública</w:t>
      </w:r>
    </w:p>
    <w:p w:rsidR="00856573" w:rsidRPr="001E2AE5"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t>Generar cuenta pública conforme a los artíc</w:t>
      </w:r>
      <w:r w:rsidR="00B5453F" w:rsidRPr="001E2AE5">
        <w:rPr>
          <w:rFonts w:ascii="Arial" w:hAnsi="Arial" w:cs="Arial"/>
          <w:sz w:val="24"/>
          <w:szCs w:val="24"/>
          <w:lang w:val="es-MX" w:eastAsia="es-ES"/>
        </w:rPr>
        <w:t xml:space="preserve">ulos 52 y 53 con relación a los </w:t>
      </w:r>
      <w:r w:rsidRPr="001E2AE5">
        <w:rPr>
          <w:rFonts w:ascii="Arial" w:hAnsi="Arial" w:cs="Arial"/>
          <w:sz w:val="24"/>
          <w:szCs w:val="24"/>
          <w:lang w:val="es-MX" w:eastAsia="es-ES"/>
        </w:rPr>
        <w:t>artículos 46</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y 47, así como al acuerdo por el que se armoniza la estructura de las cuentas públicas,</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las Normas y metodología para la emisión de información financiera y estructura de los</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estados financieros básicos del ente público y características de sus notas y el Manual de</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contabilidad gubernamental, la cual debe contener:</w:t>
      </w:r>
    </w:p>
    <w:p w:rsidR="00856573" w:rsidRPr="001E2AE5"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t>b) Información presupuestaria</w:t>
      </w:r>
    </w:p>
    <w:p w:rsidR="00856573" w:rsidRPr="001E2AE5" w:rsidRDefault="00856573" w:rsidP="001E2AE5">
      <w:pPr>
        <w:autoSpaceDE w:val="0"/>
        <w:autoSpaceDN w:val="0"/>
        <w:adjustRightInd w:val="0"/>
        <w:spacing w:after="0" w:line="240" w:lineRule="auto"/>
        <w:ind w:firstLine="708"/>
        <w:jc w:val="both"/>
        <w:rPr>
          <w:rFonts w:ascii="Arial" w:hAnsi="Arial" w:cs="Arial"/>
          <w:sz w:val="24"/>
          <w:szCs w:val="24"/>
          <w:lang w:val="es-MX" w:eastAsia="es-ES"/>
        </w:rPr>
      </w:pPr>
      <w:r w:rsidRPr="001E2AE5">
        <w:rPr>
          <w:rFonts w:ascii="Arial" w:hAnsi="Arial" w:cs="Arial"/>
          <w:sz w:val="24"/>
          <w:szCs w:val="24"/>
          <w:lang w:val="es-MX" w:eastAsia="es-ES"/>
        </w:rPr>
        <w:t>b.5. Estado analítico del ejercicio del presupuesto de egresos en clasificación</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programática.</w:t>
      </w:r>
    </w:p>
    <w:p w:rsidR="00856573" w:rsidRPr="001E2AE5"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t>c) Información programática</w:t>
      </w:r>
    </w:p>
    <w:p w:rsidR="00856573" w:rsidRPr="001E2AE5" w:rsidRDefault="00856573" w:rsidP="001E2AE5">
      <w:pPr>
        <w:autoSpaceDE w:val="0"/>
        <w:autoSpaceDN w:val="0"/>
        <w:adjustRightInd w:val="0"/>
        <w:spacing w:after="0" w:line="240" w:lineRule="auto"/>
        <w:ind w:firstLine="708"/>
        <w:jc w:val="both"/>
        <w:rPr>
          <w:rFonts w:ascii="Arial" w:hAnsi="Arial" w:cs="Arial"/>
          <w:sz w:val="24"/>
          <w:szCs w:val="24"/>
          <w:lang w:val="es-MX" w:eastAsia="es-ES"/>
        </w:rPr>
      </w:pPr>
      <w:r w:rsidRPr="001E2AE5">
        <w:rPr>
          <w:rFonts w:ascii="Arial" w:hAnsi="Arial" w:cs="Arial"/>
          <w:sz w:val="24"/>
          <w:szCs w:val="24"/>
          <w:lang w:val="es-MX" w:eastAsia="es-ES"/>
        </w:rPr>
        <w:t>c.2. Programas y proyectos de inversión</w:t>
      </w:r>
    </w:p>
    <w:p w:rsidR="00B5453F" w:rsidRPr="001E2AE5" w:rsidRDefault="00B5453F" w:rsidP="001E2AE5">
      <w:pPr>
        <w:autoSpaceDE w:val="0"/>
        <w:autoSpaceDN w:val="0"/>
        <w:adjustRightInd w:val="0"/>
        <w:spacing w:after="0" w:line="240" w:lineRule="auto"/>
        <w:jc w:val="both"/>
        <w:rPr>
          <w:rFonts w:ascii="Arial" w:hAnsi="Arial" w:cs="Arial"/>
          <w:sz w:val="24"/>
          <w:szCs w:val="24"/>
          <w:lang w:val="es-MX" w:eastAsia="es-ES"/>
        </w:rPr>
      </w:pPr>
    </w:p>
    <w:p w:rsidR="00856573" w:rsidRPr="001E2AE5" w:rsidRDefault="00856573" w:rsidP="001E2AE5">
      <w:pPr>
        <w:autoSpaceDE w:val="0"/>
        <w:autoSpaceDN w:val="0"/>
        <w:adjustRightInd w:val="0"/>
        <w:spacing w:after="0" w:line="240" w:lineRule="auto"/>
        <w:jc w:val="both"/>
        <w:rPr>
          <w:rFonts w:ascii="Arial" w:hAnsi="Arial" w:cs="Arial"/>
          <w:b/>
          <w:sz w:val="24"/>
          <w:szCs w:val="24"/>
          <w:lang w:val="es-MX" w:eastAsia="es-ES"/>
        </w:rPr>
      </w:pPr>
      <w:r w:rsidRPr="001E2AE5">
        <w:rPr>
          <w:rFonts w:ascii="Arial" w:hAnsi="Arial" w:cs="Arial"/>
          <w:b/>
          <w:sz w:val="24"/>
          <w:szCs w:val="24"/>
          <w:lang w:val="es-MX" w:eastAsia="es-ES"/>
        </w:rPr>
        <w:t>V. Transparencia</w:t>
      </w:r>
    </w:p>
    <w:p w:rsidR="00856573" w:rsidRPr="001E2AE5"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t>a) Publicar trimestralmente a más tardar 30 días después del cierre del período que</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corresponda la información financiera (artículo 47 y 51).</w:t>
      </w:r>
    </w:p>
    <w:p w:rsidR="00856573" w:rsidRPr="001E2AE5" w:rsidRDefault="00856573" w:rsidP="001E2AE5">
      <w:pPr>
        <w:autoSpaceDE w:val="0"/>
        <w:autoSpaceDN w:val="0"/>
        <w:adjustRightInd w:val="0"/>
        <w:spacing w:after="0" w:line="240" w:lineRule="auto"/>
        <w:jc w:val="both"/>
        <w:rPr>
          <w:rFonts w:ascii="Arial" w:hAnsi="Arial" w:cs="Arial"/>
          <w:sz w:val="24"/>
          <w:szCs w:val="24"/>
          <w:lang w:val="es-MX" w:eastAsia="es-ES"/>
        </w:rPr>
      </w:pPr>
      <w:r w:rsidRPr="001E2AE5">
        <w:rPr>
          <w:rFonts w:ascii="Arial" w:hAnsi="Arial" w:cs="Arial"/>
          <w:sz w:val="24"/>
          <w:szCs w:val="24"/>
          <w:lang w:val="es-MX" w:eastAsia="es-ES"/>
        </w:rPr>
        <w:lastRenderedPageBreak/>
        <w:t>b) Publicar la información a que se refiere la Norma para establecer la estructura de</w:t>
      </w:r>
      <w:r w:rsidR="00B5453F" w:rsidRPr="001E2AE5">
        <w:rPr>
          <w:rFonts w:ascii="Arial" w:hAnsi="Arial" w:cs="Arial"/>
          <w:sz w:val="24"/>
          <w:szCs w:val="24"/>
          <w:lang w:val="es-MX" w:eastAsia="es-ES"/>
        </w:rPr>
        <w:t xml:space="preserve"> </w:t>
      </w:r>
      <w:r w:rsidRPr="001E2AE5">
        <w:rPr>
          <w:rFonts w:ascii="Arial" w:hAnsi="Arial" w:cs="Arial"/>
          <w:sz w:val="24"/>
          <w:szCs w:val="24"/>
          <w:lang w:val="es-MX" w:eastAsia="es-ES"/>
        </w:rPr>
        <w:t>información de montos pagados por ayudas y subsidios (Artículo 67).</w:t>
      </w:r>
    </w:p>
    <w:p w:rsidR="00856573" w:rsidRPr="001E2AE5" w:rsidRDefault="00856573" w:rsidP="001E2AE5">
      <w:pPr>
        <w:spacing w:after="0"/>
        <w:contextualSpacing/>
        <w:jc w:val="both"/>
        <w:rPr>
          <w:rFonts w:ascii="Arial" w:hAnsi="Arial" w:cs="Arial"/>
          <w:sz w:val="24"/>
          <w:szCs w:val="24"/>
          <w:lang w:val="es-MX" w:eastAsia="es-ES"/>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Análisis de la Auditoría Superior del Estado</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Se analizó la respuesta y documentación proporcionada por el Ente Público, la cual solventa</w:t>
      </w:r>
      <w:r w:rsidR="00B5453F" w:rsidRPr="001E2AE5">
        <w:rPr>
          <w:rFonts w:ascii="Arial" w:hAnsi="Arial" w:cs="Arial"/>
          <w:sz w:val="24"/>
        </w:rPr>
        <w:t xml:space="preserve"> </w:t>
      </w:r>
      <w:r w:rsidRPr="001E2AE5">
        <w:rPr>
          <w:rFonts w:ascii="Arial" w:hAnsi="Arial" w:cs="Arial"/>
          <w:sz w:val="24"/>
        </w:rPr>
        <w:t>parcialmente, toda vez que se encuentra en proceso de implementación de medidas</w:t>
      </w:r>
      <w:r w:rsidR="00B5453F" w:rsidRPr="001E2AE5">
        <w:rPr>
          <w:rFonts w:ascii="Arial" w:hAnsi="Arial" w:cs="Arial"/>
          <w:sz w:val="24"/>
        </w:rPr>
        <w:t xml:space="preserve"> </w:t>
      </w:r>
      <w:r w:rsidRPr="001E2AE5">
        <w:rPr>
          <w:rFonts w:ascii="Arial" w:hAnsi="Arial" w:cs="Arial"/>
          <w:sz w:val="24"/>
        </w:rPr>
        <w:t>correctivas, sin embargo, no ha cumplido con la totalidad de las disposiciones señaladas</w:t>
      </w:r>
      <w:r w:rsidR="00B5453F" w:rsidRPr="001E2AE5">
        <w:rPr>
          <w:rFonts w:ascii="Arial" w:hAnsi="Arial" w:cs="Arial"/>
          <w:sz w:val="24"/>
        </w:rPr>
        <w:t xml:space="preserve"> </w:t>
      </w:r>
      <w:r w:rsidRPr="001E2AE5">
        <w:rPr>
          <w:rFonts w:ascii="Arial" w:hAnsi="Arial" w:cs="Arial"/>
          <w:sz w:val="24"/>
        </w:rPr>
        <w:t>en la Ley General de Contabilidad Gubernamental y la normativa emitida por el Consejo</w:t>
      </w:r>
      <w:r w:rsidR="00B5453F" w:rsidRPr="001E2AE5">
        <w:rPr>
          <w:rFonts w:ascii="Arial" w:hAnsi="Arial" w:cs="Arial"/>
          <w:sz w:val="24"/>
        </w:rPr>
        <w:t xml:space="preserve"> </w:t>
      </w:r>
      <w:r w:rsidRPr="001E2AE5">
        <w:rPr>
          <w:rFonts w:ascii="Arial" w:hAnsi="Arial" w:cs="Arial"/>
          <w:sz w:val="24"/>
        </w:rPr>
        <w:t>Nacional de Armonización Contable.</w:t>
      </w:r>
    </w:p>
    <w:p w:rsidR="00B5453F" w:rsidRPr="001E2AE5" w:rsidRDefault="00B5453F"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Acción(es) o recomendación(es) emitida(s)</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Recomendaciones en Relación a la Gestión o Control Interno.</w:t>
      </w:r>
    </w:p>
    <w:p w:rsidR="00856573" w:rsidRPr="001E2AE5" w:rsidRDefault="00856573"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ACTIVO</w:t>
      </w:r>
    </w:p>
    <w:p w:rsidR="00856573" w:rsidRPr="001E2AE5" w:rsidRDefault="00856573" w:rsidP="001E2AE5">
      <w:pPr>
        <w:spacing w:after="0"/>
        <w:contextualSpacing/>
        <w:jc w:val="both"/>
        <w:rPr>
          <w:rFonts w:ascii="Arial" w:hAnsi="Arial" w:cs="Arial"/>
          <w:b/>
          <w:sz w:val="24"/>
          <w:u w:val="single"/>
        </w:rPr>
      </w:pPr>
      <w:r w:rsidRPr="001E2AE5">
        <w:rPr>
          <w:rFonts w:ascii="Arial" w:hAnsi="Arial" w:cs="Arial"/>
          <w:b/>
          <w:sz w:val="24"/>
          <w:u w:val="single"/>
        </w:rPr>
        <w:t>Activo circulante</w:t>
      </w:r>
    </w:p>
    <w:p w:rsidR="00856573" w:rsidRPr="001E2AE5" w:rsidRDefault="00856573" w:rsidP="001E2AE5">
      <w:pPr>
        <w:spacing w:after="0"/>
        <w:contextualSpacing/>
        <w:jc w:val="both"/>
        <w:rPr>
          <w:rFonts w:ascii="Arial" w:hAnsi="Arial" w:cs="Arial"/>
          <w:b/>
          <w:sz w:val="24"/>
          <w:u w:val="single"/>
        </w:rPr>
      </w:pPr>
      <w:r w:rsidRPr="001E2AE5">
        <w:rPr>
          <w:rFonts w:ascii="Arial" w:hAnsi="Arial" w:cs="Arial"/>
          <w:b/>
          <w:sz w:val="24"/>
          <w:u w:val="single"/>
        </w:rPr>
        <w:t>Inventarios</w:t>
      </w:r>
    </w:p>
    <w:p w:rsidR="00856573" w:rsidRPr="001E2AE5" w:rsidRDefault="00856573" w:rsidP="001E2AE5">
      <w:pPr>
        <w:spacing w:after="0"/>
        <w:contextualSpacing/>
        <w:jc w:val="both"/>
        <w:rPr>
          <w:rFonts w:ascii="Arial" w:hAnsi="Arial" w:cs="Arial"/>
          <w:sz w:val="24"/>
        </w:rPr>
      </w:pPr>
      <w:r w:rsidRPr="001E2AE5">
        <w:rPr>
          <w:rFonts w:ascii="Arial" w:hAnsi="Arial" w:cs="Arial"/>
          <w:b/>
          <w:sz w:val="24"/>
        </w:rPr>
        <w:t xml:space="preserve">2. </w:t>
      </w:r>
      <w:r w:rsidRPr="001E2AE5">
        <w:rPr>
          <w:rFonts w:ascii="Arial" w:hAnsi="Arial" w:cs="Arial"/>
          <w:sz w:val="24"/>
        </w:rPr>
        <w:t>Al 31 de diciembre de 2015, se refleja en el inventario de libros en consignación a librerías</w:t>
      </w:r>
      <w:r w:rsidR="00B5453F" w:rsidRPr="001E2AE5">
        <w:rPr>
          <w:rFonts w:ascii="Arial" w:hAnsi="Arial" w:cs="Arial"/>
          <w:sz w:val="24"/>
        </w:rPr>
        <w:t xml:space="preserve"> </w:t>
      </w:r>
      <w:r w:rsidRPr="001E2AE5">
        <w:rPr>
          <w:rFonts w:ascii="Arial" w:hAnsi="Arial" w:cs="Arial"/>
          <w:sz w:val="24"/>
        </w:rPr>
        <w:t>$686,232, sin embargo no se proporcionó ni exhibió evidencia documental que compruebe la</w:t>
      </w:r>
      <w:r w:rsidR="00B5453F" w:rsidRPr="001E2AE5">
        <w:rPr>
          <w:rFonts w:ascii="Arial" w:hAnsi="Arial" w:cs="Arial"/>
          <w:sz w:val="24"/>
        </w:rPr>
        <w:t xml:space="preserve"> </w:t>
      </w:r>
      <w:r w:rsidRPr="001E2AE5">
        <w:rPr>
          <w:rFonts w:ascii="Arial" w:hAnsi="Arial" w:cs="Arial"/>
          <w:sz w:val="24"/>
        </w:rPr>
        <w:t>realización de inventarios físicos periódicos que permitan conciliar el total de las existencias</w:t>
      </w:r>
      <w:r w:rsidR="00B5453F" w:rsidRPr="001E2AE5">
        <w:rPr>
          <w:rFonts w:ascii="Arial" w:hAnsi="Arial" w:cs="Arial"/>
          <w:sz w:val="24"/>
        </w:rPr>
        <w:t xml:space="preserve"> </w:t>
      </w:r>
      <w:r w:rsidRPr="001E2AE5">
        <w:rPr>
          <w:rFonts w:ascii="Arial" w:hAnsi="Arial" w:cs="Arial"/>
          <w:sz w:val="24"/>
        </w:rPr>
        <w:t>contra los registros de los consignatarios.</w:t>
      </w:r>
    </w:p>
    <w:p w:rsidR="00856573" w:rsidRPr="001E2AE5" w:rsidRDefault="00856573"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Análisis de la Auditoría Superior del Estado</w:t>
      </w:r>
    </w:p>
    <w:p w:rsidR="00856573" w:rsidRPr="001E2AE5" w:rsidRDefault="00856573" w:rsidP="001E2AE5">
      <w:pPr>
        <w:spacing w:after="0"/>
        <w:contextualSpacing/>
        <w:jc w:val="both"/>
        <w:rPr>
          <w:rFonts w:ascii="Arial" w:hAnsi="Arial" w:cs="Arial"/>
          <w:sz w:val="24"/>
        </w:rPr>
      </w:pPr>
      <w:r w:rsidRPr="001E2AE5">
        <w:rPr>
          <w:rFonts w:ascii="Arial" w:hAnsi="Arial" w:cs="Arial"/>
          <w:sz w:val="24"/>
        </w:rPr>
        <w:t>Se analizó la respuesta y documentación presentada por el Ente Público, la cual solventa</w:t>
      </w:r>
      <w:r w:rsidR="00B5453F" w:rsidRPr="001E2AE5">
        <w:rPr>
          <w:rFonts w:ascii="Arial" w:hAnsi="Arial" w:cs="Arial"/>
          <w:sz w:val="24"/>
        </w:rPr>
        <w:t xml:space="preserve"> </w:t>
      </w:r>
      <w:r w:rsidRPr="001E2AE5">
        <w:rPr>
          <w:rFonts w:ascii="Arial" w:hAnsi="Arial" w:cs="Arial"/>
          <w:sz w:val="24"/>
        </w:rPr>
        <w:t>parcialmente, toda vez que adjunta reportes de inventario al 31 de diciembre de 2015 con</w:t>
      </w:r>
      <w:r w:rsidR="00B5453F" w:rsidRPr="001E2AE5">
        <w:rPr>
          <w:rFonts w:ascii="Arial" w:hAnsi="Arial" w:cs="Arial"/>
          <w:sz w:val="24"/>
        </w:rPr>
        <w:t xml:space="preserve"> </w:t>
      </w:r>
      <w:r w:rsidRPr="001E2AE5">
        <w:rPr>
          <w:rFonts w:ascii="Arial" w:hAnsi="Arial" w:cs="Arial"/>
          <w:sz w:val="24"/>
        </w:rPr>
        <w:t>la librería Educal, S.A. de C.V., sin embargo con las otras librerías anexa solo la facturación</w:t>
      </w:r>
      <w:r w:rsidR="00B5453F" w:rsidRPr="001E2AE5">
        <w:rPr>
          <w:rFonts w:ascii="Arial" w:hAnsi="Arial" w:cs="Arial"/>
          <w:sz w:val="24"/>
        </w:rPr>
        <w:t xml:space="preserve"> </w:t>
      </w:r>
      <w:r w:rsidRPr="001E2AE5">
        <w:rPr>
          <w:rFonts w:ascii="Arial" w:hAnsi="Arial" w:cs="Arial"/>
          <w:sz w:val="24"/>
        </w:rPr>
        <w:t>con éstas.</w:t>
      </w:r>
    </w:p>
    <w:p w:rsidR="00856573" w:rsidRPr="001E2AE5" w:rsidRDefault="00856573" w:rsidP="001E2AE5">
      <w:pPr>
        <w:spacing w:after="0"/>
        <w:contextualSpacing/>
        <w:jc w:val="both"/>
        <w:rPr>
          <w:rFonts w:ascii="Arial" w:hAnsi="Arial" w:cs="Arial"/>
          <w:sz w:val="24"/>
        </w:rPr>
      </w:pPr>
    </w:p>
    <w:p w:rsidR="00856573" w:rsidRPr="001E2AE5" w:rsidRDefault="00856573" w:rsidP="001E2AE5">
      <w:pPr>
        <w:spacing w:after="0"/>
        <w:contextualSpacing/>
        <w:jc w:val="both"/>
        <w:rPr>
          <w:rFonts w:ascii="Arial" w:hAnsi="Arial" w:cs="Arial"/>
          <w:b/>
          <w:sz w:val="24"/>
        </w:rPr>
      </w:pPr>
      <w:r w:rsidRPr="001E2AE5">
        <w:rPr>
          <w:rFonts w:ascii="Arial" w:hAnsi="Arial" w:cs="Arial"/>
          <w:b/>
          <w:sz w:val="24"/>
        </w:rPr>
        <w:t>Acción(es) o recomendación(es) emitida(s)</w:t>
      </w:r>
    </w:p>
    <w:p w:rsidR="00856573" w:rsidRPr="001E2AE5" w:rsidRDefault="00856573" w:rsidP="001E2AE5">
      <w:pPr>
        <w:spacing w:after="0"/>
        <w:contextualSpacing/>
        <w:jc w:val="both"/>
        <w:rPr>
          <w:rFonts w:ascii="Arial" w:hAnsi="Arial" w:cs="Arial"/>
          <w:i/>
          <w:sz w:val="24"/>
        </w:rPr>
      </w:pPr>
      <w:r w:rsidRPr="001E2AE5">
        <w:rPr>
          <w:rFonts w:ascii="Arial" w:hAnsi="Arial" w:cs="Arial"/>
          <w:i/>
          <w:sz w:val="24"/>
        </w:rPr>
        <w:t>Recomendaciones en Relación a la Gestión o Control Interno.</w:t>
      </w:r>
    </w:p>
    <w:p w:rsidR="00856573" w:rsidRPr="001E2AE5" w:rsidRDefault="00856573" w:rsidP="001E2AE5">
      <w:pPr>
        <w:spacing w:after="0" w:line="360" w:lineRule="auto"/>
        <w:contextualSpacing/>
        <w:jc w:val="both"/>
        <w:rPr>
          <w:rFonts w:ascii="Arial" w:hAnsi="Arial" w:cs="Arial"/>
          <w:b/>
          <w:sz w:val="24"/>
        </w:rPr>
      </w:pPr>
    </w:p>
    <w:p w:rsidR="00856573" w:rsidRPr="001E2AE5" w:rsidRDefault="00856573" w:rsidP="001E2AE5">
      <w:pPr>
        <w:spacing w:after="0" w:line="360" w:lineRule="auto"/>
        <w:contextualSpacing/>
        <w:jc w:val="both"/>
        <w:rPr>
          <w:rFonts w:ascii="Arial" w:hAnsi="Arial" w:cs="Arial"/>
          <w:b/>
          <w:sz w:val="24"/>
          <w:u w:val="single"/>
        </w:rPr>
      </w:pPr>
      <w:r w:rsidRPr="001E2AE5">
        <w:rPr>
          <w:rFonts w:ascii="Arial" w:hAnsi="Arial" w:cs="Arial"/>
          <w:b/>
          <w:sz w:val="24"/>
          <w:u w:val="single"/>
        </w:rPr>
        <w:lastRenderedPageBreak/>
        <w:t>Activo no circulante</w:t>
      </w:r>
    </w:p>
    <w:p w:rsidR="00856573" w:rsidRPr="001E2AE5" w:rsidRDefault="00856573" w:rsidP="001E2AE5">
      <w:pPr>
        <w:spacing w:after="0" w:line="360" w:lineRule="auto"/>
        <w:contextualSpacing/>
        <w:jc w:val="both"/>
        <w:rPr>
          <w:rFonts w:ascii="Arial" w:hAnsi="Arial" w:cs="Arial"/>
          <w:b/>
          <w:sz w:val="24"/>
          <w:u w:val="single"/>
        </w:rPr>
      </w:pPr>
      <w:r w:rsidRPr="001E2AE5">
        <w:rPr>
          <w:rFonts w:ascii="Arial" w:hAnsi="Arial" w:cs="Arial"/>
          <w:b/>
          <w:sz w:val="24"/>
          <w:u w:val="single"/>
        </w:rPr>
        <w:t>Depreciación, deterioro y amortización acumulada de bienes e intangibles</w:t>
      </w:r>
    </w:p>
    <w:p w:rsidR="00856573" w:rsidRPr="001E2AE5" w:rsidRDefault="00856573" w:rsidP="001E2AE5">
      <w:pPr>
        <w:spacing w:after="0" w:line="360" w:lineRule="auto"/>
        <w:contextualSpacing/>
        <w:jc w:val="both"/>
        <w:rPr>
          <w:rFonts w:ascii="Arial" w:hAnsi="Arial" w:cs="Arial"/>
          <w:sz w:val="24"/>
        </w:rPr>
      </w:pPr>
      <w:r w:rsidRPr="001E2AE5">
        <w:rPr>
          <w:rFonts w:ascii="Arial" w:hAnsi="Arial" w:cs="Arial"/>
          <w:b/>
          <w:sz w:val="24"/>
        </w:rPr>
        <w:t xml:space="preserve">3. </w:t>
      </w:r>
      <w:r w:rsidRPr="001E2AE5">
        <w:rPr>
          <w:rFonts w:ascii="Arial" w:hAnsi="Arial" w:cs="Arial"/>
          <w:sz w:val="24"/>
        </w:rPr>
        <w:t>No se proporcionó ni fue exhibida por el Ente Público evidencia del cálculo de la</w:t>
      </w:r>
      <w:r w:rsidR="00B5453F" w:rsidRPr="001E2AE5">
        <w:rPr>
          <w:rFonts w:ascii="Arial" w:hAnsi="Arial" w:cs="Arial"/>
          <w:sz w:val="24"/>
        </w:rPr>
        <w:t xml:space="preserve"> </w:t>
      </w:r>
      <w:r w:rsidRPr="001E2AE5">
        <w:rPr>
          <w:rFonts w:ascii="Arial" w:hAnsi="Arial" w:cs="Arial"/>
          <w:sz w:val="24"/>
        </w:rPr>
        <w:t>depreciación conforme a lo establecido en el Acuerdo por el que se emiten las</w:t>
      </w:r>
      <w:r w:rsidR="00B5453F" w:rsidRPr="001E2AE5">
        <w:rPr>
          <w:rFonts w:ascii="Arial" w:hAnsi="Arial" w:cs="Arial"/>
          <w:sz w:val="24"/>
        </w:rPr>
        <w:t xml:space="preserve"> </w:t>
      </w:r>
      <w:r w:rsidRPr="001E2AE5">
        <w:rPr>
          <w:rFonts w:ascii="Arial" w:hAnsi="Arial" w:cs="Arial"/>
          <w:sz w:val="24"/>
        </w:rPr>
        <w:t>reglas específicas del registro y valoración del patrimonio (inciso B - punto 6 -</w:t>
      </w:r>
      <w:r w:rsidR="00B5453F" w:rsidRPr="001E2AE5">
        <w:rPr>
          <w:rFonts w:ascii="Arial" w:hAnsi="Arial" w:cs="Arial"/>
          <w:sz w:val="24"/>
        </w:rPr>
        <w:t xml:space="preserve"> </w:t>
      </w:r>
      <w:r w:rsidRPr="001E2AE5">
        <w:rPr>
          <w:rFonts w:ascii="Arial" w:hAnsi="Arial" w:cs="Arial"/>
          <w:sz w:val="24"/>
        </w:rPr>
        <w:t>Depreciación, deterioro y amortización, del ejercicio y acumulada de bienes), estableciendo</w:t>
      </w:r>
      <w:r w:rsidR="00B5453F" w:rsidRPr="001E2AE5">
        <w:rPr>
          <w:rFonts w:ascii="Arial" w:hAnsi="Arial" w:cs="Arial"/>
          <w:sz w:val="24"/>
        </w:rPr>
        <w:t xml:space="preserve"> </w:t>
      </w:r>
      <w:r w:rsidRPr="001E2AE5">
        <w:rPr>
          <w:rFonts w:ascii="Arial" w:hAnsi="Arial" w:cs="Arial"/>
          <w:sz w:val="24"/>
        </w:rPr>
        <w:t>su observancia obligatoria, de conformidad con el artículo 7 de la Ley General de</w:t>
      </w:r>
      <w:r w:rsidR="00B5453F" w:rsidRPr="001E2AE5">
        <w:rPr>
          <w:rFonts w:ascii="Arial" w:hAnsi="Arial" w:cs="Arial"/>
          <w:sz w:val="24"/>
        </w:rPr>
        <w:t xml:space="preserve"> </w:t>
      </w:r>
      <w:r w:rsidRPr="001E2AE5">
        <w:rPr>
          <w:rFonts w:ascii="Arial" w:hAnsi="Arial" w:cs="Arial"/>
          <w:sz w:val="24"/>
        </w:rPr>
        <w:t>Contabilidad Gubernamental.</w:t>
      </w:r>
    </w:p>
    <w:p w:rsidR="00856573" w:rsidRPr="001E2AE5" w:rsidRDefault="00856573" w:rsidP="001E2AE5">
      <w:pPr>
        <w:spacing w:after="0" w:line="360" w:lineRule="auto"/>
        <w:contextualSpacing/>
        <w:jc w:val="both"/>
        <w:rPr>
          <w:rFonts w:ascii="Arial" w:hAnsi="Arial" w:cs="Arial"/>
          <w:sz w:val="24"/>
        </w:rPr>
      </w:pPr>
    </w:p>
    <w:p w:rsidR="00856573" w:rsidRPr="001E2AE5" w:rsidRDefault="00856573" w:rsidP="001E2AE5">
      <w:pPr>
        <w:spacing w:after="0" w:line="360" w:lineRule="auto"/>
        <w:contextualSpacing/>
        <w:jc w:val="both"/>
        <w:rPr>
          <w:rFonts w:ascii="Arial" w:hAnsi="Arial" w:cs="Arial"/>
          <w:b/>
          <w:sz w:val="24"/>
        </w:rPr>
      </w:pPr>
      <w:r w:rsidRPr="001E2AE5">
        <w:rPr>
          <w:rFonts w:ascii="Arial" w:hAnsi="Arial" w:cs="Arial"/>
          <w:b/>
          <w:sz w:val="24"/>
        </w:rPr>
        <w:t>Análisis de la Auditoría Superior del Estado</w:t>
      </w:r>
    </w:p>
    <w:p w:rsidR="00856573" w:rsidRPr="001E2AE5" w:rsidRDefault="00856573" w:rsidP="001E2AE5">
      <w:pPr>
        <w:spacing w:after="0" w:line="360" w:lineRule="auto"/>
        <w:contextualSpacing/>
        <w:jc w:val="both"/>
        <w:rPr>
          <w:rFonts w:ascii="Arial" w:hAnsi="Arial" w:cs="Arial"/>
          <w:sz w:val="24"/>
        </w:rPr>
      </w:pPr>
      <w:r w:rsidRPr="001E2AE5">
        <w:rPr>
          <w:rFonts w:ascii="Arial" w:hAnsi="Arial" w:cs="Arial"/>
          <w:sz w:val="24"/>
        </w:rPr>
        <w:t>Se analizó la respuesta y documentación proporcionada por el Ente Público, la cual solventa</w:t>
      </w:r>
      <w:r w:rsidR="00B5453F" w:rsidRPr="001E2AE5">
        <w:rPr>
          <w:rFonts w:ascii="Arial" w:hAnsi="Arial" w:cs="Arial"/>
          <w:sz w:val="24"/>
        </w:rPr>
        <w:t xml:space="preserve"> </w:t>
      </w:r>
      <w:r w:rsidRPr="001E2AE5">
        <w:rPr>
          <w:rFonts w:ascii="Arial" w:hAnsi="Arial" w:cs="Arial"/>
          <w:sz w:val="24"/>
        </w:rPr>
        <w:t>parcialmente, aún y cuando realizó cálculos de depreciación, no presentó la fórmula, el valor</w:t>
      </w:r>
      <w:r w:rsidR="00B5453F" w:rsidRPr="001E2AE5">
        <w:rPr>
          <w:rFonts w:ascii="Arial" w:hAnsi="Arial" w:cs="Arial"/>
          <w:sz w:val="24"/>
        </w:rPr>
        <w:t xml:space="preserve"> </w:t>
      </w:r>
      <w:r w:rsidRPr="001E2AE5">
        <w:rPr>
          <w:rFonts w:ascii="Arial" w:hAnsi="Arial" w:cs="Arial"/>
          <w:sz w:val="24"/>
        </w:rPr>
        <w:t>de desecho y el dictamen técnico, peritaje obtenido o estudio realizado, que considere la determinación de la vida útil de los activos, como lo señala el Acuerdo por el que se emiten</w:t>
      </w:r>
      <w:r w:rsidR="00B5453F" w:rsidRPr="001E2AE5">
        <w:rPr>
          <w:rFonts w:ascii="Arial" w:hAnsi="Arial" w:cs="Arial"/>
          <w:sz w:val="24"/>
        </w:rPr>
        <w:t xml:space="preserve"> </w:t>
      </w:r>
      <w:r w:rsidRPr="001E2AE5">
        <w:rPr>
          <w:rFonts w:ascii="Arial" w:hAnsi="Arial" w:cs="Arial"/>
          <w:sz w:val="24"/>
        </w:rPr>
        <w:t>las reglas específicas del registro y valoración del patrimonio.</w:t>
      </w:r>
    </w:p>
    <w:p w:rsidR="00856573" w:rsidRPr="001E2AE5" w:rsidRDefault="00856573" w:rsidP="001E2AE5">
      <w:pPr>
        <w:spacing w:after="0" w:line="360" w:lineRule="auto"/>
        <w:contextualSpacing/>
        <w:jc w:val="both"/>
        <w:rPr>
          <w:rFonts w:ascii="Arial" w:hAnsi="Arial" w:cs="Arial"/>
          <w:sz w:val="24"/>
        </w:rPr>
      </w:pPr>
    </w:p>
    <w:p w:rsidR="00856573" w:rsidRPr="001E2AE5" w:rsidRDefault="00856573" w:rsidP="001E2AE5">
      <w:pPr>
        <w:spacing w:after="0" w:line="360" w:lineRule="auto"/>
        <w:contextualSpacing/>
        <w:jc w:val="both"/>
        <w:rPr>
          <w:rFonts w:ascii="Arial" w:hAnsi="Arial" w:cs="Arial"/>
          <w:b/>
          <w:sz w:val="24"/>
        </w:rPr>
      </w:pPr>
      <w:r w:rsidRPr="001E2AE5">
        <w:rPr>
          <w:rFonts w:ascii="Arial" w:hAnsi="Arial" w:cs="Arial"/>
          <w:b/>
          <w:sz w:val="24"/>
        </w:rPr>
        <w:t>Acción(es) o recomendación(es) emitida(s)</w:t>
      </w:r>
    </w:p>
    <w:p w:rsidR="00856573" w:rsidRPr="001E2AE5" w:rsidRDefault="00856573" w:rsidP="001E2AE5">
      <w:pPr>
        <w:spacing w:after="0" w:line="360" w:lineRule="auto"/>
        <w:contextualSpacing/>
        <w:jc w:val="both"/>
        <w:rPr>
          <w:rFonts w:ascii="Arial" w:hAnsi="Arial" w:cs="Arial"/>
          <w:i/>
          <w:sz w:val="24"/>
        </w:rPr>
      </w:pPr>
      <w:r w:rsidRPr="001E2AE5">
        <w:rPr>
          <w:rFonts w:ascii="Arial" w:hAnsi="Arial" w:cs="Arial"/>
          <w:i/>
          <w:sz w:val="24"/>
        </w:rPr>
        <w:t>Promoción de Fincamiento de Responsabilidad Administrativa.</w:t>
      </w:r>
    </w:p>
    <w:p w:rsidR="00856573" w:rsidRPr="001E2AE5" w:rsidRDefault="00856573" w:rsidP="001E2AE5">
      <w:pPr>
        <w:spacing w:after="0" w:line="360" w:lineRule="auto"/>
        <w:contextualSpacing/>
        <w:jc w:val="both"/>
        <w:rPr>
          <w:rFonts w:ascii="Arial" w:hAnsi="Arial" w:cs="Arial"/>
          <w:sz w:val="24"/>
        </w:rPr>
      </w:pPr>
    </w:p>
    <w:p w:rsidR="00856573" w:rsidRPr="001E2AE5" w:rsidRDefault="00856573" w:rsidP="001E2AE5">
      <w:pPr>
        <w:spacing w:after="0" w:line="360" w:lineRule="auto"/>
        <w:contextualSpacing/>
        <w:jc w:val="both"/>
        <w:rPr>
          <w:rFonts w:ascii="Arial" w:hAnsi="Arial" w:cs="Arial"/>
          <w:b/>
          <w:sz w:val="24"/>
        </w:rPr>
      </w:pPr>
      <w:r w:rsidRPr="001E2AE5">
        <w:rPr>
          <w:rFonts w:ascii="Arial" w:hAnsi="Arial" w:cs="Arial"/>
          <w:b/>
          <w:sz w:val="24"/>
        </w:rPr>
        <w:t>GASTOS Y OTRAS PÉRDIDAS</w:t>
      </w:r>
    </w:p>
    <w:p w:rsidR="00856573" w:rsidRPr="001E2AE5" w:rsidRDefault="00856573" w:rsidP="001E2AE5">
      <w:pPr>
        <w:spacing w:after="0" w:line="360" w:lineRule="auto"/>
        <w:contextualSpacing/>
        <w:jc w:val="both"/>
        <w:rPr>
          <w:rFonts w:ascii="Arial" w:hAnsi="Arial" w:cs="Arial"/>
          <w:b/>
          <w:sz w:val="24"/>
          <w:u w:val="single"/>
        </w:rPr>
      </w:pPr>
      <w:r w:rsidRPr="001E2AE5">
        <w:rPr>
          <w:rFonts w:ascii="Arial" w:hAnsi="Arial" w:cs="Arial"/>
          <w:b/>
          <w:sz w:val="24"/>
          <w:u w:val="single"/>
        </w:rPr>
        <w:t>Gastos de funcionamiento</w:t>
      </w:r>
    </w:p>
    <w:p w:rsidR="00856573" w:rsidRPr="001E2AE5" w:rsidRDefault="00856573" w:rsidP="001E2AE5">
      <w:pPr>
        <w:spacing w:after="0" w:line="360" w:lineRule="auto"/>
        <w:contextualSpacing/>
        <w:jc w:val="both"/>
        <w:rPr>
          <w:rFonts w:ascii="Arial" w:hAnsi="Arial" w:cs="Arial"/>
          <w:b/>
          <w:sz w:val="24"/>
          <w:u w:val="single"/>
        </w:rPr>
      </w:pPr>
      <w:r w:rsidRPr="001E2AE5">
        <w:rPr>
          <w:rFonts w:ascii="Arial" w:hAnsi="Arial" w:cs="Arial"/>
          <w:b/>
          <w:sz w:val="24"/>
          <w:u w:val="single"/>
        </w:rPr>
        <w:t>Materiales y suministros</w:t>
      </w:r>
    </w:p>
    <w:p w:rsidR="00856573" w:rsidRPr="001E2AE5" w:rsidRDefault="00856573" w:rsidP="001E2AE5">
      <w:pPr>
        <w:spacing w:after="0" w:line="360" w:lineRule="auto"/>
        <w:contextualSpacing/>
        <w:jc w:val="both"/>
        <w:rPr>
          <w:rFonts w:ascii="Arial" w:hAnsi="Arial" w:cs="Arial"/>
          <w:sz w:val="24"/>
        </w:rPr>
      </w:pPr>
      <w:r w:rsidRPr="001E2AE5">
        <w:rPr>
          <w:rFonts w:ascii="Arial" w:hAnsi="Arial" w:cs="Arial"/>
          <w:sz w:val="24"/>
        </w:rPr>
        <w:lastRenderedPageBreak/>
        <w:t>4. El Ente Público recibió durante el ejercicio 2015 servicios proporcionados por proveedores</w:t>
      </w:r>
      <w:r w:rsidR="00B5453F" w:rsidRPr="001E2AE5">
        <w:rPr>
          <w:rFonts w:ascii="Arial" w:hAnsi="Arial" w:cs="Arial"/>
          <w:sz w:val="24"/>
        </w:rPr>
        <w:t xml:space="preserve"> </w:t>
      </w:r>
      <w:r w:rsidRPr="001E2AE5">
        <w:rPr>
          <w:rFonts w:ascii="Arial" w:hAnsi="Arial" w:cs="Arial"/>
          <w:sz w:val="24"/>
        </w:rPr>
        <w:t>no inscritos en el padrón, los cuales se detallan a continuación:</w:t>
      </w:r>
    </w:p>
    <w:p w:rsidR="00856573" w:rsidRPr="001E2AE5" w:rsidRDefault="00856573" w:rsidP="001E2AE5">
      <w:pPr>
        <w:spacing w:after="0" w:line="360" w:lineRule="auto"/>
        <w:contextualSpacing/>
        <w:jc w:val="both"/>
        <w:rPr>
          <w:rFonts w:ascii="Arial" w:hAnsi="Arial" w:cs="Arial"/>
          <w:b/>
          <w:sz w:val="24"/>
        </w:rPr>
      </w:pPr>
      <w:r w:rsidRPr="001E2AE5">
        <w:rPr>
          <w:rFonts w:ascii="Arial" w:hAnsi="Arial" w:cs="Arial"/>
          <w:b/>
          <w:noProof/>
          <w:sz w:val="24"/>
          <w:lang w:val="es-MX" w:eastAsia="es-MX"/>
        </w:rPr>
        <w:drawing>
          <wp:inline distT="0" distB="0" distL="0" distR="0" wp14:anchorId="3B18B368" wp14:editId="3DA76FA7">
            <wp:extent cx="4370070" cy="4038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070" cy="403860"/>
                    </a:xfrm>
                    <a:prstGeom prst="rect">
                      <a:avLst/>
                    </a:prstGeom>
                    <a:noFill/>
                    <a:ln>
                      <a:noFill/>
                    </a:ln>
                  </pic:spPr>
                </pic:pic>
              </a:graphicData>
            </a:graphic>
          </wp:inline>
        </w:drawing>
      </w:r>
    </w:p>
    <w:p w:rsidR="00856573" w:rsidRPr="001E2AE5" w:rsidRDefault="00856573" w:rsidP="001E2AE5">
      <w:pPr>
        <w:spacing w:after="0" w:line="360" w:lineRule="auto"/>
        <w:contextualSpacing/>
        <w:jc w:val="both"/>
        <w:rPr>
          <w:rFonts w:ascii="Arial" w:hAnsi="Arial" w:cs="Arial"/>
          <w:sz w:val="24"/>
        </w:rPr>
      </w:pPr>
      <w:r w:rsidRPr="001E2AE5">
        <w:rPr>
          <w:rFonts w:ascii="Arial" w:hAnsi="Arial" w:cs="Arial"/>
          <w:sz w:val="24"/>
        </w:rPr>
        <w:t>Lo anterior contraviene lo señalado</w:t>
      </w:r>
      <w:r w:rsidR="00B5453F" w:rsidRPr="001E2AE5">
        <w:rPr>
          <w:rFonts w:ascii="Arial" w:hAnsi="Arial" w:cs="Arial"/>
          <w:sz w:val="24"/>
        </w:rPr>
        <w:t xml:space="preserve"> en el artículo 24 de la Ley de </w:t>
      </w:r>
      <w:r w:rsidRPr="001E2AE5">
        <w:rPr>
          <w:rFonts w:ascii="Arial" w:hAnsi="Arial" w:cs="Arial"/>
          <w:sz w:val="24"/>
        </w:rPr>
        <w:t>Adquisiciones, Arrendamientos y Contratación de Servicios del Estado de Nuevo León.</w:t>
      </w:r>
    </w:p>
    <w:p w:rsidR="001E2AE5" w:rsidRDefault="001E2AE5" w:rsidP="001E2AE5">
      <w:pPr>
        <w:spacing w:after="0" w:line="360" w:lineRule="auto"/>
        <w:contextualSpacing/>
        <w:jc w:val="both"/>
        <w:rPr>
          <w:rFonts w:ascii="Arial" w:hAnsi="Arial" w:cs="Arial"/>
          <w:sz w:val="24"/>
        </w:rPr>
      </w:pPr>
    </w:p>
    <w:p w:rsidR="00856573" w:rsidRPr="001E2AE5" w:rsidRDefault="00856573" w:rsidP="001E2AE5">
      <w:pPr>
        <w:spacing w:after="0" w:line="360" w:lineRule="auto"/>
        <w:contextualSpacing/>
        <w:jc w:val="both"/>
        <w:rPr>
          <w:rFonts w:ascii="Arial" w:hAnsi="Arial" w:cs="Arial"/>
          <w:b/>
          <w:sz w:val="24"/>
        </w:rPr>
      </w:pPr>
      <w:r w:rsidRPr="001E2AE5">
        <w:rPr>
          <w:rFonts w:ascii="Arial" w:hAnsi="Arial" w:cs="Arial"/>
          <w:b/>
          <w:sz w:val="24"/>
        </w:rPr>
        <w:t>Acción(es) o recomendación(es) emitida(s)</w:t>
      </w:r>
    </w:p>
    <w:p w:rsidR="00856573" w:rsidRPr="001E2AE5" w:rsidRDefault="00856573" w:rsidP="001E2AE5">
      <w:pPr>
        <w:spacing w:after="0" w:line="360" w:lineRule="auto"/>
        <w:contextualSpacing/>
        <w:jc w:val="both"/>
        <w:rPr>
          <w:rFonts w:ascii="Arial" w:hAnsi="Arial" w:cs="Arial"/>
          <w:i/>
          <w:sz w:val="24"/>
        </w:rPr>
      </w:pPr>
      <w:r w:rsidRPr="001E2AE5">
        <w:rPr>
          <w:rFonts w:ascii="Arial" w:hAnsi="Arial" w:cs="Arial"/>
          <w:i/>
          <w:sz w:val="24"/>
        </w:rPr>
        <w:t>Promoción de Fincamiento de Responsabilidad Administrativa.</w:t>
      </w:r>
    </w:p>
    <w:p w:rsidR="00856573" w:rsidRPr="001E2AE5" w:rsidRDefault="00856573" w:rsidP="001E2AE5">
      <w:pPr>
        <w:spacing w:after="0" w:line="360" w:lineRule="auto"/>
        <w:contextualSpacing/>
        <w:jc w:val="both"/>
        <w:rPr>
          <w:rFonts w:ascii="Arial" w:hAnsi="Arial" w:cs="Arial"/>
          <w:b/>
          <w:sz w:val="24"/>
        </w:rPr>
      </w:pPr>
    </w:p>
    <w:p w:rsidR="009C0345" w:rsidRPr="001E2AE5" w:rsidRDefault="009C0345" w:rsidP="001E2AE5">
      <w:pPr>
        <w:pStyle w:val="Prrafodelista"/>
        <w:numPr>
          <w:ilvl w:val="0"/>
          <w:numId w:val="3"/>
        </w:numPr>
        <w:spacing w:after="0"/>
        <w:ind w:left="426" w:hanging="426"/>
        <w:contextualSpacing/>
        <w:jc w:val="both"/>
        <w:rPr>
          <w:rFonts w:ascii="Arial" w:hAnsi="Arial" w:cs="Arial"/>
          <w:b/>
          <w:sz w:val="24"/>
        </w:rPr>
      </w:pPr>
      <w:r w:rsidRPr="001E2AE5">
        <w:rPr>
          <w:rFonts w:ascii="Arial" w:hAnsi="Arial" w:cs="Arial"/>
          <w:b/>
          <w:bCs/>
          <w:sz w:val="24"/>
        </w:rPr>
        <w:t>Trámite y resultados obtenidos, derivados de las solicitudes formuladas por</w:t>
      </w:r>
      <w:r w:rsidR="00EF3C47" w:rsidRPr="001E2AE5">
        <w:rPr>
          <w:rFonts w:ascii="Arial" w:hAnsi="Arial" w:cs="Arial"/>
          <w:b/>
          <w:bCs/>
          <w:sz w:val="24"/>
        </w:rPr>
        <w:t xml:space="preserve"> este</w:t>
      </w:r>
      <w:r w:rsidRPr="001E2AE5">
        <w:rPr>
          <w:rFonts w:ascii="Arial" w:hAnsi="Arial" w:cs="Arial"/>
          <w:b/>
          <w:bCs/>
          <w:sz w:val="24"/>
        </w:rPr>
        <w:t xml:space="preserve"> H. Congreso del Estado.</w:t>
      </w:r>
    </w:p>
    <w:p w:rsidR="009C0345" w:rsidRPr="001E2AE5" w:rsidRDefault="009C0345" w:rsidP="001E2AE5">
      <w:pPr>
        <w:spacing w:after="0"/>
        <w:jc w:val="both"/>
        <w:rPr>
          <w:rFonts w:ascii="Arial" w:hAnsi="Arial" w:cs="Arial"/>
          <w:b/>
          <w:sz w:val="24"/>
        </w:rPr>
      </w:pPr>
    </w:p>
    <w:p w:rsidR="009C0345" w:rsidRPr="001E2AE5" w:rsidRDefault="007C12FE" w:rsidP="001E2AE5">
      <w:pPr>
        <w:spacing w:after="0" w:line="360" w:lineRule="auto"/>
        <w:ind w:firstLine="709"/>
        <w:jc w:val="both"/>
        <w:rPr>
          <w:rFonts w:ascii="Arial" w:hAnsi="Arial" w:cs="Arial"/>
          <w:sz w:val="24"/>
        </w:rPr>
      </w:pPr>
      <w:r w:rsidRPr="001E2AE5">
        <w:rPr>
          <w:rFonts w:ascii="Arial" w:hAnsi="Arial" w:cs="Arial"/>
          <w:sz w:val="24"/>
        </w:rPr>
        <w:t>En este apartado del Info</w:t>
      </w:r>
      <w:r w:rsidR="0069393F" w:rsidRPr="001E2AE5">
        <w:rPr>
          <w:rFonts w:ascii="Arial" w:hAnsi="Arial" w:cs="Arial"/>
          <w:sz w:val="24"/>
        </w:rPr>
        <w:t>rme de Resultados,</w:t>
      </w:r>
      <w:r w:rsidR="00807DB8" w:rsidRPr="001E2AE5">
        <w:rPr>
          <w:rFonts w:ascii="Arial" w:hAnsi="Arial" w:cs="Arial"/>
          <w:sz w:val="24"/>
        </w:rPr>
        <w:t xml:space="preserve"> la Auditoría</w:t>
      </w:r>
      <w:r w:rsidR="00EF3C47" w:rsidRPr="001E2AE5">
        <w:rPr>
          <w:rFonts w:ascii="Arial" w:hAnsi="Arial" w:cs="Arial"/>
          <w:sz w:val="24"/>
        </w:rPr>
        <w:t xml:space="preserve"> nos informa que</w:t>
      </w:r>
      <w:r w:rsidR="00807DB8" w:rsidRPr="001E2AE5">
        <w:rPr>
          <w:rFonts w:ascii="Arial" w:hAnsi="Arial" w:cs="Arial"/>
          <w:sz w:val="24"/>
        </w:rPr>
        <w:t xml:space="preserve"> no se recibieron solicitudes relacio</w:t>
      </w:r>
      <w:r w:rsidR="00856573" w:rsidRPr="001E2AE5">
        <w:rPr>
          <w:rFonts w:ascii="Arial" w:hAnsi="Arial" w:cs="Arial"/>
          <w:sz w:val="24"/>
        </w:rPr>
        <w:t>nadas con la Cuenta Pública 2015</w:t>
      </w:r>
      <w:r w:rsidR="00807DB8" w:rsidRPr="001E2AE5">
        <w:rPr>
          <w:rFonts w:ascii="Arial" w:hAnsi="Arial" w:cs="Arial"/>
          <w:sz w:val="24"/>
        </w:rPr>
        <w:t>.</w:t>
      </w:r>
      <w:r w:rsidRPr="001E2AE5">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lastRenderedPageBreak/>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B5453F">
        <w:rPr>
          <w:rFonts w:ascii="Arial" w:eastAsia="Times New Roman" w:hAnsi="Arial" w:cs="Arial"/>
          <w:bCs/>
          <w:sz w:val="24"/>
          <w:szCs w:val="24"/>
          <w:lang w:eastAsia="es-MX"/>
        </w:rPr>
        <w:t xml:space="preserve">2012, 2013 y 2014 </w:t>
      </w:r>
      <w:r>
        <w:rPr>
          <w:rFonts w:ascii="Arial" w:eastAsia="Times New Roman" w:hAnsi="Arial" w:cs="Arial"/>
          <w:bCs/>
          <w:sz w:val="24"/>
          <w:szCs w:val="24"/>
          <w:lang w:eastAsia="es-MX"/>
        </w:rPr>
        <w:t>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FD6F59">
        <w:rPr>
          <w:rFonts w:ascii="Arial" w:eastAsia="Times New Roman" w:hAnsi="Arial" w:cs="Arial"/>
          <w:bCs/>
          <w:sz w:val="24"/>
          <w:szCs w:val="24"/>
          <w:lang w:eastAsia="es-MX"/>
        </w:rPr>
        <w:t xml:space="preserve"> Se informa en este apartado de la </w:t>
      </w:r>
      <w:r w:rsidR="00856573">
        <w:rPr>
          <w:rFonts w:ascii="Arial" w:eastAsia="Times New Roman" w:hAnsi="Arial" w:cs="Arial"/>
          <w:bCs/>
          <w:sz w:val="24"/>
          <w:szCs w:val="24"/>
          <w:lang w:eastAsia="es-MX"/>
        </w:rPr>
        <w:t xml:space="preserve">inexistencia de alguna acción </w:t>
      </w:r>
      <w:r w:rsidR="00603326">
        <w:rPr>
          <w:rFonts w:ascii="Arial" w:eastAsia="Times New Roman" w:hAnsi="Arial" w:cs="Arial"/>
          <w:bCs/>
          <w:sz w:val="24"/>
          <w:szCs w:val="24"/>
          <w:lang w:eastAsia="es-MX"/>
        </w:rPr>
        <w:t xml:space="preserve">pendiente en </w:t>
      </w:r>
      <w:r w:rsidR="00B5453F">
        <w:rPr>
          <w:rFonts w:ascii="Arial" w:eastAsia="Times New Roman" w:hAnsi="Arial" w:cs="Arial"/>
          <w:bCs/>
          <w:sz w:val="24"/>
          <w:szCs w:val="24"/>
          <w:lang w:eastAsia="es-MX"/>
        </w:rPr>
        <w:t>trámite</w:t>
      </w:r>
      <w:r w:rsidR="00603326">
        <w:rPr>
          <w:rFonts w:ascii="Arial" w:eastAsia="Times New Roman" w:hAnsi="Arial" w:cs="Arial"/>
          <w:bCs/>
          <w:sz w:val="24"/>
          <w:szCs w:val="24"/>
          <w:lang w:eastAsia="es-MX"/>
        </w:rPr>
        <w:t>.</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FD6F59">
        <w:rPr>
          <w:rFonts w:ascii="Arial" w:hAnsi="Arial" w:cs="Arial"/>
          <w:sz w:val="24"/>
        </w:rPr>
        <w:t xml:space="preserve"> siguientes</w:t>
      </w:r>
      <w:r w:rsidR="00603326">
        <w:rPr>
          <w:rFonts w:ascii="Arial" w:hAnsi="Arial" w:cs="Arial"/>
          <w:sz w:val="24"/>
        </w:rPr>
        <w:t>:</w:t>
      </w:r>
    </w:p>
    <w:p w:rsidR="000A10A8" w:rsidRPr="00807DB8" w:rsidRDefault="000A10A8" w:rsidP="00807DB8">
      <w:pPr>
        <w:spacing w:before="240" w:after="20" w:line="360" w:lineRule="auto"/>
        <w:ind w:firstLine="708"/>
        <w:jc w:val="both"/>
        <w:rPr>
          <w:rFonts w:ascii="Arial" w:hAnsi="Arial" w:cs="Arial"/>
          <w:sz w:val="24"/>
        </w:rPr>
      </w:pPr>
    </w:p>
    <w:p w:rsidR="009C0345" w:rsidRDefault="00FD6F59"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lastRenderedPageBreak/>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FD6F59" w:rsidRDefault="00FA27A6" w:rsidP="00FD6F59">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Fideicomiso </w:t>
      </w:r>
      <w:r w:rsidR="001B45C4">
        <w:rPr>
          <w:rFonts w:ascii="Arial" w:hAnsi="Arial" w:cs="Arial"/>
          <w:bCs/>
          <w:sz w:val="24"/>
          <w:szCs w:val="24"/>
        </w:rPr>
        <w:t xml:space="preserve">Fondo Editorial Nuevo León 2105 </w:t>
      </w:r>
      <w:r w:rsidR="00FD6F59" w:rsidRPr="00E367D1">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w:t>
      </w:r>
      <w:r w:rsidR="00FD6F59">
        <w:rPr>
          <w:rFonts w:ascii="Arial" w:hAnsi="Arial" w:cs="Arial"/>
          <w:bCs/>
          <w:sz w:val="24"/>
          <w:szCs w:val="24"/>
        </w:rPr>
        <w:t xml:space="preserve"> lo mencionado en el apartado V</w:t>
      </w:r>
      <w:r w:rsidR="00FD6F59" w:rsidRPr="00E367D1">
        <w:rPr>
          <w:rFonts w:ascii="Arial" w:hAnsi="Arial" w:cs="Arial"/>
          <w:bCs/>
          <w:sz w:val="24"/>
          <w:szCs w:val="24"/>
        </w:rPr>
        <w:t xml:space="preserve"> del Informe del Resultado.</w:t>
      </w:r>
    </w:p>
    <w:p w:rsidR="00FD6F59" w:rsidRDefault="00FD6F59" w:rsidP="00FD6F59">
      <w:pPr>
        <w:spacing w:before="240" w:line="360" w:lineRule="auto"/>
        <w:ind w:firstLine="709"/>
        <w:jc w:val="both"/>
        <w:rPr>
          <w:rFonts w:ascii="Arial" w:hAnsi="Arial" w:cs="Arial"/>
          <w:bCs/>
          <w:sz w:val="24"/>
          <w:szCs w:val="24"/>
        </w:rPr>
      </w:pPr>
      <w:r w:rsidRPr="00E261B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292159" w:rsidRPr="00B0643D" w:rsidRDefault="009C0345" w:rsidP="00292159">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292159" w:rsidRPr="00B0643D">
        <w:rPr>
          <w:rFonts w:ascii="Arial" w:hAnsi="Arial" w:cs="Arial"/>
          <w:bCs/>
          <w:sz w:val="24"/>
          <w:szCs w:val="24"/>
        </w:rPr>
        <w:t xml:space="preserve">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w:t>
      </w:r>
      <w:r w:rsidR="00292159" w:rsidRPr="00B0643D">
        <w:rPr>
          <w:rFonts w:ascii="Arial" w:hAnsi="Arial" w:cs="Arial"/>
          <w:bCs/>
          <w:sz w:val="24"/>
          <w:szCs w:val="24"/>
        </w:rPr>
        <w:lastRenderedPageBreak/>
        <w:t>las recomendaciones a efecto de que subsanaran las deficiencias que dieran lugar a las fallas en comento o bien realizará las aclaraciones que considere pertinente hacer.</w:t>
      </w:r>
    </w:p>
    <w:p w:rsidR="00292159" w:rsidRPr="00B0643D" w:rsidRDefault="00292159" w:rsidP="00292159">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292159"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FD6F59">
        <w:rPr>
          <w:rFonts w:ascii="Arial" w:hAnsi="Arial" w:cs="Arial"/>
          <w:sz w:val="24"/>
          <w:szCs w:val="24"/>
        </w:rPr>
        <w:t xml:space="preserve">La Auditoría nos informa también que </w:t>
      </w:r>
      <w:r w:rsidR="00FD6F59" w:rsidRPr="00975896">
        <w:rPr>
          <w:rFonts w:ascii="Arial" w:hAnsi="Arial" w:cs="Arial"/>
          <w:sz w:val="24"/>
          <w:szCs w:val="24"/>
        </w:rPr>
        <w:t>respecto al</w:t>
      </w:r>
      <w:r w:rsidR="00FD6F59">
        <w:rPr>
          <w:rFonts w:ascii="Arial" w:hAnsi="Arial" w:cs="Arial"/>
          <w:sz w:val="24"/>
          <w:szCs w:val="24"/>
        </w:rPr>
        <w:t xml:space="preserve"> trámite y resultados obtenidos, </w:t>
      </w:r>
      <w:r w:rsidR="00FD6F59" w:rsidRPr="00975896">
        <w:rPr>
          <w:rFonts w:ascii="Arial" w:hAnsi="Arial" w:cs="Arial"/>
          <w:sz w:val="24"/>
          <w:szCs w:val="24"/>
        </w:rPr>
        <w:t xml:space="preserve">derivados de las solicitudes formuladas </w:t>
      </w:r>
      <w:r w:rsidR="00FD6F59">
        <w:rPr>
          <w:rFonts w:ascii="Arial" w:hAnsi="Arial" w:cs="Arial"/>
          <w:sz w:val="24"/>
          <w:szCs w:val="24"/>
        </w:rPr>
        <w:t xml:space="preserve">por </w:t>
      </w:r>
      <w:r w:rsidR="00FD6F59" w:rsidRPr="00975896">
        <w:rPr>
          <w:rFonts w:ascii="Arial" w:hAnsi="Arial" w:cs="Arial"/>
          <w:sz w:val="24"/>
          <w:szCs w:val="24"/>
        </w:rPr>
        <w:t>el Congreso del Estado</w:t>
      </w:r>
      <w:r w:rsidR="00FD6F59">
        <w:rPr>
          <w:rFonts w:ascii="Arial" w:hAnsi="Arial" w:cs="Arial"/>
          <w:sz w:val="24"/>
          <w:szCs w:val="24"/>
        </w:rPr>
        <w:t xml:space="preserve">, es de destacar que no se presentaron diligencias al respecto.  </w:t>
      </w:r>
    </w:p>
    <w:p w:rsidR="00745B59" w:rsidRDefault="00292159"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FD6F59" w:rsidRPr="007F5756">
        <w:rPr>
          <w:rFonts w:ascii="Arial" w:hAnsi="Arial" w:cs="Arial"/>
          <w:sz w:val="24"/>
          <w:szCs w:val="24"/>
        </w:rPr>
        <w:t>Adicionalmente</w:t>
      </w:r>
      <w:r w:rsidR="00FD6F59">
        <w:rPr>
          <w:rFonts w:ascii="Arial" w:hAnsi="Arial" w:cs="Arial"/>
          <w:sz w:val="24"/>
          <w:szCs w:val="24"/>
        </w:rPr>
        <w:t>,</w:t>
      </w:r>
      <w:r w:rsidR="00FD6F59" w:rsidRPr="007F5756">
        <w:rPr>
          <w:rFonts w:ascii="Arial" w:hAnsi="Arial" w:cs="Arial"/>
          <w:sz w:val="24"/>
          <w:szCs w:val="24"/>
        </w:rPr>
        <w:t xml:space="preserve"> se nos informa que durante </w:t>
      </w:r>
      <w:r w:rsidR="00603326">
        <w:rPr>
          <w:rFonts w:ascii="Arial" w:hAnsi="Arial" w:cs="Arial"/>
          <w:sz w:val="24"/>
          <w:szCs w:val="24"/>
        </w:rPr>
        <w:t>el ejercicio 2015</w:t>
      </w:r>
      <w:r w:rsidR="00FD6F59">
        <w:rPr>
          <w:rFonts w:ascii="Arial" w:hAnsi="Arial" w:cs="Arial"/>
          <w:sz w:val="24"/>
          <w:szCs w:val="24"/>
        </w:rPr>
        <w:t xml:space="preserve">, </w:t>
      </w:r>
      <w:r w:rsidR="00FD6F59" w:rsidRPr="007F5756">
        <w:rPr>
          <w:rFonts w:ascii="Arial" w:hAnsi="Arial" w:cs="Arial"/>
          <w:sz w:val="24"/>
          <w:szCs w:val="24"/>
        </w:rPr>
        <w:t>no se recibieron solicitudes de revisión de situaciones excepcionales en relación a la cuenta pública</w:t>
      </w:r>
      <w:r w:rsidR="00FD6F59">
        <w:rPr>
          <w:rFonts w:ascii="Arial" w:hAnsi="Arial" w:cs="Arial"/>
          <w:sz w:val="24"/>
          <w:szCs w:val="24"/>
        </w:rPr>
        <w:t xml:space="preserve"> del Fideicomiso</w:t>
      </w:r>
      <w:r w:rsidR="00FD6F59" w:rsidRPr="007F5756">
        <w:rPr>
          <w:rFonts w:ascii="Arial" w:hAnsi="Arial" w:cs="Arial"/>
          <w:sz w:val="24"/>
          <w:szCs w:val="24"/>
        </w:rPr>
        <w:t xml:space="preserve"> </w:t>
      </w:r>
      <w:r w:rsidR="00FD6F59">
        <w:rPr>
          <w:rFonts w:ascii="Arial" w:hAnsi="Arial" w:cs="Arial"/>
          <w:sz w:val="24"/>
          <w:szCs w:val="24"/>
        </w:rPr>
        <w:t>auditado.</w:t>
      </w:r>
    </w:p>
    <w:p w:rsidR="00975896" w:rsidRPr="00975896" w:rsidRDefault="00292159" w:rsidP="009A7A82">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251043">
        <w:rPr>
          <w:rFonts w:ascii="Arial" w:hAnsi="Arial" w:cs="Arial"/>
          <w:sz w:val="24"/>
          <w:szCs w:val="24"/>
        </w:rPr>
        <w:t xml:space="preserve">Respecto de </w:t>
      </w:r>
      <w:r w:rsidR="00251043">
        <w:rPr>
          <w:rFonts w:ascii="Arial" w:hAnsi="Arial" w:cs="Arial"/>
          <w:bCs/>
          <w:sz w:val="24"/>
        </w:rPr>
        <w:t xml:space="preserve">las acciones y recomendaciones que con motivo de la revisión de las Cuentas Públicas </w:t>
      </w:r>
      <w:r w:rsidR="00B218F9">
        <w:rPr>
          <w:rFonts w:ascii="Arial" w:eastAsia="Times New Roman" w:hAnsi="Arial" w:cs="Arial"/>
          <w:bCs/>
          <w:sz w:val="24"/>
          <w:szCs w:val="24"/>
          <w:lang w:eastAsia="es-MX"/>
        </w:rPr>
        <w:t>2012, 2013 y 20</w:t>
      </w:r>
      <w:r w:rsidR="001E2AE5">
        <w:rPr>
          <w:rFonts w:ascii="Arial" w:eastAsia="Times New Roman" w:hAnsi="Arial" w:cs="Arial"/>
          <w:bCs/>
          <w:sz w:val="24"/>
          <w:szCs w:val="24"/>
          <w:lang w:eastAsia="es-MX"/>
        </w:rPr>
        <w:t>1</w:t>
      </w:r>
      <w:r w:rsidR="00B218F9">
        <w:rPr>
          <w:rFonts w:ascii="Arial" w:eastAsia="Times New Roman" w:hAnsi="Arial" w:cs="Arial"/>
          <w:bCs/>
          <w:sz w:val="24"/>
          <w:szCs w:val="24"/>
          <w:lang w:eastAsia="es-MX"/>
        </w:rPr>
        <w:t>4</w:t>
      </w:r>
      <w:r w:rsidR="00251043">
        <w:rPr>
          <w:rFonts w:ascii="Arial" w:eastAsia="Times New Roman" w:hAnsi="Arial" w:cs="Arial"/>
          <w:bCs/>
          <w:sz w:val="24"/>
          <w:szCs w:val="24"/>
          <w:lang w:eastAsia="es-MX"/>
        </w:rPr>
        <w:t xml:space="preserve"> se ejercieron o promovieron por nuestro Órgano auxiliar de Fiscalización, se informa en este apartado de la </w:t>
      </w:r>
      <w:r w:rsidR="00603326">
        <w:rPr>
          <w:rFonts w:ascii="Arial" w:eastAsia="Times New Roman" w:hAnsi="Arial" w:cs="Arial"/>
          <w:bCs/>
          <w:sz w:val="24"/>
          <w:szCs w:val="24"/>
          <w:lang w:eastAsia="es-MX"/>
        </w:rPr>
        <w:t>in</w:t>
      </w:r>
      <w:r w:rsidR="00251043">
        <w:rPr>
          <w:rFonts w:ascii="Arial" w:eastAsia="Times New Roman" w:hAnsi="Arial" w:cs="Arial"/>
          <w:bCs/>
          <w:sz w:val="24"/>
          <w:szCs w:val="24"/>
          <w:lang w:eastAsia="es-MX"/>
        </w:rPr>
        <w:t xml:space="preserve">existencia </w:t>
      </w:r>
      <w:r w:rsidR="00603326">
        <w:rPr>
          <w:rFonts w:ascii="Arial" w:eastAsia="Times New Roman" w:hAnsi="Arial" w:cs="Arial"/>
          <w:bCs/>
          <w:sz w:val="24"/>
          <w:szCs w:val="24"/>
          <w:lang w:eastAsia="es-MX"/>
        </w:rPr>
        <w:t xml:space="preserve">de alguna acción en el ejercicio 2015 pendiente en </w:t>
      </w:r>
      <w:r w:rsidR="000005E1">
        <w:rPr>
          <w:rFonts w:ascii="Arial" w:eastAsia="Times New Roman" w:hAnsi="Arial" w:cs="Arial"/>
          <w:bCs/>
          <w:sz w:val="24"/>
          <w:szCs w:val="24"/>
          <w:lang w:eastAsia="es-MX"/>
        </w:rPr>
        <w:t>trámite</w:t>
      </w:r>
      <w:r w:rsidR="00603326">
        <w:rPr>
          <w:rFonts w:ascii="Arial" w:eastAsia="Times New Roman" w:hAnsi="Arial" w:cs="Arial"/>
          <w:bCs/>
          <w:sz w:val="24"/>
          <w:szCs w:val="24"/>
          <w:lang w:eastAsia="es-MX"/>
        </w:rPr>
        <w:t>.</w:t>
      </w:r>
    </w:p>
    <w:p w:rsidR="00975896" w:rsidRPr="00EB01DD" w:rsidRDefault="00975896" w:rsidP="009A7A82">
      <w:pPr>
        <w:spacing w:after="0" w:line="360" w:lineRule="auto"/>
        <w:ind w:left="708" w:firstLine="708"/>
        <w:jc w:val="both"/>
        <w:rPr>
          <w:rFonts w:ascii="Arial" w:hAnsi="Arial" w:cs="Arial"/>
        </w:rPr>
      </w:pPr>
    </w:p>
    <w:p w:rsidR="00807DB8" w:rsidRDefault="00292159" w:rsidP="00251043">
      <w:pPr>
        <w:autoSpaceDE w:val="0"/>
        <w:autoSpaceDN w:val="0"/>
        <w:adjustRightInd w:val="0"/>
        <w:spacing w:after="0" w:line="360" w:lineRule="auto"/>
        <w:ind w:firstLine="708"/>
        <w:jc w:val="both"/>
        <w:rPr>
          <w:rFonts w:ascii="Arial" w:hAnsi="Arial" w:cs="Arial"/>
          <w:sz w:val="24"/>
          <w:szCs w:val="24"/>
        </w:rPr>
      </w:pPr>
      <w:r w:rsidRPr="00292159">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E72928">
        <w:rPr>
          <w:rFonts w:ascii="Arial" w:hAnsi="Arial" w:cs="Arial"/>
          <w:b/>
          <w:bCs/>
          <w:sz w:val="24"/>
          <w:szCs w:val="24"/>
        </w:rPr>
        <w:t xml:space="preserve">Fideicomiso </w:t>
      </w:r>
      <w:r w:rsidR="001B45C4">
        <w:rPr>
          <w:rFonts w:ascii="Arial" w:hAnsi="Arial" w:cs="Arial"/>
          <w:b/>
          <w:bCs/>
          <w:sz w:val="24"/>
          <w:szCs w:val="24"/>
        </w:rPr>
        <w:t>Fondo Editorial Nuevo León 2105.</w:t>
      </w:r>
    </w:p>
    <w:p w:rsidR="00807DB8" w:rsidRDefault="00807DB8" w:rsidP="00807DB8">
      <w:pPr>
        <w:spacing w:after="0" w:line="360" w:lineRule="auto"/>
        <w:ind w:firstLine="708"/>
        <w:jc w:val="both"/>
        <w:rPr>
          <w:rFonts w:ascii="Arial" w:hAnsi="Arial" w:cs="Arial"/>
          <w:sz w:val="24"/>
          <w:szCs w:val="24"/>
        </w:rPr>
      </w:pPr>
    </w:p>
    <w:p w:rsidR="00251043" w:rsidRPr="00D7338A" w:rsidRDefault="00251043" w:rsidP="00251043">
      <w:pPr>
        <w:spacing w:after="0" w:line="360" w:lineRule="auto"/>
        <w:ind w:firstLine="708"/>
        <w:jc w:val="both"/>
        <w:rPr>
          <w:rFonts w:ascii="Arial" w:hAnsi="Arial" w:cs="Arial"/>
          <w:sz w:val="24"/>
          <w:szCs w:val="24"/>
        </w:rPr>
      </w:pPr>
      <w:r w:rsidRPr="00D7338A">
        <w:rPr>
          <w:rFonts w:ascii="Arial" w:hAnsi="Arial" w:cs="Arial"/>
          <w:sz w:val="24"/>
          <w:szCs w:val="24"/>
        </w:rPr>
        <w:t xml:space="preserve">Dado lo anterior, es de estimarse que al no existir observaciones </w:t>
      </w:r>
      <w:r>
        <w:rPr>
          <w:rFonts w:ascii="Arial" w:hAnsi="Arial" w:cs="Arial"/>
          <w:sz w:val="24"/>
          <w:szCs w:val="24"/>
        </w:rPr>
        <w:t xml:space="preserve">causantes de afectación económica </w:t>
      </w:r>
      <w:r w:rsidRPr="00D7338A">
        <w:rPr>
          <w:rFonts w:ascii="Arial" w:hAnsi="Arial" w:cs="Arial"/>
          <w:sz w:val="24"/>
          <w:szCs w:val="24"/>
        </w:rPr>
        <w:t>en el informe de resultados en estudio</w:t>
      </w:r>
      <w:r>
        <w:rPr>
          <w:rFonts w:ascii="Arial" w:hAnsi="Arial" w:cs="Arial"/>
          <w:sz w:val="24"/>
          <w:szCs w:val="24"/>
        </w:rPr>
        <w:t xml:space="preserve"> ni mencionarse alguna otra observación que pudiera ser </w:t>
      </w:r>
      <w:r w:rsidRPr="00D7338A">
        <w:rPr>
          <w:rFonts w:ascii="Arial" w:hAnsi="Arial" w:cs="Arial"/>
          <w:sz w:val="24"/>
          <w:szCs w:val="24"/>
        </w:rPr>
        <w:t>causa para considerar que la generalidad de la actuación del ente revisado deba estimarse como deficiente y por lo mismo, la entidad revisada es acreedora a una manifestación de aprobación de parte de este Poder Legislativo respecto a su Cuenta Pública para el ejercicio fiscal 201</w:t>
      </w:r>
      <w:r w:rsidR="00603326">
        <w:rPr>
          <w:rFonts w:ascii="Arial" w:hAnsi="Arial" w:cs="Arial"/>
          <w:sz w:val="24"/>
          <w:szCs w:val="24"/>
        </w:rPr>
        <w:t>5</w:t>
      </w:r>
      <w:r w:rsidRPr="00D7338A">
        <w:rPr>
          <w:rFonts w:ascii="Arial" w:hAnsi="Arial" w:cs="Arial"/>
          <w:sz w:val="24"/>
          <w:szCs w:val="24"/>
        </w:rPr>
        <w:t>.</w:t>
      </w:r>
    </w:p>
    <w:p w:rsidR="00251043" w:rsidRPr="00D7338A" w:rsidRDefault="00251043" w:rsidP="00251043">
      <w:pPr>
        <w:spacing w:before="240" w:line="360" w:lineRule="auto"/>
        <w:ind w:firstLine="709"/>
        <w:jc w:val="both"/>
        <w:rPr>
          <w:rFonts w:ascii="Arial" w:hAnsi="Arial" w:cs="Arial"/>
          <w:sz w:val="24"/>
          <w:szCs w:val="24"/>
        </w:rPr>
      </w:pPr>
      <w:r w:rsidRPr="00D7338A">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251043">
      <w:pPr>
        <w:spacing w:after="0" w:line="360" w:lineRule="auto"/>
        <w:ind w:firstLine="708"/>
        <w:jc w:val="both"/>
        <w:rPr>
          <w:rFonts w:ascii="Arial" w:hAnsi="Arial" w:cs="Arial"/>
          <w:sz w:val="24"/>
          <w:szCs w:val="24"/>
        </w:rPr>
      </w:pPr>
      <w:r w:rsidRPr="00975896">
        <w:rPr>
          <w:rFonts w:ascii="Arial" w:hAnsi="Arial" w:cs="Arial"/>
          <w:sz w:val="24"/>
          <w:szCs w:val="24"/>
        </w:rPr>
        <w:lastRenderedPageBreak/>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0005E1">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1B45C4" w:rsidRDefault="007E6300" w:rsidP="001B45C4">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de </w:t>
      </w:r>
      <w:r w:rsidR="00251043">
        <w:rPr>
          <w:rFonts w:ascii="Arial" w:hAnsi="Arial" w:cs="Arial"/>
          <w:bCs/>
          <w:sz w:val="24"/>
          <w:szCs w:val="24"/>
        </w:rPr>
        <w:t xml:space="preserve">la revisión de </w:t>
      </w:r>
      <w:r w:rsidR="00603326">
        <w:rPr>
          <w:rFonts w:ascii="Arial" w:hAnsi="Arial" w:cs="Arial"/>
          <w:bCs/>
          <w:sz w:val="24"/>
          <w:szCs w:val="24"/>
        </w:rPr>
        <w:t>la Cuenta Pública 2015</w:t>
      </w:r>
      <w:r>
        <w:rPr>
          <w:rFonts w:ascii="Arial" w:hAnsi="Arial" w:cs="Arial"/>
          <w:bCs/>
          <w:sz w:val="24"/>
          <w:szCs w:val="24"/>
        </w:rPr>
        <w:t xml:space="preserve">, del </w:t>
      </w:r>
      <w:r w:rsidR="001B45C4">
        <w:rPr>
          <w:rFonts w:ascii="Arial" w:hAnsi="Arial" w:cs="Arial"/>
          <w:b/>
          <w:bCs/>
          <w:sz w:val="24"/>
          <w:szCs w:val="24"/>
        </w:rPr>
        <w:t>FIDEICOMISO FONDO EDITORIAL NUEVO LEÓN 2105.</w:t>
      </w:r>
    </w:p>
    <w:p w:rsidR="00E82188" w:rsidRDefault="00E82188" w:rsidP="001B45C4">
      <w:pPr>
        <w:spacing w:after="0" w:line="360" w:lineRule="auto"/>
        <w:ind w:firstLine="708"/>
        <w:jc w:val="both"/>
        <w:rPr>
          <w:rFonts w:ascii="Arial" w:hAnsi="Arial" w:cs="Arial"/>
          <w:b/>
          <w:bCs/>
          <w:sz w:val="24"/>
          <w:szCs w:val="24"/>
        </w:rPr>
      </w:pPr>
    </w:p>
    <w:p w:rsidR="00251043" w:rsidRDefault="007E6300" w:rsidP="001B45C4">
      <w:pPr>
        <w:spacing w:after="0" w:line="360" w:lineRule="auto"/>
        <w:ind w:firstLine="708"/>
        <w:jc w:val="both"/>
        <w:rPr>
          <w:rFonts w:ascii="Arial" w:hAnsi="Arial" w:cs="Arial"/>
          <w:bCs/>
          <w:sz w:val="24"/>
          <w:szCs w:val="24"/>
          <w:lang w:val="es-MX"/>
        </w:rPr>
      </w:pPr>
      <w:r>
        <w:rPr>
          <w:rFonts w:ascii="Arial" w:hAnsi="Arial" w:cs="Arial"/>
          <w:b/>
          <w:bCs/>
          <w:sz w:val="24"/>
          <w:szCs w:val="24"/>
        </w:rPr>
        <w:t>SEGUNDO.-</w:t>
      </w:r>
      <w:r>
        <w:rPr>
          <w:rFonts w:ascii="Arial" w:hAnsi="Arial" w:cs="Arial"/>
          <w:bCs/>
          <w:sz w:val="24"/>
          <w:szCs w:val="24"/>
        </w:rPr>
        <w:t xml:space="preserve"> </w:t>
      </w:r>
      <w:r w:rsidR="00251043" w:rsidRPr="00251043">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603326">
        <w:rPr>
          <w:rFonts w:ascii="Arial" w:hAnsi="Arial" w:cs="Arial"/>
          <w:bCs/>
          <w:sz w:val="24"/>
          <w:szCs w:val="24"/>
          <w:lang w:val="es-MX"/>
        </w:rPr>
        <w:t>4</w:t>
      </w:r>
      <w:r w:rsidR="00251043" w:rsidRPr="00251043">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251043" w:rsidRDefault="00251043" w:rsidP="001B45C4">
      <w:pPr>
        <w:spacing w:after="0" w:line="360" w:lineRule="auto"/>
        <w:ind w:firstLine="708"/>
        <w:jc w:val="both"/>
        <w:rPr>
          <w:rFonts w:ascii="Arial" w:hAnsi="Arial" w:cs="Arial"/>
          <w:bCs/>
          <w:sz w:val="24"/>
          <w:szCs w:val="24"/>
        </w:rPr>
      </w:pPr>
    </w:p>
    <w:p w:rsidR="00251043" w:rsidRDefault="00251043" w:rsidP="00251043">
      <w:pPr>
        <w:spacing w:after="0" w:line="360" w:lineRule="auto"/>
        <w:ind w:firstLine="708"/>
        <w:jc w:val="both"/>
        <w:rPr>
          <w:rFonts w:ascii="Arial" w:hAnsi="Arial" w:cs="Arial"/>
          <w:bCs/>
          <w:sz w:val="24"/>
          <w:szCs w:val="24"/>
          <w:lang w:val="es-MX"/>
        </w:rPr>
      </w:pPr>
      <w:r w:rsidRPr="00251043">
        <w:rPr>
          <w:rFonts w:ascii="Arial" w:hAnsi="Arial" w:cs="Arial"/>
          <w:b/>
          <w:bCs/>
          <w:sz w:val="24"/>
          <w:szCs w:val="24"/>
          <w:lang w:val="es-MX"/>
        </w:rPr>
        <w:t xml:space="preserve">TERCERO.- </w:t>
      </w:r>
      <w:r w:rsidRPr="00251043">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y recomendaciones a la gestión en el rubro de Auditoría a la Gestión Financiera que no afectan la gestión del ente fiscalizado, se estima que la </w:t>
      </w:r>
      <w:r w:rsidR="00603326">
        <w:rPr>
          <w:rFonts w:ascii="Arial" w:hAnsi="Arial" w:cs="Arial"/>
          <w:b/>
          <w:bCs/>
          <w:sz w:val="24"/>
          <w:szCs w:val="24"/>
          <w:lang w:val="es-MX"/>
        </w:rPr>
        <w:t>CUENTA PÚBLICA 2015</w:t>
      </w:r>
      <w:r w:rsidRPr="00251043">
        <w:rPr>
          <w:rFonts w:ascii="Arial" w:hAnsi="Arial" w:cs="Arial"/>
          <w:b/>
          <w:bCs/>
          <w:sz w:val="24"/>
          <w:szCs w:val="24"/>
          <w:lang w:val="es-MX"/>
        </w:rPr>
        <w:t xml:space="preserve">, </w:t>
      </w:r>
      <w:r w:rsidRPr="00251043">
        <w:rPr>
          <w:rFonts w:ascii="Arial" w:hAnsi="Arial" w:cs="Arial"/>
          <w:bCs/>
          <w:sz w:val="24"/>
          <w:szCs w:val="24"/>
          <w:lang w:val="es-MX"/>
        </w:rPr>
        <w:t>del</w:t>
      </w:r>
      <w:r w:rsidRPr="00251043">
        <w:rPr>
          <w:rFonts w:ascii="Arial" w:hAnsi="Arial" w:cs="Arial"/>
          <w:b/>
          <w:bCs/>
          <w:sz w:val="24"/>
          <w:szCs w:val="24"/>
          <w:lang w:val="es-MX"/>
        </w:rPr>
        <w:t xml:space="preserve"> </w:t>
      </w:r>
      <w:r>
        <w:rPr>
          <w:rFonts w:ascii="Arial" w:hAnsi="Arial" w:cs="Arial"/>
          <w:b/>
          <w:bCs/>
          <w:sz w:val="24"/>
          <w:szCs w:val="24"/>
        </w:rPr>
        <w:t>FIDEICOMISO FONDO EDITORIAL NUEVO LEÓN 2105</w:t>
      </w:r>
      <w:r w:rsidRPr="00251043">
        <w:rPr>
          <w:rFonts w:ascii="Arial" w:hAnsi="Arial" w:cs="Arial"/>
          <w:b/>
          <w:bCs/>
          <w:sz w:val="24"/>
          <w:szCs w:val="24"/>
          <w:lang w:val="es-MX"/>
        </w:rPr>
        <w:t xml:space="preserve"> </w:t>
      </w:r>
      <w:r w:rsidRPr="00251043">
        <w:rPr>
          <w:rFonts w:ascii="Arial" w:hAnsi="Arial" w:cs="Arial"/>
          <w:bCs/>
          <w:sz w:val="24"/>
          <w:szCs w:val="24"/>
          <w:lang w:val="es-MX"/>
        </w:rPr>
        <w:t>es susceptible de aprobación.</w:t>
      </w:r>
    </w:p>
    <w:p w:rsidR="00251043" w:rsidRPr="00251043" w:rsidRDefault="00251043" w:rsidP="00251043">
      <w:pPr>
        <w:spacing w:after="0" w:line="360" w:lineRule="auto"/>
        <w:ind w:firstLine="708"/>
        <w:jc w:val="both"/>
        <w:rPr>
          <w:rFonts w:ascii="Arial" w:hAnsi="Arial" w:cs="Arial"/>
          <w:b/>
          <w:bCs/>
          <w:sz w:val="24"/>
          <w:szCs w:val="24"/>
          <w:lang w:val="es-MX"/>
        </w:rPr>
      </w:pPr>
    </w:p>
    <w:p w:rsidR="00251043" w:rsidRPr="00251043" w:rsidRDefault="00251043" w:rsidP="00251043">
      <w:pPr>
        <w:spacing w:after="0" w:line="360" w:lineRule="auto"/>
        <w:ind w:firstLine="708"/>
        <w:jc w:val="both"/>
        <w:rPr>
          <w:rFonts w:ascii="Arial" w:hAnsi="Arial" w:cs="Arial"/>
          <w:b/>
          <w:bCs/>
          <w:sz w:val="24"/>
          <w:szCs w:val="24"/>
        </w:rPr>
      </w:pPr>
      <w:r w:rsidRPr="00251043">
        <w:rPr>
          <w:rFonts w:ascii="Arial" w:hAnsi="Arial" w:cs="Arial"/>
          <w:bCs/>
          <w:sz w:val="24"/>
          <w:szCs w:val="24"/>
          <w:lang w:val="es-MX"/>
        </w:rPr>
        <w:t>Por lo tanto, en</w:t>
      </w:r>
      <w:r w:rsidRPr="00251043">
        <w:rPr>
          <w:rFonts w:ascii="Arial" w:hAnsi="Arial" w:cs="Arial"/>
          <w:bCs/>
          <w:sz w:val="24"/>
          <w:szCs w:val="24"/>
        </w:rPr>
        <w:t xml:space="preserve"> cumplimiento de lo señalado en el artículo 63 Fracción XIII de la Constitución Política del Estado Libre y Soberano de Nuevo León y </w:t>
      </w:r>
      <w:r w:rsidRPr="00251043">
        <w:rPr>
          <w:rFonts w:ascii="Arial" w:hAnsi="Arial" w:cs="Arial"/>
          <w:bCs/>
          <w:sz w:val="24"/>
          <w:szCs w:val="24"/>
        </w:rPr>
        <w:lastRenderedPageBreak/>
        <w:t>demás disposiciones legales aplicables, así como lo descrito en el apartado de Consideraciones del presente Dictamen,</w:t>
      </w:r>
      <w:r w:rsidRPr="000005E1">
        <w:rPr>
          <w:rFonts w:ascii="Arial" w:hAnsi="Arial" w:cs="Arial"/>
          <w:bCs/>
          <w:sz w:val="24"/>
          <w:szCs w:val="24"/>
        </w:rPr>
        <w:t xml:space="preserve"> </w:t>
      </w:r>
      <w:r w:rsidRPr="000005E1">
        <w:rPr>
          <w:rFonts w:ascii="Arial" w:hAnsi="Arial" w:cs="Arial"/>
          <w:b/>
          <w:bCs/>
          <w:sz w:val="24"/>
          <w:szCs w:val="24"/>
        </w:rPr>
        <w:t>SE APRUEBA</w:t>
      </w:r>
      <w:r w:rsidR="00603326" w:rsidRPr="000005E1">
        <w:rPr>
          <w:rFonts w:ascii="Arial" w:hAnsi="Arial" w:cs="Arial"/>
          <w:bCs/>
          <w:sz w:val="24"/>
          <w:szCs w:val="24"/>
        </w:rPr>
        <w:t xml:space="preserve"> </w:t>
      </w:r>
      <w:r w:rsidR="00603326">
        <w:rPr>
          <w:rFonts w:ascii="Arial" w:hAnsi="Arial" w:cs="Arial"/>
          <w:bCs/>
          <w:sz w:val="24"/>
          <w:szCs w:val="24"/>
        </w:rPr>
        <w:t>la Cuenta Pública 2015</w:t>
      </w:r>
      <w:r w:rsidRPr="00251043">
        <w:rPr>
          <w:rFonts w:ascii="Arial" w:hAnsi="Arial" w:cs="Arial"/>
          <w:bCs/>
          <w:sz w:val="24"/>
          <w:szCs w:val="24"/>
        </w:rPr>
        <w:t xml:space="preserve"> del </w:t>
      </w:r>
      <w:r>
        <w:rPr>
          <w:rFonts w:ascii="Arial" w:hAnsi="Arial" w:cs="Arial"/>
          <w:b/>
          <w:bCs/>
          <w:sz w:val="24"/>
          <w:szCs w:val="24"/>
        </w:rPr>
        <w:t>FIDEICOMISO FONDO EDITORIAL NUEVO LEÓN 2105</w:t>
      </w:r>
      <w:r w:rsidR="005E3CFB">
        <w:rPr>
          <w:rFonts w:ascii="Arial" w:hAnsi="Arial" w:cs="Arial"/>
          <w:b/>
          <w:bCs/>
          <w:sz w:val="24"/>
          <w:szCs w:val="24"/>
        </w:rPr>
        <w:t>.</w:t>
      </w:r>
    </w:p>
    <w:p w:rsidR="002558E4" w:rsidRDefault="002558E4" w:rsidP="001B45C4">
      <w:pPr>
        <w:spacing w:after="0" w:line="360" w:lineRule="auto"/>
        <w:ind w:firstLine="708"/>
        <w:jc w:val="both"/>
        <w:rPr>
          <w:rFonts w:ascii="Arial" w:hAnsi="Arial" w:cs="Arial"/>
          <w:b/>
          <w:bCs/>
          <w:sz w:val="24"/>
          <w:szCs w:val="24"/>
        </w:rPr>
      </w:pPr>
    </w:p>
    <w:p w:rsidR="00251043" w:rsidRDefault="00251043" w:rsidP="005E3CFB">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Pr="00472E79">
        <w:rPr>
          <w:rFonts w:ascii="Arial" w:hAnsi="Arial" w:cs="Arial"/>
          <w:b/>
          <w:bCs/>
          <w:sz w:val="24"/>
          <w:szCs w:val="24"/>
        </w:rPr>
        <w:t xml:space="preserve"> </w:t>
      </w:r>
      <w:r w:rsidR="005E3CFB" w:rsidRPr="005E3CFB">
        <w:rPr>
          <w:rFonts w:ascii="Arial" w:hAnsi="Arial" w:cs="Arial"/>
          <w:b/>
          <w:bCs/>
          <w:sz w:val="24"/>
          <w:szCs w:val="24"/>
        </w:rPr>
        <w:t>FIDEICOMISO FONDO EDITORIAL NUEVO LEÓN 2105</w:t>
      </w:r>
      <w:r w:rsidR="005E3CFB">
        <w:rPr>
          <w:rFonts w:ascii="Arial" w:hAnsi="Arial" w:cs="Arial"/>
          <w:b/>
          <w:bCs/>
          <w:sz w:val="24"/>
          <w:szCs w:val="24"/>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603326">
        <w:rPr>
          <w:rFonts w:ascii="Arial" w:hAnsi="Arial" w:cs="Arial"/>
          <w:b/>
          <w:bCs/>
          <w:sz w:val="24"/>
          <w:szCs w:val="24"/>
        </w:rPr>
        <w:t>2015</w:t>
      </w:r>
      <w:r w:rsidRPr="00472E79">
        <w:rPr>
          <w:rFonts w:ascii="Arial" w:hAnsi="Arial" w:cs="Arial"/>
          <w:b/>
          <w:bCs/>
          <w:sz w:val="24"/>
          <w:szCs w:val="24"/>
        </w:rPr>
        <w:t xml:space="preserve">. </w:t>
      </w:r>
    </w:p>
    <w:p w:rsidR="005E3CFB" w:rsidRDefault="005E3CFB" w:rsidP="006C2B1B">
      <w:pPr>
        <w:spacing w:after="0" w:line="360" w:lineRule="auto"/>
        <w:ind w:firstLine="708"/>
        <w:jc w:val="both"/>
        <w:rPr>
          <w:rFonts w:ascii="Arial" w:hAnsi="Arial" w:cs="Arial"/>
          <w:b/>
          <w:bCs/>
          <w:sz w:val="24"/>
          <w:szCs w:val="24"/>
        </w:rPr>
      </w:pPr>
    </w:p>
    <w:p w:rsidR="003C6162" w:rsidRPr="006C2B1B" w:rsidRDefault="005E3CFB" w:rsidP="006C2B1B">
      <w:pPr>
        <w:spacing w:after="0" w:line="360" w:lineRule="auto"/>
        <w:ind w:firstLine="708"/>
        <w:jc w:val="both"/>
        <w:rPr>
          <w:rFonts w:ascii="Arial" w:hAnsi="Arial" w:cs="Arial"/>
          <w:sz w:val="24"/>
          <w:szCs w:val="24"/>
        </w:rPr>
      </w:pPr>
      <w:r>
        <w:rPr>
          <w:rFonts w:ascii="Arial" w:hAnsi="Arial" w:cs="Arial"/>
          <w:b/>
          <w:bCs/>
          <w:sz w:val="24"/>
          <w:szCs w:val="24"/>
        </w:rPr>
        <w:t>QUINTO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BA3F50">
        <w:rPr>
          <w:rFonts w:ascii="Arial" w:hAnsi="Arial" w:cs="Arial"/>
          <w:b/>
          <w:bCs/>
          <w:sz w:val="24"/>
          <w:szCs w:val="24"/>
        </w:rPr>
        <w:t xml:space="preserve">FIDEICOMISO FONDO EDITORIAL NUEVO LEÓN 2105, </w:t>
      </w:r>
      <w:r w:rsidR="007E6300">
        <w:rPr>
          <w:rFonts w:ascii="Arial" w:hAnsi="Arial" w:cs="Arial"/>
          <w:bCs/>
          <w:sz w:val="24"/>
          <w:szCs w:val="24"/>
        </w:rPr>
        <w:t>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914C41"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760233" w:rsidRDefault="00760233" w:rsidP="001E2AE5">
      <w:pPr>
        <w:pStyle w:val="Body1"/>
        <w:widowControl w:val="0"/>
        <w:tabs>
          <w:tab w:val="left" w:pos="3828"/>
        </w:tabs>
        <w:suppressAutoHyphens/>
        <w:spacing w:after="120" w:line="360" w:lineRule="auto"/>
        <w:rPr>
          <w:rFonts w:ascii="Arial" w:hAnsi="Arial" w:cs="Arial"/>
          <w:b/>
          <w:sz w:val="22"/>
          <w:lang w:val="es-ES_tradnl"/>
        </w:rPr>
      </w:pPr>
    </w:p>
    <w:p w:rsidR="00040A53" w:rsidRDefault="00040A53" w:rsidP="000A10A8">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001E2AE5" w:rsidRPr="00002F65">
        <w:rPr>
          <w:rFonts w:ascii="Arial" w:eastAsia="Arial Unicode MS" w:hAnsi="Arial" w:cs="Arial"/>
          <w:smallCaps/>
          <w:color w:val="000000"/>
          <w:lang w:val="es-MX"/>
        </w:rPr>
        <w:t>GLORIA CONCEPCIÓN TREVIÑO SALAZAR</w:t>
      </w:r>
    </w:p>
    <w:p w:rsidR="001E2AE5" w:rsidRPr="000A10A8" w:rsidRDefault="001E2AE5" w:rsidP="000A10A8">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542769">
      <w:footerReference w:type="default" r:id="rId14"/>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DD" w:rsidRDefault="00CA6DDD" w:rsidP="005003EB">
      <w:pPr>
        <w:spacing w:after="0" w:line="240" w:lineRule="auto"/>
      </w:pPr>
      <w:r>
        <w:separator/>
      </w:r>
    </w:p>
  </w:endnote>
  <w:endnote w:type="continuationSeparator" w:id="0">
    <w:p w:rsidR="00CA6DDD" w:rsidRDefault="00CA6DDD"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D9" w:rsidRPr="0088072B" w:rsidRDefault="007B61D9">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542769">
      <w:rPr>
        <w:rFonts w:ascii="Century Gothic" w:hAnsi="Century Gothic"/>
        <w:noProof/>
        <w:sz w:val="20"/>
        <w:szCs w:val="20"/>
      </w:rPr>
      <w:t>22</w:t>
    </w:r>
    <w:r w:rsidRPr="0088072B">
      <w:rPr>
        <w:rFonts w:ascii="Century Gothic" w:hAnsi="Century Gothic"/>
        <w:sz w:val="20"/>
        <w:szCs w:val="20"/>
      </w:rPr>
      <w:fldChar w:fldCharType="end"/>
    </w:r>
  </w:p>
  <w:p w:rsidR="007B61D9" w:rsidRPr="00513CE9" w:rsidRDefault="007B61D9"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7B61D9" w:rsidRPr="00513CE9" w:rsidRDefault="007B61D9" w:rsidP="007E057C">
    <w:pPr>
      <w:pStyle w:val="Piedepgina"/>
      <w:jc w:val="center"/>
      <w:rPr>
        <w:rFonts w:ascii="Century Gothic" w:hAnsi="Century Gothic"/>
        <w:sz w:val="14"/>
        <w:szCs w:val="14"/>
      </w:rPr>
    </w:pPr>
    <w:r>
      <w:rPr>
        <w:rFonts w:ascii="Arial" w:hAnsi="Arial" w:cs="Arial"/>
        <w:sz w:val="14"/>
        <w:szCs w:val="14"/>
      </w:rPr>
      <w:t>Dictamen del Expedient</w:t>
    </w:r>
    <w:r w:rsidR="00B5453F">
      <w:rPr>
        <w:rFonts w:ascii="Arial" w:hAnsi="Arial" w:cs="Arial"/>
        <w:sz w:val="14"/>
        <w:szCs w:val="14"/>
      </w:rPr>
      <w:t>e 10428/LXXIV Cuenta Pública 2015</w:t>
    </w:r>
    <w:r w:rsidRPr="00513CE9">
      <w:rPr>
        <w:rFonts w:ascii="Arial" w:hAnsi="Arial" w:cs="Arial"/>
        <w:sz w:val="14"/>
        <w:szCs w:val="14"/>
      </w:rPr>
      <w:t xml:space="preserve"> de</w:t>
    </w:r>
    <w:r>
      <w:rPr>
        <w:rFonts w:ascii="Arial" w:hAnsi="Arial" w:cs="Arial"/>
        <w:sz w:val="14"/>
        <w:szCs w:val="14"/>
      </w:rPr>
      <w:t>l Fideicomiso Fondo Editorial Nuevo León 2105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DD" w:rsidRDefault="00CA6DDD" w:rsidP="005003EB">
      <w:pPr>
        <w:spacing w:after="0" w:line="240" w:lineRule="auto"/>
      </w:pPr>
      <w:r>
        <w:separator/>
      </w:r>
    </w:p>
  </w:footnote>
  <w:footnote w:type="continuationSeparator" w:id="0">
    <w:p w:rsidR="00CA6DDD" w:rsidRDefault="00CA6DDD"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ED05222"/>
    <w:multiLevelType w:val="hybridMultilevel"/>
    <w:tmpl w:val="8084B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6"/>
  </w:num>
  <w:num w:numId="11">
    <w:abstractNumId w:val="2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9"/>
  </w:num>
  <w:num w:numId="15">
    <w:abstractNumId w:val="0"/>
  </w:num>
  <w:num w:numId="16">
    <w:abstractNumId w:val="9"/>
  </w:num>
  <w:num w:numId="17">
    <w:abstractNumId w:val="27"/>
  </w:num>
  <w:num w:numId="18">
    <w:abstractNumId w:val="35"/>
  </w:num>
  <w:num w:numId="19">
    <w:abstractNumId w:val="7"/>
  </w:num>
  <w:num w:numId="20">
    <w:abstractNumId w:val="22"/>
  </w:num>
  <w:num w:numId="21">
    <w:abstractNumId w:val="11"/>
  </w:num>
  <w:num w:numId="22">
    <w:abstractNumId w:val="23"/>
  </w:num>
  <w:num w:numId="23">
    <w:abstractNumId w:val="12"/>
  </w:num>
  <w:num w:numId="24">
    <w:abstractNumId w:val="30"/>
  </w:num>
  <w:num w:numId="25">
    <w:abstractNumId w:val="36"/>
  </w:num>
  <w:num w:numId="26">
    <w:abstractNumId w:val="3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8"/>
  </w:num>
  <w:num w:numId="36">
    <w:abstractNumId w:val="16"/>
  </w:num>
  <w:num w:numId="37">
    <w:abstractNumId w:val="6"/>
  </w:num>
  <w:num w:numId="38">
    <w:abstractNumId w:val="34"/>
  </w:num>
  <w:num w:numId="39">
    <w:abstractNumId w:val="2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33"/>
  </w:num>
  <w:num w:numId="4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05E1"/>
    <w:rsid w:val="00001A7A"/>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95D"/>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1A76"/>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E8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5C4A"/>
    <w:rsid w:val="0019773E"/>
    <w:rsid w:val="001A0CAB"/>
    <w:rsid w:val="001A0F50"/>
    <w:rsid w:val="001A1313"/>
    <w:rsid w:val="001A1594"/>
    <w:rsid w:val="001A727A"/>
    <w:rsid w:val="001A7FB2"/>
    <w:rsid w:val="001B40AD"/>
    <w:rsid w:val="001B45C4"/>
    <w:rsid w:val="001B47DA"/>
    <w:rsid w:val="001B56BC"/>
    <w:rsid w:val="001B77AA"/>
    <w:rsid w:val="001B7FFE"/>
    <w:rsid w:val="001C071A"/>
    <w:rsid w:val="001C1F1F"/>
    <w:rsid w:val="001C4722"/>
    <w:rsid w:val="001C66A8"/>
    <w:rsid w:val="001C73B5"/>
    <w:rsid w:val="001C7975"/>
    <w:rsid w:val="001D253D"/>
    <w:rsid w:val="001D33E0"/>
    <w:rsid w:val="001D48BA"/>
    <w:rsid w:val="001D4B9D"/>
    <w:rsid w:val="001D6082"/>
    <w:rsid w:val="001E20FC"/>
    <w:rsid w:val="001E2AE5"/>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0626D"/>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043"/>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159"/>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1CA6"/>
    <w:rsid w:val="002F2B6D"/>
    <w:rsid w:val="002F41EB"/>
    <w:rsid w:val="002F5C7D"/>
    <w:rsid w:val="002F6570"/>
    <w:rsid w:val="002F7886"/>
    <w:rsid w:val="002F7EB3"/>
    <w:rsid w:val="0030335F"/>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376C"/>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2769"/>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693"/>
    <w:rsid w:val="005B1F6F"/>
    <w:rsid w:val="005B232C"/>
    <w:rsid w:val="005B546C"/>
    <w:rsid w:val="005B6907"/>
    <w:rsid w:val="005B6FF9"/>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3CFB"/>
    <w:rsid w:val="005E4E25"/>
    <w:rsid w:val="005E6B3E"/>
    <w:rsid w:val="005F4540"/>
    <w:rsid w:val="005F6F02"/>
    <w:rsid w:val="00600575"/>
    <w:rsid w:val="006029A0"/>
    <w:rsid w:val="00603326"/>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3F43"/>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3C62"/>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1D9"/>
    <w:rsid w:val="007B6AC5"/>
    <w:rsid w:val="007B6DAD"/>
    <w:rsid w:val="007C10F5"/>
    <w:rsid w:val="007C12FE"/>
    <w:rsid w:val="007C297E"/>
    <w:rsid w:val="007C6528"/>
    <w:rsid w:val="007C6659"/>
    <w:rsid w:val="007D172B"/>
    <w:rsid w:val="007D2925"/>
    <w:rsid w:val="007D52DA"/>
    <w:rsid w:val="007D6C69"/>
    <w:rsid w:val="007D737F"/>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56573"/>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4C41"/>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1C2"/>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6401"/>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C7DC0"/>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8F9"/>
    <w:rsid w:val="00B21FC3"/>
    <w:rsid w:val="00B2476E"/>
    <w:rsid w:val="00B26D84"/>
    <w:rsid w:val="00B2707D"/>
    <w:rsid w:val="00B306D3"/>
    <w:rsid w:val="00B334E0"/>
    <w:rsid w:val="00B3602D"/>
    <w:rsid w:val="00B36F51"/>
    <w:rsid w:val="00B37E0C"/>
    <w:rsid w:val="00B4136A"/>
    <w:rsid w:val="00B41C92"/>
    <w:rsid w:val="00B43E08"/>
    <w:rsid w:val="00B4518C"/>
    <w:rsid w:val="00B459D4"/>
    <w:rsid w:val="00B461CE"/>
    <w:rsid w:val="00B47A33"/>
    <w:rsid w:val="00B53341"/>
    <w:rsid w:val="00B5453F"/>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2BB8"/>
    <w:rsid w:val="00B92CEE"/>
    <w:rsid w:val="00B93132"/>
    <w:rsid w:val="00BA0212"/>
    <w:rsid w:val="00BA1FE0"/>
    <w:rsid w:val="00BA26E0"/>
    <w:rsid w:val="00BA2972"/>
    <w:rsid w:val="00BA3F50"/>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DDD"/>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452"/>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46C0A"/>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367"/>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1E30"/>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B7E61"/>
    <w:rsid w:val="00FC17BB"/>
    <w:rsid w:val="00FC2580"/>
    <w:rsid w:val="00FC5D02"/>
    <w:rsid w:val="00FC765B"/>
    <w:rsid w:val="00FD13FF"/>
    <w:rsid w:val="00FD15BC"/>
    <w:rsid w:val="00FD25EB"/>
    <w:rsid w:val="00FD397E"/>
    <w:rsid w:val="00FD47BC"/>
    <w:rsid w:val="00FD6F59"/>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5CE0D0-3673-491B-992B-1DCC031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C007-CA44-4191-B1FE-696DF802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4313</Words>
  <Characters>23725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2017-03-07T00:18:00Z</cp:lastPrinted>
  <dcterms:created xsi:type="dcterms:W3CDTF">2016-11-19T22:04:00Z</dcterms:created>
  <dcterms:modified xsi:type="dcterms:W3CDTF">2017-03-07T00:18:00Z</dcterms:modified>
</cp:coreProperties>
</file>