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45" w:rsidRPr="00513CE9" w:rsidRDefault="009C0345" w:rsidP="009C0345">
      <w:pPr>
        <w:rPr>
          <w:rFonts w:ascii="Arial" w:hAnsi="Arial" w:cs="Arial"/>
          <w:b/>
          <w:bCs/>
          <w:sz w:val="24"/>
          <w:szCs w:val="24"/>
        </w:rPr>
      </w:pPr>
      <w:r w:rsidRPr="00513CE9">
        <w:rPr>
          <w:rFonts w:ascii="Arial" w:hAnsi="Arial" w:cs="Arial"/>
          <w:b/>
          <w:bCs/>
          <w:sz w:val="24"/>
          <w:szCs w:val="24"/>
        </w:rPr>
        <w:t>HONORABLE ASAMBLEA:</w:t>
      </w:r>
    </w:p>
    <w:p w:rsidR="00F072A9" w:rsidRDefault="00F072A9" w:rsidP="009C0345">
      <w:pPr>
        <w:ind w:firstLine="709"/>
        <w:jc w:val="both"/>
        <w:rPr>
          <w:rFonts w:ascii="Arial" w:hAnsi="Arial" w:cs="Arial"/>
          <w:sz w:val="24"/>
        </w:rPr>
      </w:pPr>
    </w:p>
    <w:p w:rsidR="009C0345" w:rsidRPr="00117EB1" w:rsidRDefault="009C0345" w:rsidP="00F072A9">
      <w:pPr>
        <w:spacing w:line="360" w:lineRule="auto"/>
        <w:ind w:firstLine="709"/>
        <w:jc w:val="both"/>
        <w:rPr>
          <w:rFonts w:ascii="Arial" w:hAnsi="Arial" w:cs="Arial"/>
          <w:b/>
          <w:bCs/>
          <w:sz w:val="24"/>
        </w:rPr>
      </w:pPr>
      <w:r w:rsidRPr="00117EB1">
        <w:rPr>
          <w:rFonts w:ascii="Arial" w:hAnsi="Arial" w:cs="Arial"/>
          <w:sz w:val="24"/>
        </w:rPr>
        <w:t xml:space="preserve">A la </w:t>
      </w:r>
      <w:r w:rsidRPr="00117EB1">
        <w:rPr>
          <w:rFonts w:ascii="Arial" w:hAnsi="Arial" w:cs="Arial"/>
          <w:b/>
          <w:bCs/>
          <w:sz w:val="24"/>
        </w:rPr>
        <w:t xml:space="preserve">Comisión </w:t>
      </w:r>
      <w:r w:rsidR="002959ED" w:rsidRPr="00117EB1">
        <w:rPr>
          <w:rFonts w:ascii="Arial" w:hAnsi="Arial" w:cs="Arial"/>
          <w:b/>
          <w:bCs/>
          <w:sz w:val="24"/>
        </w:rPr>
        <w:t>de Hacienda del Estado</w:t>
      </w:r>
      <w:r w:rsidR="00513CE9">
        <w:rPr>
          <w:rFonts w:ascii="Arial" w:hAnsi="Arial" w:cs="Arial"/>
          <w:sz w:val="24"/>
        </w:rPr>
        <w:t xml:space="preserve"> le fue turnado</w:t>
      </w:r>
      <w:r w:rsidRPr="00117EB1">
        <w:rPr>
          <w:rFonts w:ascii="Arial" w:hAnsi="Arial" w:cs="Arial"/>
          <w:sz w:val="24"/>
        </w:rPr>
        <w:t xml:space="preserve"> para su</w:t>
      </w:r>
      <w:r w:rsidR="00513CE9">
        <w:rPr>
          <w:rFonts w:ascii="Arial" w:hAnsi="Arial" w:cs="Arial"/>
          <w:sz w:val="24"/>
        </w:rPr>
        <w:t xml:space="preserve"> estudio y dictamen en fecha </w:t>
      </w:r>
      <w:r w:rsidR="00493A57">
        <w:rPr>
          <w:rFonts w:ascii="Arial" w:hAnsi="Arial" w:cs="Arial"/>
          <w:sz w:val="24"/>
        </w:rPr>
        <w:t>14 de Noviembre de 2016</w:t>
      </w:r>
      <w:r w:rsidRPr="00117EB1">
        <w:rPr>
          <w:rFonts w:ascii="Arial" w:hAnsi="Arial" w:cs="Arial"/>
          <w:sz w:val="24"/>
        </w:rPr>
        <w:t xml:space="preserve">, escrito que contiene el </w:t>
      </w:r>
      <w:r w:rsidR="00513CE9">
        <w:rPr>
          <w:rFonts w:ascii="Arial" w:hAnsi="Arial" w:cs="Arial"/>
          <w:sz w:val="24"/>
        </w:rPr>
        <w:t>Informe de</w:t>
      </w:r>
      <w:r w:rsidR="00A77799" w:rsidRPr="00117EB1">
        <w:rPr>
          <w:rFonts w:ascii="Arial" w:hAnsi="Arial" w:cs="Arial"/>
          <w:sz w:val="24"/>
        </w:rPr>
        <w:t xml:space="preserve"> Resultado</w:t>
      </w:r>
      <w:r w:rsidR="00513CE9">
        <w:rPr>
          <w:rFonts w:ascii="Arial" w:hAnsi="Arial" w:cs="Arial"/>
          <w:sz w:val="24"/>
        </w:rPr>
        <w:t>s</w:t>
      </w:r>
      <w:r w:rsidRPr="00117EB1">
        <w:rPr>
          <w:rFonts w:ascii="Arial" w:hAnsi="Arial" w:cs="Arial"/>
          <w:sz w:val="24"/>
        </w:rPr>
        <w:t xml:space="preserve"> de la revisión practicada por la Auditoría Superior del Estado de Nuevo León, a la </w:t>
      </w:r>
      <w:r w:rsidRPr="00117EB1">
        <w:rPr>
          <w:rFonts w:ascii="Arial" w:hAnsi="Arial" w:cs="Arial"/>
          <w:b/>
          <w:bCs/>
          <w:sz w:val="24"/>
        </w:rPr>
        <w:t>Cuenta Pública</w:t>
      </w:r>
      <w:r w:rsidRPr="00117EB1">
        <w:rPr>
          <w:rFonts w:ascii="Arial" w:hAnsi="Arial" w:cs="Arial"/>
          <w:sz w:val="24"/>
        </w:rPr>
        <w:t xml:space="preserve"> </w:t>
      </w:r>
      <w:r w:rsidR="00833E1F" w:rsidRPr="00833E1F">
        <w:rPr>
          <w:rFonts w:ascii="Arial" w:hAnsi="Arial" w:cs="Arial"/>
          <w:sz w:val="24"/>
        </w:rPr>
        <w:t xml:space="preserve">del </w:t>
      </w:r>
      <w:r w:rsidR="00833E1F" w:rsidRPr="00833E1F">
        <w:rPr>
          <w:rFonts w:ascii="Arial" w:hAnsi="Arial" w:cs="Arial"/>
          <w:b/>
          <w:sz w:val="24"/>
        </w:rPr>
        <w:t>Fideico</w:t>
      </w:r>
      <w:r w:rsidR="00B208A1">
        <w:rPr>
          <w:rFonts w:ascii="Arial" w:hAnsi="Arial" w:cs="Arial"/>
          <w:b/>
          <w:sz w:val="24"/>
        </w:rPr>
        <w:t xml:space="preserve">miso Fondo para la Vivienda de </w:t>
      </w:r>
      <w:r w:rsidR="00833E1F" w:rsidRPr="00833E1F">
        <w:rPr>
          <w:rFonts w:ascii="Arial" w:hAnsi="Arial" w:cs="Arial"/>
          <w:b/>
          <w:sz w:val="24"/>
        </w:rPr>
        <w:t>los Trabajadores de la Educación</w:t>
      </w:r>
      <w:r w:rsidRPr="00833E1F">
        <w:rPr>
          <w:rFonts w:ascii="Arial" w:hAnsi="Arial" w:cs="Arial"/>
          <w:b/>
          <w:sz w:val="24"/>
        </w:rPr>
        <w:t xml:space="preserve">, </w:t>
      </w:r>
      <w:r w:rsidRPr="00117EB1">
        <w:rPr>
          <w:rFonts w:ascii="Arial" w:hAnsi="Arial" w:cs="Arial"/>
          <w:sz w:val="24"/>
        </w:rPr>
        <w:t xml:space="preserve">correspondiente a su Ejercicio Fiscal </w:t>
      </w:r>
      <w:r w:rsidR="00493A57">
        <w:rPr>
          <w:rFonts w:ascii="Arial" w:hAnsi="Arial" w:cs="Arial"/>
          <w:b/>
          <w:bCs/>
          <w:sz w:val="24"/>
        </w:rPr>
        <w:t>2015</w:t>
      </w:r>
      <w:r w:rsidRPr="00117EB1">
        <w:rPr>
          <w:rFonts w:ascii="Arial" w:hAnsi="Arial" w:cs="Arial"/>
          <w:sz w:val="24"/>
        </w:rPr>
        <w:t>, bajo el expediente</w:t>
      </w:r>
      <w:r w:rsidR="00513CE9">
        <w:rPr>
          <w:rFonts w:ascii="Arial" w:hAnsi="Arial" w:cs="Arial"/>
          <w:sz w:val="24"/>
        </w:rPr>
        <w:t xml:space="preserve"> número</w:t>
      </w:r>
      <w:r w:rsidRPr="00117EB1">
        <w:rPr>
          <w:rFonts w:ascii="Arial" w:hAnsi="Arial" w:cs="Arial"/>
          <w:sz w:val="24"/>
        </w:rPr>
        <w:t xml:space="preserve"> </w:t>
      </w:r>
      <w:r w:rsidR="00493A57">
        <w:rPr>
          <w:rFonts w:ascii="Arial" w:hAnsi="Arial" w:cs="Arial"/>
          <w:b/>
          <w:sz w:val="24"/>
        </w:rPr>
        <w:t>10429</w:t>
      </w:r>
      <w:r w:rsidR="00513CE9">
        <w:rPr>
          <w:rFonts w:ascii="Arial" w:hAnsi="Arial" w:cs="Arial"/>
          <w:b/>
          <w:bCs/>
          <w:sz w:val="24"/>
        </w:rPr>
        <w:t>/LXXIV</w:t>
      </w:r>
      <w:r w:rsidRPr="00117EB1">
        <w:rPr>
          <w:rFonts w:ascii="Arial" w:hAnsi="Arial" w:cs="Arial"/>
          <w:b/>
          <w:bCs/>
          <w:sz w:val="24"/>
        </w:rPr>
        <w:t>.</w:t>
      </w:r>
    </w:p>
    <w:p w:rsidR="009C0345" w:rsidRPr="00117EB1" w:rsidRDefault="009C0345" w:rsidP="00F072A9">
      <w:pPr>
        <w:pStyle w:val="ecxmsonormal"/>
        <w:shd w:val="clear" w:color="auto" w:fill="FFFFFF"/>
        <w:spacing w:line="360" w:lineRule="auto"/>
        <w:ind w:firstLine="709"/>
        <w:jc w:val="both"/>
        <w:rPr>
          <w:rFonts w:ascii="Arial" w:hAnsi="Arial" w:cs="Arial"/>
          <w:szCs w:val="22"/>
        </w:rPr>
      </w:pPr>
      <w:r w:rsidRPr="00117EB1">
        <w:rPr>
          <w:rFonts w:ascii="Arial" w:hAnsi="Arial" w:cs="Arial"/>
          <w:szCs w:val="22"/>
        </w:rPr>
        <w:t>Con el fin de ver proveído el requisito fundamental de dar vi</w:t>
      </w:r>
      <w:r w:rsidR="00513CE9">
        <w:rPr>
          <w:rFonts w:ascii="Arial" w:hAnsi="Arial" w:cs="Arial"/>
          <w:szCs w:val="22"/>
        </w:rPr>
        <w:t>sta al contenido del citado contenido y de acuerdo a</w:t>
      </w:r>
      <w:r w:rsidRPr="00117EB1">
        <w:rPr>
          <w:rFonts w:ascii="Arial" w:hAnsi="Arial" w:cs="Arial"/>
          <w:szCs w:val="22"/>
        </w:rPr>
        <w:t xml:space="preserve"> lo establecido en el artículo 47 inciso b) del Reglamento para el Gobierno Interior del Congreso del Estado, quienes integramos la C</w:t>
      </w:r>
      <w:r w:rsidR="00513CE9">
        <w:rPr>
          <w:rFonts w:ascii="Arial" w:hAnsi="Arial" w:cs="Arial"/>
          <w:szCs w:val="22"/>
        </w:rPr>
        <w:t xml:space="preserve">omisión de Dictamen Legislativo </w:t>
      </w:r>
      <w:r w:rsidRPr="00117EB1">
        <w:rPr>
          <w:rFonts w:ascii="Arial" w:hAnsi="Arial" w:cs="Arial"/>
          <w:szCs w:val="22"/>
        </w:rPr>
        <w:t>que sustenta el presente documento, consignamos ante este Pleno los siguientes:</w:t>
      </w:r>
    </w:p>
    <w:p w:rsidR="00F072A9" w:rsidRDefault="009C0345" w:rsidP="009C0345">
      <w:pPr>
        <w:jc w:val="both"/>
        <w:rPr>
          <w:rFonts w:ascii="Arial" w:hAnsi="Arial" w:cs="Arial"/>
          <w:b/>
          <w:bCs/>
        </w:rPr>
      </w:pPr>
      <w:r w:rsidRPr="008D1FA1">
        <w:rPr>
          <w:rFonts w:ascii="Arial" w:hAnsi="Arial" w:cs="Arial"/>
          <w:b/>
          <w:bCs/>
        </w:rPr>
        <w:t>ANTECEDENTES:</w:t>
      </w:r>
    </w:p>
    <w:p w:rsidR="00513CE9" w:rsidRDefault="00513CE9" w:rsidP="009C0345">
      <w:pPr>
        <w:jc w:val="both"/>
        <w:rPr>
          <w:rFonts w:ascii="Arial" w:hAnsi="Arial" w:cs="Arial"/>
          <w:b/>
          <w:bCs/>
        </w:rPr>
      </w:pPr>
    </w:p>
    <w:p w:rsidR="009C0345" w:rsidRPr="00B67BEE" w:rsidRDefault="009C0345" w:rsidP="009C0345">
      <w:pPr>
        <w:pStyle w:val="Prrafodelista"/>
        <w:numPr>
          <w:ilvl w:val="0"/>
          <w:numId w:val="3"/>
        </w:numPr>
        <w:spacing w:after="0"/>
        <w:ind w:left="426" w:hanging="426"/>
        <w:contextualSpacing/>
        <w:rPr>
          <w:rFonts w:ascii="Arial" w:hAnsi="Arial" w:cs="Arial"/>
          <w:b/>
          <w:sz w:val="24"/>
          <w:szCs w:val="24"/>
        </w:rPr>
      </w:pPr>
      <w:r w:rsidRPr="00B67BEE">
        <w:rPr>
          <w:rFonts w:ascii="Arial" w:hAnsi="Arial" w:cs="Arial"/>
          <w:b/>
          <w:bCs/>
          <w:sz w:val="24"/>
        </w:rPr>
        <w:t>Presentación</w:t>
      </w:r>
    </w:p>
    <w:p w:rsidR="009C0345" w:rsidRPr="00B67BEE" w:rsidRDefault="009C0345" w:rsidP="009C0345">
      <w:pPr>
        <w:spacing w:after="0"/>
        <w:jc w:val="both"/>
        <w:rPr>
          <w:rFonts w:ascii="Arial" w:hAnsi="Arial" w:cs="Arial"/>
          <w:sz w:val="24"/>
          <w:szCs w:val="24"/>
        </w:rPr>
      </w:pPr>
    </w:p>
    <w:p w:rsidR="009C0345" w:rsidRPr="00B67BEE" w:rsidRDefault="009C0345" w:rsidP="00F072A9">
      <w:pPr>
        <w:spacing w:after="0" w:line="360" w:lineRule="auto"/>
        <w:ind w:firstLine="709"/>
        <w:jc w:val="both"/>
        <w:rPr>
          <w:rFonts w:ascii="Arial" w:hAnsi="Arial" w:cs="Arial"/>
          <w:sz w:val="24"/>
          <w:szCs w:val="24"/>
        </w:rPr>
      </w:pPr>
      <w:r w:rsidRPr="00B67BEE">
        <w:rPr>
          <w:rFonts w:ascii="Arial" w:hAnsi="Arial" w:cs="Arial"/>
          <w:sz w:val="24"/>
          <w:szCs w:val="24"/>
        </w:rPr>
        <w:t xml:space="preserve">La Auditoría Superior del Estado de Nuevo León, de conformidad con lo establecido en los artículos 63, fracción XIII de la Constitución Política del Estado, 2 fracción I, 3 y 4 de la Ley de Fiscalización Superior del Estado de Nuevo León, se crea como un órgano de apoyo del H. Congreso del Estado en el ejercicio de sus facultades de fiscalización, revisión, vigilancia, evaluación y aprobación o rechazo de las cuentas públicas que presenten los poderes del estado, los organismos autónomos, los organismos </w:t>
      </w:r>
      <w:r w:rsidRPr="00B67BEE">
        <w:rPr>
          <w:rFonts w:ascii="Arial" w:hAnsi="Arial" w:cs="Arial"/>
          <w:sz w:val="24"/>
          <w:szCs w:val="24"/>
        </w:rPr>
        <w:lastRenderedPageBreak/>
        <w:t>desc</w:t>
      </w:r>
      <w:r w:rsidR="00513CE9">
        <w:rPr>
          <w:rFonts w:ascii="Arial" w:hAnsi="Arial" w:cs="Arial"/>
          <w:sz w:val="24"/>
          <w:szCs w:val="24"/>
        </w:rPr>
        <w:t>entralizados y desconcentrados, así como de los</w:t>
      </w:r>
      <w:r w:rsidRPr="00B67BEE">
        <w:rPr>
          <w:rFonts w:ascii="Arial" w:hAnsi="Arial" w:cs="Arial"/>
          <w:sz w:val="24"/>
          <w:szCs w:val="24"/>
        </w:rPr>
        <w:t xml:space="preserve"> fideicomisos públicos de la a</w:t>
      </w:r>
      <w:r w:rsidR="00513CE9">
        <w:rPr>
          <w:rFonts w:ascii="Arial" w:hAnsi="Arial" w:cs="Arial"/>
          <w:sz w:val="24"/>
          <w:szCs w:val="24"/>
        </w:rPr>
        <w:t>dministración pública del Estatal</w:t>
      </w:r>
      <w:r w:rsidRPr="00B67BEE">
        <w:rPr>
          <w:rFonts w:ascii="Arial" w:hAnsi="Arial" w:cs="Arial"/>
          <w:sz w:val="24"/>
          <w:szCs w:val="24"/>
        </w:rPr>
        <w:t>, los municipios y sus organismos descentralizados y desconcentrados.</w:t>
      </w:r>
    </w:p>
    <w:p w:rsidR="009C0345" w:rsidRPr="00B67BEE" w:rsidRDefault="009C0345" w:rsidP="00F072A9">
      <w:pPr>
        <w:spacing w:after="0" w:line="360" w:lineRule="auto"/>
        <w:ind w:firstLine="709"/>
        <w:jc w:val="both"/>
        <w:rPr>
          <w:rFonts w:ascii="Arial" w:hAnsi="Arial" w:cs="Arial"/>
          <w:sz w:val="24"/>
          <w:szCs w:val="24"/>
        </w:rPr>
      </w:pPr>
    </w:p>
    <w:p w:rsidR="009C0345" w:rsidRPr="00B67BEE" w:rsidRDefault="009C0345" w:rsidP="00F072A9">
      <w:pPr>
        <w:spacing w:after="0" w:line="360" w:lineRule="auto"/>
        <w:ind w:firstLine="709"/>
        <w:jc w:val="both"/>
        <w:rPr>
          <w:rFonts w:ascii="Arial" w:hAnsi="Arial" w:cs="Arial"/>
          <w:sz w:val="24"/>
          <w:szCs w:val="24"/>
        </w:rPr>
      </w:pPr>
      <w:r w:rsidRPr="00B67BEE">
        <w:rPr>
          <w:rFonts w:ascii="Arial" w:hAnsi="Arial" w:cs="Arial"/>
          <w:sz w:val="24"/>
          <w:szCs w:val="24"/>
        </w:rPr>
        <w:t>En el ejercicio de las referidas funciones, para la revisión de la C</w:t>
      </w:r>
      <w:r w:rsidR="00493A57">
        <w:rPr>
          <w:rFonts w:ascii="Arial" w:hAnsi="Arial" w:cs="Arial"/>
          <w:sz w:val="24"/>
          <w:szCs w:val="24"/>
        </w:rPr>
        <w:t>uenta Pública del ejercicio 2015</w:t>
      </w:r>
      <w:r w:rsidRPr="00B67BEE">
        <w:rPr>
          <w:rFonts w:ascii="Arial" w:hAnsi="Arial" w:cs="Arial"/>
          <w:sz w:val="24"/>
          <w:szCs w:val="24"/>
        </w:rPr>
        <w:t xml:space="preserve"> </w:t>
      </w:r>
      <w:r w:rsidR="00B208A1" w:rsidRPr="00833E1F">
        <w:rPr>
          <w:rFonts w:ascii="Arial" w:hAnsi="Arial" w:cs="Arial"/>
          <w:sz w:val="24"/>
        </w:rPr>
        <w:t xml:space="preserve">del </w:t>
      </w:r>
      <w:r w:rsidR="00B208A1" w:rsidRPr="00833E1F">
        <w:rPr>
          <w:rFonts w:ascii="Arial" w:hAnsi="Arial" w:cs="Arial"/>
          <w:b/>
          <w:sz w:val="24"/>
        </w:rPr>
        <w:t>Fideico</w:t>
      </w:r>
      <w:r w:rsidR="00B208A1">
        <w:rPr>
          <w:rFonts w:ascii="Arial" w:hAnsi="Arial" w:cs="Arial"/>
          <w:b/>
          <w:sz w:val="24"/>
        </w:rPr>
        <w:t xml:space="preserve">miso Fondo para la Vivienda de </w:t>
      </w:r>
      <w:r w:rsidR="00B208A1" w:rsidRPr="00833E1F">
        <w:rPr>
          <w:rFonts w:ascii="Arial" w:hAnsi="Arial" w:cs="Arial"/>
          <w:b/>
          <w:sz w:val="24"/>
        </w:rPr>
        <w:t>los Trabajadores de la Educación</w:t>
      </w:r>
      <w:r w:rsidR="00B208A1">
        <w:rPr>
          <w:rFonts w:ascii="Arial" w:hAnsi="Arial" w:cs="Arial"/>
          <w:b/>
          <w:sz w:val="24"/>
        </w:rPr>
        <w:t>,</w:t>
      </w:r>
      <w:r w:rsidRPr="00B67BEE">
        <w:rPr>
          <w:rFonts w:ascii="Arial" w:hAnsi="Arial" w:cs="Arial"/>
          <w:sz w:val="24"/>
          <w:szCs w:val="24"/>
        </w:rPr>
        <w:t xml:space="preserve"> la Auditoría Superior del Estado de conformidad con lo establecido en los artículos 18 y 19 de la Ley de Fiscalización Superior del Estado de Nuevo León, evaluó los resultados de la gestión financiera, comprobó si el ejercicio de las Leyes de Ingresos y Egresos, y sus respectivos presupuestos se ajustaron a los criterios señalados en los mismos, verificó el cumplimiento de las leyes, los reglamentos y la normatividad aplicables en materia de  gestión financiera.</w:t>
      </w:r>
    </w:p>
    <w:p w:rsidR="009C0345" w:rsidRPr="00B67BEE" w:rsidRDefault="009C0345" w:rsidP="009C0345">
      <w:pPr>
        <w:spacing w:after="0"/>
        <w:jc w:val="both"/>
        <w:rPr>
          <w:rFonts w:ascii="Arial" w:hAnsi="Arial" w:cs="Arial"/>
          <w:sz w:val="24"/>
          <w:szCs w:val="24"/>
        </w:rPr>
      </w:pPr>
    </w:p>
    <w:p w:rsidR="009C0345" w:rsidRPr="00B67BEE" w:rsidRDefault="00513CE9" w:rsidP="00F072A9">
      <w:pPr>
        <w:spacing w:after="0" w:line="360" w:lineRule="auto"/>
        <w:ind w:firstLine="709"/>
        <w:jc w:val="both"/>
        <w:rPr>
          <w:rFonts w:ascii="Arial" w:hAnsi="Arial" w:cs="Arial"/>
          <w:sz w:val="24"/>
          <w:szCs w:val="24"/>
        </w:rPr>
      </w:pPr>
      <w:r>
        <w:rPr>
          <w:rFonts w:ascii="Arial" w:hAnsi="Arial" w:cs="Arial"/>
          <w:sz w:val="24"/>
          <w:szCs w:val="24"/>
        </w:rPr>
        <w:t>En ese</w:t>
      </w:r>
      <w:r w:rsidR="009C0345" w:rsidRPr="00B67BEE">
        <w:rPr>
          <w:rFonts w:ascii="Arial" w:hAnsi="Arial" w:cs="Arial"/>
          <w:sz w:val="24"/>
          <w:szCs w:val="24"/>
        </w:rPr>
        <w:t xml:space="preserve"> sentido, y en cumplimiento de lo preceptuado en los artículos 137 segundo p</w:t>
      </w:r>
      <w:r>
        <w:rPr>
          <w:rFonts w:ascii="Arial" w:hAnsi="Arial" w:cs="Arial"/>
          <w:sz w:val="24"/>
          <w:szCs w:val="24"/>
        </w:rPr>
        <w:t>árrafo de la Constitución Política del Estado Libre y Soberano de Nuevo León,</w:t>
      </w:r>
      <w:r w:rsidR="009C0345" w:rsidRPr="00B67BEE">
        <w:rPr>
          <w:rFonts w:ascii="Arial" w:hAnsi="Arial" w:cs="Arial"/>
          <w:sz w:val="24"/>
          <w:szCs w:val="24"/>
        </w:rPr>
        <w:t xml:space="preserve"> 20 fracción XXXI, 48 primer párrafo y 82 fracción XV de la Ley de Fiscalización Superio</w:t>
      </w:r>
      <w:r>
        <w:rPr>
          <w:rFonts w:ascii="Arial" w:hAnsi="Arial" w:cs="Arial"/>
          <w:sz w:val="24"/>
          <w:szCs w:val="24"/>
        </w:rPr>
        <w:t>r del Estado de Nuevo León, la</w:t>
      </w:r>
      <w:r w:rsidR="009C0345" w:rsidRPr="00B67BEE">
        <w:rPr>
          <w:rFonts w:ascii="Arial" w:hAnsi="Arial" w:cs="Arial"/>
          <w:sz w:val="24"/>
          <w:szCs w:val="24"/>
        </w:rPr>
        <w:t xml:space="preserve"> Aud</w:t>
      </w:r>
      <w:r>
        <w:rPr>
          <w:rFonts w:ascii="Arial" w:hAnsi="Arial" w:cs="Arial"/>
          <w:sz w:val="24"/>
          <w:szCs w:val="24"/>
        </w:rPr>
        <w:t>itoría Superior del Estado tuvo</w:t>
      </w:r>
      <w:r w:rsidR="009C0345" w:rsidRPr="00B67BEE">
        <w:rPr>
          <w:rFonts w:ascii="Arial" w:hAnsi="Arial" w:cs="Arial"/>
          <w:sz w:val="24"/>
          <w:szCs w:val="24"/>
        </w:rPr>
        <w:t xml:space="preserve"> a bien rendir el Informe del Resultado de la revisión practicada a la C</w:t>
      </w:r>
      <w:r w:rsidR="00493A57">
        <w:rPr>
          <w:rFonts w:ascii="Arial" w:hAnsi="Arial" w:cs="Arial"/>
          <w:sz w:val="24"/>
          <w:szCs w:val="24"/>
        </w:rPr>
        <w:t>uenta Pública del ejercicio 2015</w:t>
      </w:r>
      <w:r w:rsidR="009C0345" w:rsidRPr="00B67BEE">
        <w:rPr>
          <w:rFonts w:ascii="Arial" w:hAnsi="Arial" w:cs="Arial"/>
          <w:sz w:val="24"/>
          <w:szCs w:val="24"/>
        </w:rPr>
        <w:t xml:space="preserve"> </w:t>
      </w:r>
      <w:r w:rsidR="00B208A1" w:rsidRPr="00833E1F">
        <w:rPr>
          <w:rFonts w:ascii="Arial" w:hAnsi="Arial" w:cs="Arial"/>
          <w:sz w:val="24"/>
        </w:rPr>
        <w:t xml:space="preserve">del </w:t>
      </w:r>
      <w:r w:rsidR="00B208A1" w:rsidRPr="00833E1F">
        <w:rPr>
          <w:rFonts w:ascii="Arial" w:hAnsi="Arial" w:cs="Arial"/>
          <w:b/>
          <w:sz w:val="24"/>
        </w:rPr>
        <w:t>Fideico</w:t>
      </w:r>
      <w:r w:rsidR="00B208A1">
        <w:rPr>
          <w:rFonts w:ascii="Arial" w:hAnsi="Arial" w:cs="Arial"/>
          <w:b/>
          <w:sz w:val="24"/>
        </w:rPr>
        <w:t xml:space="preserve">miso Fondo para la Vivienda de </w:t>
      </w:r>
      <w:r w:rsidR="00B208A1" w:rsidRPr="00833E1F">
        <w:rPr>
          <w:rFonts w:ascii="Arial" w:hAnsi="Arial" w:cs="Arial"/>
          <w:b/>
          <w:sz w:val="24"/>
        </w:rPr>
        <w:t xml:space="preserve">los Trabajadores de la Educación, </w:t>
      </w:r>
      <w:r>
        <w:rPr>
          <w:rFonts w:ascii="Arial" w:hAnsi="Arial" w:cs="Arial"/>
          <w:sz w:val="24"/>
          <w:szCs w:val="24"/>
        </w:rPr>
        <w:t xml:space="preserve"> a este</w:t>
      </w:r>
      <w:r w:rsidR="009C0345" w:rsidRPr="00B67BEE">
        <w:rPr>
          <w:rFonts w:ascii="Arial" w:hAnsi="Arial" w:cs="Arial"/>
          <w:sz w:val="24"/>
          <w:szCs w:val="24"/>
        </w:rPr>
        <w:t xml:space="preserve"> H. Congreso del Estado.</w:t>
      </w:r>
    </w:p>
    <w:p w:rsidR="009C0345" w:rsidRPr="00B67BEE" w:rsidRDefault="009C0345" w:rsidP="00F072A9">
      <w:pPr>
        <w:spacing w:after="0" w:line="360" w:lineRule="auto"/>
        <w:jc w:val="both"/>
        <w:rPr>
          <w:rFonts w:ascii="Arial" w:hAnsi="Arial" w:cs="Arial"/>
          <w:sz w:val="24"/>
          <w:szCs w:val="24"/>
        </w:rPr>
      </w:pPr>
    </w:p>
    <w:p w:rsidR="009C0345" w:rsidRPr="00B67BEE" w:rsidRDefault="00513CE9" w:rsidP="00F072A9">
      <w:pPr>
        <w:spacing w:after="0" w:line="360" w:lineRule="auto"/>
        <w:ind w:firstLine="709"/>
        <w:jc w:val="both"/>
        <w:rPr>
          <w:rFonts w:ascii="Arial" w:hAnsi="Arial" w:cs="Arial"/>
          <w:sz w:val="24"/>
          <w:szCs w:val="24"/>
        </w:rPr>
      </w:pPr>
      <w:r>
        <w:rPr>
          <w:rFonts w:ascii="Arial" w:hAnsi="Arial" w:cs="Arial"/>
          <w:sz w:val="24"/>
          <w:szCs w:val="24"/>
        </w:rPr>
        <w:t>Entre los apartados del</w:t>
      </w:r>
      <w:r w:rsidR="009C0345" w:rsidRPr="00B67BEE">
        <w:rPr>
          <w:rFonts w:ascii="Arial" w:hAnsi="Arial" w:cs="Arial"/>
          <w:sz w:val="24"/>
          <w:szCs w:val="24"/>
        </w:rPr>
        <w:t xml:space="preserve"> informe, se incluyen los objetivos y alcances de la revisión practicada, incluyendo los criterios de selección y descripción de los procedimientos de auditoría, así como el Dictamen de la revisión.</w:t>
      </w:r>
    </w:p>
    <w:p w:rsidR="009C0345" w:rsidRPr="00B67BEE" w:rsidRDefault="009C0345" w:rsidP="00F072A9">
      <w:pPr>
        <w:spacing w:after="0" w:line="360" w:lineRule="auto"/>
        <w:jc w:val="both"/>
        <w:rPr>
          <w:rFonts w:ascii="Arial" w:hAnsi="Arial" w:cs="Arial"/>
          <w:sz w:val="24"/>
          <w:szCs w:val="24"/>
        </w:rPr>
      </w:pPr>
    </w:p>
    <w:p w:rsidR="009C0345" w:rsidRPr="00B67BEE" w:rsidRDefault="009C0345" w:rsidP="00F072A9">
      <w:pPr>
        <w:spacing w:after="0" w:line="360" w:lineRule="auto"/>
        <w:ind w:firstLine="709"/>
        <w:jc w:val="both"/>
        <w:rPr>
          <w:rFonts w:ascii="Arial" w:hAnsi="Arial" w:cs="Arial"/>
          <w:sz w:val="24"/>
          <w:szCs w:val="24"/>
        </w:rPr>
      </w:pPr>
      <w:r w:rsidRPr="00B67BEE">
        <w:rPr>
          <w:rFonts w:ascii="Arial" w:hAnsi="Arial" w:cs="Arial"/>
          <w:sz w:val="24"/>
          <w:szCs w:val="24"/>
        </w:rPr>
        <w:t>Asimismo, se realiza una descripción de los elementos revisados y resultados obtenidos en la revisión, respecto de:</w:t>
      </w:r>
    </w:p>
    <w:p w:rsidR="009C0345" w:rsidRPr="00B67BEE" w:rsidRDefault="009C0345" w:rsidP="00F072A9">
      <w:pPr>
        <w:spacing w:after="0" w:line="360" w:lineRule="auto"/>
        <w:jc w:val="both"/>
        <w:rPr>
          <w:rFonts w:ascii="Arial" w:hAnsi="Arial" w:cs="Arial"/>
          <w:sz w:val="24"/>
          <w:szCs w:val="24"/>
        </w:rPr>
      </w:pPr>
    </w:p>
    <w:p w:rsidR="009C0345" w:rsidRPr="00B67BEE" w:rsidRDefault="009C0345" w:rsidP="00F072A9">
      <w:pPr>
        <w:numPr>
          <w:ilvl w:val="0"/>
          <w:numId w:val="2"/>
        </w:numPr>
        <w:spacing w:after="0" w:line="360" w:lineRule="auto"/>
        <w:contextualSpacing/>
        <w:jc w:val="both"/>
        <w:rPr>
          <w:rFonts w:ascii="Arial" w:hAnsi="Arial" w:cs="Arial"/>
          <w:sz w:val="24"/>
          <w:szCs w:val="24"/>
        </w:rPr>
      </w:pPr>
      <w:r w:rsidRPr="00B67BEE">
        <w:rPr>
          <w:rFonts w:ascii="Arial" w:hAnsi="Arial" w:cs="Arial"/>
          <w:sz w:val="24"/>
          <w:szCs w:val="24"/>
        </w:rPr>
        <w:t>La evaluación de la gestión financiera y del gasto público;</w:t>
      </w:r>
    </w:p>
    <w:p w:rsidR="008900B3" w:rsidRPr="00594027" w:rsidRDefault="009C0345" w:rsidP="00F072A9">
      <w:pPr>
        <w:numPr>
          <w:ilvl w:val="0"/>
          <w:numId w:val="2"/>
        </w:numPr>
        <w:spacing w:after="0" w:line="360" w:lineRule="auto"/>
        <w:contextualSpacing/>
        <w:jc w:val="both"/>
        <w:rPr>
          <w:rFonts w:ascii="Arial" w:hAnsi="Arial" w:cs="Arial"/>
          <w:sz w:val="24"/>
          <w:szCs w:val="24"/>
        </w:rPr>
      </w:pPr>
      <w:r w:rsidRPr="00B67BEE">
        <w:rPr>
          <w:rFonts w:ascii="Arial" w:hAnsi="Arial" w:cs="Arial"/>
          <w:sz w:val="24"/>
          <w:szCs w:val="24"/>
        </w:rPr>
        <w:t>Cumplimiento de las normas de información financiera aplicables al sector gubernamental y de las disposiciones contenidas en los ordenamient</w:t>
      </w:r>
      <w:r w:rsidR="008900B3">
        <w:rPr>
          <w:rFonts w:ascii="Arial" w:hAnsi="Arial" w:cs="Arial"/>
          <w:sz w:val="24"/>
          <w:szCs w:val="24"/>
        </w:rPr>
        <w:t>o</w:t>
      </w:r>
      <w:r w:rsidR="00F072A9">
        <w:rPr>
          <w:rFonts w:ascii="Arial" w:hAnsi="Arial" w:cs="Arial"/>
          <w:sz w:val="24"/>
          <w:szCs w:val="24"/>
        </w:rPr>
        <w:t>s y normativa correspondientes;</w:t>
      </w:r>
      <w:r w:rsidR="008900B3" w:rsidRPr="00594027">
        <w:rPr>
          <w:rFonts w:ascii="Arial" w:hAnsi="Arial" w:cs="Arial"/>
          <w:sz w:val="24"/>
          <w:szCs w:val="24"/>
        </w:rPr>
        <w:t xml:space="preserve"> y </w:t>
      </w:r>
    </w:p>
    <w:p w:rsidR="008900B3" w:rsidRPr="00594027" w:rsidRDefault="008900B3" w:rsidP="00F072A9">
      <w:pPr>
        <w:numPr>
          <w:ilvl w:val="0"/>
          <w:numId w:val="2"/>
        </w:numPr>
        <w:spacing w:after="0" w:line="360" w:lineRule="auto"/>
        <w:contextualSpacing/>
        <w:jc w:val="both"/>
        <w:rPr>
          <w:rFonts w:ascii="Arial" w:hAnsi="Arial" w:cs="Arial"/>
          <w:sz w:val="24"/>
          <w:szCs w:val="24"/>
        </w:rPr>
      </w:pPr>
      <w:r w:rsidRPr="00594027">
        <w:rPr>
          <w:rFonts w:ascii="Arial" w:hAnsi="Arial" w:cs="Arial"/>
          <w:sz w:val="24"/>
          <w:szCs w:val="24"/>
        </w:rPr>
        <w:t>La evaluación del avance de los programas y subprogramas aprobados.</w:t>
      </w:r>
    </w:p>
    <w:p w:rsidR="009C0345" w:rsidRPr="00B67BEE" w:rsidRDefault="009C0345" w:rsidP="009C0345">
      <w:pPr>
        <w:spacing w:after="0"/>
        <w:jc w:val="both"/>
        <w:rPr>
          <w:rFonts w:ascii="Arial" w:hAnsi="Arial" w:cs="Arial"/>
          <w:sz w:val="24"/>
          <w:szCs w:val="24"/>
        </w:rPr>
      </w:pPr>
    </w:p>
    <w:p w:rsidR="009C0345" w:rsidRPr="00B67BEE" w:rsidRDefault="009C0345" w:rsidP="009C0345">
      <w:pPr>
        <w:spacing w:after="0"/>
        <w:jc w:val="both"/>
        <w:rPr>
          <w:rFonts w:ascii="Arial" w:hAnsi="Arial" w:cs="Arial"/>
          <w:sz w:val="24"/>
          <w:szCs w:val="24"/>
        </w:rPr>
      </w:pPr>
    </w:p>
    <w:p w:rsidR="00084A4D" w:rsidRDefault="00084A4D" w:rsidP="009C0345">
      <w:pPr>
        <w:pStyle w:val="Prrafodelista"/>
        <w:numPr>
          <w:ilvl w:val="0"/>
          <w:numId w:val="3"/>
        </w:numPr>
        <w:spacing w:after="0"/>
        <w:ind w:left="426" w:hanging="426"/>
        <w:contextualSpacing/>
        <w:rPr>
          <w:rFonts w:ascii="Arial" w:hAnsi="Arial" w:cs="Arial"/>
          <w:b/>
          <w:sz w:val="24"/>
        </w:rPr>
      </w:pPr>
      <w:r>
        <w:rPr>
          <w:rFonts w:ascii="Arial" w:hAnsi="Arial" w:cs="Arial"/>
          <w:b/>
          <w:sz w:val="24"/>
        </w:rPr>
        <w:t>Entidad Objeto de la revisión</w:t>
      </w:r>
    </w:p>
    <w:p w:rsidR="00084A4D" w:rsidRDefault="00084A4D" w:rsidP="00084A4D">
      <w:pPr>
        <w:spacing w:after="0"/>
        <w:contextualSpacing/>
        <w:rPr>
          <w:rFonts w:ascii="Arial" w:hAnsi="Arial" w:cs="Arial"/>
          <w:sz w:val="24"/>
        </w:rPr>
      </w:pPr>
    </w:p>
    <w:p w:rsidR="00B208A1" w:rsidRDefault="00B208A1" w:rsidP="00B208A1">
      <w:pPr>
        <w:tabs>
          <w:tab w:val="left" w:pos="2610"/>
        </w:tabs>
        <w:spacing w:line="360" w:lineRule="auto"/>
        <w:ind w:firstLine="709"/>
        <w:jc w:val="both"/>
        <w:rPr>
          <w:rFonts w:ascii="Arial" w:hAnsi="Arial" w:cs="Arial"/>
          <w:sz w:val="24"/>
        </w:rPr>
      </w:pPr>
    </w:p>
    <w:p w:rsidR="00B208A1" w:rsidRPr="00B208A1" w:rsidRDefault="00B208A1" w:rsidP="00B208A1">
      <w:pPr>
        <w:tabs>
          <w:tab w:val="left" w:pos="2610"/>
        </w:tabs>
        <w:spacing w:line="360" w:lineRule="auto"/>
        <w:ind w:firstLine="709"/>
        <w:jc w:val="both"/>
        <w:rPr>
          <w:rFonts w:ascii="Arial" w:hAnsi="Arial" w:cs="Arial"/>
          <w:sz w:val="24"/>
        </w:rPr>
      </w:pPr>
      <w:r w:rsidRPr="00B208A1">
        <w:rPr>
          <w:rFonts w:ascii="Arial" w:hAnsi="Arial" w:cs="Arial"/>
          <w:sz w:val="24"/>
        </w:rPr>
        <w:t>El Fideicomiso Fondo para la Vivienda de los Trabajadores de la Educación (Fovileon Educación), se constituye el 11 de enero de 1988 mediante el contrato privado F/18902-7 entre el Gobierno del Estado de Nuevo León como Fideicomitente y Bancomer, S.A. ahora BBVA Bancomer, S.A. como Institución Fiduciaria, teniendo como Fideicomisario a los trabajadores de la educación afiliados al Sindicato Nacional de los Trabajadore</w:t>
      </w:r>
      <w:r>
        <w:rPr>
          <w:rFonts w:ascii="Arial" w:hAnsi="Arial" w:cs="Arial"/>
          <w:sz w:val="24"/>
        </w:rPr>
        <w:t>s de la Educación (Sección 50).</w:t>
      </w:r>
    </w:p>
    <w:p w:rsidR="00B208A1" w:rsidRPr="00B208A1" w:rsidRDefault="00B208A1" w:rsidP="00B208A1">
      <w:pPr>
        <w:tabs>
          <w:tab w:val="left" w:pos="2610"/>
        </w:tabs>
        <w:spacing w:line="360" w:lineRule="auto"/>
        <w:ind w:firstLine="709"/>
        <w:jc w:val="both"/>
        <w:rPr>
          <w:rFonts w:ascii="Arial" w:hAnsi="Arial" w:cs="Arial"/>
          <w:sz w:val="24"/>
        </w:rPr>
      </w:pPr>
      <w:r w:rsidRPr="00B208A1">
        <w:rPr>
          <w:rFonts w:ascii="Arial" w:hAnsi="Arial" w:cs="Arial"/>
          <w:sz w:val="24"/>
        </w:rPr>
        <w:t xml:space="preserve">El objeto primordial del Fideicomiso es establecer y operar un sistema de financiamiento que facilite a los trabajadores que sean miembros del </w:t>
      </w:r>
      <w:r w:rsidRPr="00B208A1">
        <w:rPr>
          <w:rFonts w:ascii="Arial" w:hAnsi="Arial" w:cs="Arial"/>
          <w:sz w:val="24"/>
        </w:rPr>
        <w:lastRenderedPageBreak/>
        <w:t>Sindicato Nacional de Trabajadores de la Educación (Sección 50) la construcción, adquisición, remodelación, ampliación y mejoras de la vivienda.</w:t>
      </w:r>
    </w:p>
    <w:p w:rsidR="00322FAE" w:rsidRDefault="00322FAE" w:rsidP="00F072A9">
      <w:pPr>
        <w:tabs>
          <w:tab w:val="left" w:pos="2610"/>
        </w:tabs>
        <w:spacing w:line="360" w:lineRule="auto"/>
        <w:ind w:firstLine="709"/>
        <w:jc w:val="both"/>
        <w:rPr>
          <w:rFonts w:ascii="Arial" w:hAnsi="Arial" w:cs="Arial"/>
          <w:sz w:val="24"/>
        </w:rPr>
      </w:pPr>
    </w:p>
    <w:p w:rsidR="009C0345" w:rsidRPr="00B67BEE" w:rsidRDefault="009C0345" w:rsidP="002B20E1">
      <w:pPr>
        <w:pStyle w:val="Prrafodelista"/>
        <w:numPr>
          <w:ilvl w:val="0"/>
          <w:numId w:val="3"/>
        </w:numPr>
        <w:spacing w:after="0"/>
        <w:ind w:left="426" w:hanging="426"/>
        <w:contextualSpacing/>
        <w:jc w:val="both"/>
        <w:rPr>
          <w:rFonts w:ascii="Arial" w:hAnsi="Arial" w:cs="Arial"/>
          <w:b/>
          <w:sz w:val="24"/>
        </w:rPr>
      </w:pPr>
      <w:r w:rsidRPr="00B67BEE">
        <w:rPr>
          <w:rFonts w:ascii="Arial" w:hAnsi="Arial" w:cs="Arial"/>
          <w:b/>
          <w:bCs/>
          <w:sz w:val="24"/>
        </w:rPr>
        <w:t>Objetivos y alcances de la revisión practicada tanto a la gestión como al desempeño, incluyendo prevenciones generales sobre los criterios de selección y descripción de los procedimientos de auditoría aplicados.</w:t>
      </w:r>
    </w:p>
    <w:p w:rsidR="009C0345" w:rsidRPr="00B67BEE" w:rsidRDefault="009C0345" w:rsidP="009C0345">
      <w:pPr>
        <w:pStyle w:val="Prrafodelista"/>
        <w:spacing w:after="0"/>
        <w:ind w:left="426"/>
        <w:rPr>
          <w:rFonts w:ascii="Arial" w:hAnsi="Arial" w:cs="Arial"/>
          <w:b/>
          <w:sz w:val="24"/>
        </w:rPr>
      </w:pPr>
    </w:p>
    <w:p w:rsidR="0077749F" w:rsidRPr="0077749F" w:rsidRDefault="0077749F" w:rsidP="0077749F">
      <w:pPr>
        <w:spacing w:after="0"/>
        <w:jc w:val="both"/>
        <w:rPr>
          <w:rFonts w:ascii="Arial" w:eastAsia="Times New Roman" w:hAnsi="Arial" w:cs="Arial"/>
          <w:sz w:val="24"/>
          <w:lang w:eastAsia="es-ES"/>
        </w:rPr>
      </w:pPr>
    </w:p>
    <w:p w:rsidR="0077749F" w:rsidRPr="0077749F" w:rsidRDefault="0077749F" w:rsidP="0077749F">
      <w:pPr>
        <w:spacing w:after="0"/>
        <w:jc w:val="both"/>
        <w:rPr>
          <w:rFonts w:ascii="Arial" w:eastAsia="Times New Roman" w:hAnsi="Arial" w:cs="Arial"/>
          <w:sz w:val="24"/>
          <w:lang w:eastAsia="es-ES"/>
        </w:rPr>
      </w:pPr>
      <w:r w:rsidRPr="0077749F">
        <w:rPr>
          <w:rFonts w:ascii="Arial" w:eastAsia="Times New Roman" w:hAnsi="Arial" w:cs="Arial"/>
          <w:sz w:val="24"/>
          <w:lang w:eastAsia="es-ES"/>
        </w:rPr>
        <w:t>•</w:t>
      </w:r>
      <w:r w:rsidRPr="0077749F">
        <w:rPr>
          <w:rFonts w:ascii="Arial" w:eastAsia="Times New Roman" w:hAnsi="Arial" w:cs="Arial"/>
          <w:b/>
          <w:sz w:val="24"/>
          <w:lang w:eastAsia="es-ES"/>
        </w:rPr>
        <w:tab/>
        <w:t>Auditorías programadas por tipo o materia</w:t>
      </w:r>
    </w:p>
    <w:p w:rsidR="0077749F" w:rsidRPr="0077749F" w:rsidRDefault="0077749F" w:rsidP="0077749F">
      <w:pPr>
        <w:spacing w:after="0"/>
        <w:jc w:val="both"/>
        <w:rPr>
          <w:rFonts w:ascii="Arial" w:eastAsia="Times New Roman" w:hAnsi="Arial" w:cs="Arial"/>
          <w:sz w:val="24"/>
          <w:lang w:eastAsia="es-ES"/>
        </w:rPr>
      </w:pPr>
    </w:p>
    <w:p w:rsidR="0077749F" w:rsidRDefault="0077749F" w:rsidP="00322FAE">
      <w:pPr>
        <w:spacing w:after="0" w:line="360" w:lineRule="auto"/>
        <w:ind w:firstLine="567"/>
        <w:jc w:val="both"/>
        <w:rPr>
          <w:rFonts w:ascii="Arial" w:eastAsia="Times New Roman" w:hAnsi="Arial" w:cs="Arial"/>
          <w:sz w:val="24"/>
          <w:lang w:eastAsia="es-ES"/>
        </w:rPr>
      </w:pPr>
      <w:r w:rsidRPr="0077749F">
        <w:rPr>
          <w:rFonts w:ascii="Arial" w:eastAsia="Times New Roman" w:hAnsi="Arial" w:cs="Arial"/>
          <w:sz w:val="24"/>
          <w:lang w:eastAsia="es-ES"/>
        </w:rPr>
        <w:t>Con base en los criterios generales y particulares para la planeación específica utilizada en la integración del P</w:t>
      </w:r>
      <w:r w:rsidR="00493A57">
        <w:rPr>
          <w:rFonts w:ascii="Arial" w:eastAsia="Times New Roman" w:hAnsi="Arial" w:cs="Arial"/>
          <w:sz w:val="24"/>
          <w:lang w:eastAsia="es-ES"/>
        </w:rPr>
        <w:t>rograma Anual de Auditorías 2016</w:t>
      </w:r>
      <w:r w:rsidRPr="0077749F">
        <w:rPr>
          <w:rFonts w:ascii="Arial" w:eastAsia="Times New Roman" w:hAnsi="Arial" w:cs="Arial"/>
          <w:sz w:val="24"/>
          <w:lang w:eastAsia="es-ES"/>
        </w:rPr>
        <w:t xml:space="preserve"> para la Fiscalización de las Cuentas Públicas co</w:t>
      </w:r>
      <w:r w:rsidR="00493A57">
        <w:rPr>
          <w:rFonts w:ascii="Arial" w:eastAsia="Times New Roman" w:hAnsi="Arial" w:cs="Arial"/>
          <w:sz w:val="24"/>
          <w:lang w:eastAsia="es-ES"/>
        </w:rPr>
        <w:t>rrespondientes al ejercicio 2015</w:t>
      </w:r>
      <w:r w:rsidR="00902D03">
        <w:rPr>
          <w:rFonts w:ascii="Arial" w:eastAsia="Times New Roman" w:hAnsi="Arial" w:cs="Arial"/>
          <w:sz w:val="24"/>
          <w:lang w:eastAsia="es-ES"/>
        </w:rPr>
        <w:t>, presentado ante este H. Congreso del Estado para su conocimiento y a través</w:t>
      </w:r>
      <w:r w:rsidRPr="0077749F">
        <w:rPr>
          <w:rFonts w:ascii="Arial" w:eastAsia="Times New Roman" w:hAnsi="Arial" w:cs="Arial"/>
          <w:sz w:val="24"/>
          <w:lang w:eastAsia="es-ES"/>
        </w:rPr>
        <w:t xml:space="preserve"> de la Com</w:t>
      </w:r>
      <w:r w:rsidR="00902D03">
        <w:rPr>
          <w:rFonts w:ascii="Arial" w:eastAsia="Times New Roman" w:hAnsi="Arial" w:cs="Arial"/>
          <w:sz w:val="24"/>
          <w:lang w:eastAsia="es-ES"/>
        </w:rPr>
        <w:t xml:space="preserve">isión de Vigilancia, en fecha </w:t>
      </w:r>
      <w:r w:rsidR="00493A57">
        <w:rPr>
          <w:rFonts w:ascii="Arial" w:eastAsia="Times New Roman" w:hAnsi="Arial" w:cs="Arial"/>
          <w:sz w:val="24"/>
          <w:lang w:eastAsia="es-ES"/>
        </w:rPr>
        <w:t>14 de Junio de 2016</w:t>
      </w:r>
      <w:r w:rsidR="00902D03">
        <w:rPr>
          <w:rFonts w:ascii="Arial" w:eastAsia="Times New Roman" w:hAnsi="Arial" w:cs="Arial"/>
          <w:sz w:val="24"/>
          <w:lang w:eastAsia="es-ES"/>
        </w:rPr>
        <w:t>,</w:t>
      </w:r>
      <w:r w:rsidRPr="0077749F">
        <w:rPr>
          <w:rFonts w:ascii="Arial" w:eastAsia="Times New Roman" w:hAnsi="Arial" w:cs="Arial"/>
          <w:sz w:val="24"/>
          <w:lang w:eastAsia="es-ES"/>
        </w:rPr>
        <w:t xml:space="preserve"> considerando la importancia, pertinencia y factibilidad de su realización, se determinaron las siguientes auditorías a practicar al Ente Público en cuestión, por tipo o materia, a saber:</w:t>
      </w:r>
    </w:p>
    <w:tbl>
      <w:tblPr>
        <w:tblW w:w="4741" w:type="pct"/>
        <w:jc w:val="center"/>
        <w:tblLayout w:type="fixed"/>
        <w:tblCellMar>
          <w:left w:w="70" w:type="dxa"/>
          <w:right w:w="70" w:type="dxa"/>
        </w:tblCellMar>
        <w:tblLook w:val="04A0" w:firstRow="1" w:lastRow="0" w:firstColumn="1" w:lastColumn="0" w:noHBand="0" w:noVBand="1"/>
      </w:tblPr>
      <w:tblGrid>
        <w:gridCol w:w="1914"/>
        <w:gridCol w:w="949"/>
        <w:gridCol w:w="936"/>
        <w:gridCol w:w="803"/>
        <w:gridCol w:w="936"/>
        <w:gridCol w:w="936"/>
        <w:gridCol w:w="936"/>
        <w:gridCol w:w="620"/>
      </w:tblGrid>
      <w:tr w:rsidR="00493A57" w:rsidRPr="00190CC1" w:rsidTr="00493A57">
        <w:trPr>
          <w:trHeight w:val="300"/>
          <w:tblHeader/>
          <w:jc w:val="center"/>
        </w:trPr>
        <w:tc>
          <w:tcPr>
            <w:tcW w:w="1191" w:type="pct"/>
            <w:vMerge w:val="restart"/>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493A57" w:rsidRPr="00190CC1" w:rsidRDefault="00493A57" w:rsidP="00493A57">
            <w:pPr>
              <w:ind w:hanging="284"/>
              <w:jc w:val="center"/>
              <w:rPr>
                <w:rFonts w:ascii="Arial" w:hAnsi="Arial" w:cs="Arial"/>
                <w:b/>
                <w:bCs/>
                <w:color w:val="000000"/>
                <w:sz w:val="14"/>
                <w:szCs w:val="14"/>
                <w:lang w:eastAsia="es-MX"/>
              </w:rPr>
            </w:pPr>
            <w:r>
              <w:rPr>
                <w:rFonts w:ascii="Arial" w:hAnsi="Arial" w:cs="Arial"/>
                <w:b/>
                <w:sz w:val="24"/>
              </w:rPr>
              <w:br w:type="page"/>
            </w:r>
            <w:r w:rsidRPr="00190CC1">
              <w:rPr>
                <w:rFonts w:ascii="Arial" w:hAnsi="Arial" w:cs="Arial"/>
                <w:b/>
                <w:bCs/>
                <w:color w:val="000000"/>
                <w:sz w:val="18"/>
                <w:szCs w:val="18"/>
                <w:lang w:eastAsia="es-MX"/>
              </w:rPr>
              <w:t>Entidad</w:t>
            </w:r>
          </w:p>
        </w:tc>
        <w:tc>
          <w:tcPr>
            <w:tcW w:w="3809" w:type="pct"/>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493A57" w:rsidRPr="00190CC1" w:rsidRDefault="00493A57" w:rsidP="00493A57">
            <w:pPr>
              <w:jc w:val="center"/>
              <w:rPr>
                <w:rFonts w:ascii="Arial" w:hAnsi="Arial" w:cs="Arial"/>
                <w:b/>
                <w:bCs/>
                <w:color w:val="000000"/>
                <w:sz w:val="18"/>
                <w:szCs w:val="18"/>
                <w:lang w:eastAsia="es-MX"/>
              </w:rPr>
            </w:pPr>
            <w:r>
              <w:rPr>
                <w:rFonts w:ascii="Arial" w:hAnsi="Arial" w:cs="Arial"/>
                <w:b/>
                <w:bCs/>
                <w:color w:val="000000"/>
                <w:sz w:val="18"/>
                <w:szCs w:val="18"/>
                <w:lang w:eastAsia="es-MX"/>
              </w:rPr>
              <w:t>Tipos de a</w:t>
            </w:r>
            <w:r w:rsidRPr="00190CC1">
              <w:rPr>
                <w:rFonts w:ascii="Arial" w:hAnsi="Arial" w:cs="Arial"/>
                <w:b/>
                <w:bCs/>
                <w:color w:val="000000"/>
                <w:sz w:val="18"/>
                <w:szCs w:val="18"/>
                <w:lang w:eastAsia="es-MX"/>
              </w:rPr>
              <w:t xml:space="preserve">uditoría a Cuenta Pública </w:t>
            </w:r>
            <w:r>
              <w:rPr>
                <w:rFonts w:ascii="Arial" w:hAnsi="Arial" w:cs="Arial"/>
                <w:b/>
                <w:bCs/>
                <w:color w:val="000000"/>
                <w:sz w:val="18"/>
                <w:szCs w:val="18"/>
                <w:lang w:eastAsia="es-MX"/>
              </w:rPr>
              <w:t>2015</w:t>
            </w:r>
          </w:p>
        </w:tc>
      </w:tr>
      <w:tr w:rsidR="00493A57" w:rsidRPr="00190CC1" w:rsidTr="00493A57">
        <w:trPr>
          <w:trHeight w:val="375"/>
          <w:tblHeader/>
          <w:jc w:val="center"/>
        </w:trPr>
        <w:tc>
          <w:tcPr>
            <w:tcW w:w="1191" w:type="pct"/>
            <w:vMerge/>
            <w:tcBorders>
              <w:left w:val="single" w:sz="12" w:space="0" w:color="auto"/>
              <w:bottom w:val="single" w:sz="12" w:space="0" w:color="auto"/>
              <w:right w:val="single" w:sz="12" w:space="0" w:color="auto"/>
            </w:tcBorders>
            <w:shd w:val="clear" w:color="auto" w:fill="C2D69B" w:themeFill="accent3" w:themeFillTint="99"/>
            <w:noWrap/>
            <w:vAlign w:val="center"/>
            <w:hideMark/>
          </w:tcPr>
          <w:p w:rsidR="00493A57" w:rsidRPr="00190CC1" w:rsidRDefault="00493A57" w:rsidP="00493A57">
            <w:pPr>
              <w:jc w:val="center"/>
              <w:rPr>
                <w:rFonts w:ascii="Arial" w:hAnsi="Arial" w:cs="Arial"/>
                <w:b/>
                <w:bCs/>
                <w:color w:val="000000"/>
                <w:sz w:val="18"/>
                <w:szCs w:val="18"/>
                <w:lang w:eastAsia="es-MX"/>
              </w:rPr>
            </w:pPr>
          </w:p>
        </w:tc>
        <w:tc>
          <w:tcPr>
            <w:tcW w:w="59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493A57" w:rsidRPr="00190CC1" w:rsidRDefault="00493A57" w:rsidP="00493A57">
            <w:pPr>
              <w:jc w:val="center"/>
              <w:rPr>
                <w:rFonts w:ascii="Arial" w:hAnsi="Arial" w:cs="Arial"/>
                <w:b/>
                <w:bCs/>
                <w:color w:val="000000"/>
                <w:sz w:val="14"/>
                <w:szCs w:val="14"/>
                <w:vertAlign w:val="superscript"/>
                <w:lang w:eastAsia="es-MX"/>
              </w:rPr>
            </w:pPr>
            <w:r>
              <w:rPr>
                <w:rFonts w:ascii="Arial" w:hAnsi="Arial" w:cs="Arial"/>
                <w:b/>
                <w:bCs/>
                <w:color w:val="000000"/>
                <w:sz w:val="14"/>
                <w:szCs w:val="14"/>
                <w:lang w:eastAsia="es-MX"/>
              </w:rPr>
              <w:t>Auditoría</w:t>
            </w:r>
            <w:r w:rsidRPr="00190CC1">
              <w:rPr>
                <w:rFonts w:ascii="Arial" w:hAnsi="Arial" w:cs="Arial"/>
                <w:b/>
                <w:bCs/>
                <w:color w:val="000000"/>
                <w:sz w:val="14"/>
                <w:szCs w:val="14"/>
                <w:lang w:eastAsia="es-MX"/>
              </w:rPr>
              <w:t xml:space="preserve"> Financiera</w:t>
            </w:r>
            <w:r w:rsidRPr="00390767">
              <w:rPr>
                <w:rFonts w:ascii="Arial" w:hAnsi="Arial" w:cs="Arial"/>
                <w:b/>
                <w:bCs/>
                <w:color w:val="000000"/>
                <w:sz w:val="16"/>
                <w:szCs w:val="14"/>
                <w:vertAlign w:val="superscript"/>
                <w:lang w:eastAsia="es-MX"/>
              </w:rPr>
              <w:t>1</w:t>
            </w:r>
          </w:p>
        </w:tc>
        <w:tc>
          <w:tcPr>
            <w:tcW w:w="583"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493A57" w:rsidRPr="00190CC1" w:rsidRDefault="00493A57" w:rsidP="00493A57">
            <w:pPr>
              <w:jc w:val="center"/>
              <w:rPr>
                <w:rFonts w:ascii="Arial" w:hAnsi="Arial" w:cs="Arial"/>
                <w:b/>
                <w:bCs/>
                <w:color w:val="000000"/>
                <w:sz w:val="14"/>
                <w:szCs w:val="14"/>
                <w:vertAlign w:val="superscript"/>
                <w:lang w:eastAsia="es-MX"/>
              </w:rPr>
            </w:pPr>
            <w:r>
              <w:rPr>
                <w:rFonts w:ascii="Arial" w:hAnsi="Arial" w:cs="Arial"/>
                <w:b/>
                <w:bCs/>
                <w:color w:val="000000"/>
                <w:sz w:val="14"/>
                <w:szCs w:val="14"/>
                <w:lang w:eastAsia="es-MX"/>
              </w:rPr>
              <w:t>Auditoría Técnica a la Obra Pública</w:t>
            </w:r>
            <w:r w:rsidRPr="00390767">
              <w:rPr>
                <w:rFonts w:ascii="Arial" w:hAnsi="Arial" w:cs="Arial"/>
                <w:b/>
                <w:bCs/>
                <w:color w:val="000000"/>
                <w:sz w:val="16"/>
                <w:szCs w:val="14"/>
                <w:vertAlign w:val="superscript"/>
                <w:lang w:eastAsia="es-MX"/>
              </w:rPr>
              <w:t>2</w:t>
            </w:r>
          </w:p>
        </w:tc>
        <w:tc>
          <w:tcPr>
            <w:tcW w:w="500"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493A57" w:rsidRPr="00190CC1" w:rsidRDefault="00493A57" w:rsidP="00493A57">
            <w:pPr>
              <w:jc w:val="center"/>
              <w:rPr>
                <w:rFonts w:ascii="Arial" w:hAnsi="Arial" w:cs="Arial"/>
                <w:b/>
                <w:bCs/>
                <w:color w:val="000000"/>
                <w:sz w:val="14"/>
                <w:szCs w:val="14"/>
                <w:vertAlign w:val="superscript"/>
                <w:lang w:eastAsia="es-MX"/>
              </w:rPr>
            </w:pPr>
            <w:r>
              <w:rPr>
                <w:rFonts w:ascii="Arial" w:hAnsi="Arial" w:cs="Arial"/>
                <w:b/>
                <w:bCs/>
                <w:color w:val="000000"/>
                <w:sz w:val="14"/>
                <w:szCs w:val="14"/>
                <w:lang w:eastAsia="es-MX"/>
              </w:rPr>
              <w:t>Auditoría en Desarrollo Urbano</w:t>
            </w:r>
            <w:r w:rsidRPr="00390767">
              <w:rPr>
                <w:rFonts w:ascii="Arial" w:hAnsi="Arial" w:cs="Arial"/>
                <w:b/>
                <w:bCs/>
                <w:color w:val="000000"/>
                <w:sz w:val="16"/>
                <w:szCs w:val="14"/>
                <w:vertAlign w:val="superscript"/>
                <w:lang w:eastAsia="es-MX"/>
              </w:rPr>
              <w:t>3</w:t>
            </w:r>
          </w:p>
        </w:tc>
        <w:tc>
          <w:tcPr>
            <w:tcW w:w="583"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493A57" w:rsidRPr="00190CC1" w:rsidRDefault="00493A57" w:rsidP="00493A57">
            <w:pPr>
              <w:jc w:val="center"/>
              <w:rPr>
                <w:rFonts w:ascii="Arial" w:hAnsi="Arial" w:cs="Arial"/>
                <w:b/>
                <w:bCs/>
                <w:color w:val="000000"/>
                <w:sz w:val="14"/>
                <w:szCs w:val="14"/>
                <w:vertAlign w:val="superscript"/>
                <w:lang w:eastAsia="es-MX"/>
              </w:rPr>
            </w:pPr>
            <w:r>
              <w:rPr>
                <w:rFonts w:ascii="Arial" w:hAnsi="Arial" w:cs="Arial"/>
                <w:b/>
                <w:bCs/>
                <w:color w:val="000000"/>
                <w:sz w:val="14"/>
                <w:szCs w:val="14"/>
                <w:lang w:eastAsia="es-MX"/>
              </w:rPr>
              <w:t>Laboratorio de Obra Pública</w:t>
            </w:r>
            <w:r w:rsidRPr="00390767">
              <w:rPr>
                <w:rFonts w:ascii="Arial" w:hAnsi="Arial" w:cs="Arial"/>
                <w:b/>
                <w:bCs/>
                <w:color w:val="000000"/>
                <w:sz w:val="16"/>
                <w:szCs w:val="14"/>
                <w:vertAlign w:val="superscript"/>
                <w:lang w:eastAsia="es-MX"/>
              </w:rPr>
              <w:t>4</w:t>
            </w:r>
          </w:p>
        </w:tc>
        <w:tc>
          <w:tcPr>
            <w:tcW w:w="583"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493A57" w:rsidRPr="00190CC1" w:rsidRDefault="00493A57" w:rsidP="00493A57">
            <w:pPr>
              <w:jc w:val="center"/>
              <w:rPr>
                <w:rFonts w:ascii="Arial" w:hAnsi="Arial" w:cs="Arial"/>
                <w:b/>
                <w:bCs/>
                <w:color w:val="000000"/>
                <w:sz w:val="14"/>
                <w:szCs w:val="14"/>
                <w:vertAlign w:val="superscript"/>
                <w:lang w:eastAsia="es-MX"/>
              </w:rPr>
            </w:pPr>
            <w:r>
              <w:rPr>
                <w:rFonts w:ascii="Arial" w:hAnsi="Arial" w:cs="Arial"/>
                <w:b/>
                <w:bCs/>
                <w:color w:val="000000"/>
                <w:sz w:val="14"/>
                <w:szCs w:val="14"/>
                <w:lang w:eastAsia="es-MX"/>
              </w:rPr>
              <w:t>Auditoría de Evaluación al Desempeño</w:t>
            </w:r>
            <w:r w:rsidRPr="00390767">
              <w:rPr>
                <w:rFonts w:ascii="Arial" w:hAnsi="Arial" w:cs="Arial"/>
                <w:b/>
                <w:bCs/>
                <w:color w:val="000000"/>
                <w:sz w:val="16"/>
                <w:szCs w:val="14"/>
                <w:vertAlign w:val="superscript"/>
                <w:lang w:eastAsia="es-MX"/>
              </w:rPr>
              <w:t>5</w:t>
            </w:r>
          </w:p>
        </w:tc>
        <w:tc>
          <w:tcPr>
            <w:tcW w:w="583"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493A57" w:rsidRPr="00190CC1" w:rsidRDefault="00493A57" w:rsidP="00493A57">
            <w:pPr>
              <w:jc w:val="center"/>
              <w:rPr>
                <w:rFonts w:ascii="Arial" w:hAnsi="Arial" w:cs="Arial"/>
                <w:b/>
                <w:bCs/>
                <w:color w:val="000000"/>
                <w:sz w:val="14"/>
                <w:szCs w:val="14"/>
                <w:vertAlign w:val="superscript"/>
                <w:lang w:eastAsia="es-MX"/>
              </w:rPr>
            </w:pPr>
            <w:r>
              <w:rPr>
                <w:rFonts w:ascii="Arial" w:hAnsi="Arial" w:cs="Arial"/>
                <w:b/>
                <w:bCs/>
                <w:color w:val="000000"/>
                <w:sz w:val="14"/>
                <w:szCs w:val="14"/>
                <w:lang w:eastAsia="es-MX"/>
              </w:rPr>
              <w:t>Auditoría a Recursos Federales</w:t>
            </w:r>
            <w:r w:rsidRPr="00390767">
              <w:rPr>
                <w:rFonts w:ascii="Arial" w:hAnsi="Arial" w:cs="Arial"/>
                <w:b/>
                <w:bCs/>
                <w:color w:val="000000"/>
                <w:sz w:val="16"/>
                <w:szCs w:val="14"/>
                <w:vertAlign w:val="superscript"/>
                <w:lang w:eastAsia="es-MX"/>
              </w:rPr>
              <w:t>6</w:t>
            </w:r>
          </w:p>
        </w:tc>
        <w:tc>
          <w:tcPr>
            <w:tcW w:w="386"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493A57" w:rsidRPr="00190CC1" w:rsidRDefault="00493A57" w:rsidP="00493A57">
            <w:pPr>
              <w:jc w:val="center"/>
              <w:rPr>
                <w:rFonts w:ascii="Arial" w:hAnsi="Arial" w:cs="Arial"/>
                <w:b/>
                <w:bCs/>
                <w:color w:val="000000"/>
                <w:sz w:val="14"/>
                <w:szCs w:val="14"/>
                <w:lang w:eastAsia="es-MX"/>
              </w:rPr>
            </w:pPr>
            <w:r w:rsidRPr="00190CC1">
              <w:rPr>
                <w:rFonts w:ascii="Arial" w:hAnsi="Arial" w:cs="Arial"/>
                <w:b/>
                <w:bCs/>
                <w:color w:val="000000"/>
                <w:sz w:val="14"/>
                <w:szCs w:val="14"/>
                <w:lang w:eastAsia="es-MX"/>
              </w:rPr>
              <w:t>Total</w:t>
            </w:r>
          </w:p>
        </w:tc>
      </w:tr>
      <w:tr w:rsidR="00493A57" w:rsidRPr="00C20EA5" w:rsidTr="00493A57">
        <w:trPr>
          <w:cantSplit/>
          <w:trHeight w:val="315"/>
          <w:jc w:val="center"/>
        </w:trPr>
        <w:tc>
          <w:tcPr>
            <w:tcW w:w="119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93A57" w:rsidRPr="00CC5535" w:rsidRDefault="00493A57" w:rsidP="00493A57">
            <w:pPr>
              <w:jc w:val="center"/>
              <w:rPr>
                <w:rFonts w:ascii="Arial" w:hAnsi="Arial" w:cs="Arial"/>
                <w:b/>
                <w:bCs/>
                <w:color w:val="000000" w:themeColor="text1"/>
                <w:sz w:val="14"/>
                <w:szCs w:val="14"/>
                <w:lang w:eastAsia="es-MX"/>
              </w:rPr>
            </w:pPr>
            <w:r w:rsidRPr="00CC5535">
              <w:rPr>
                <w:rFonts w:ascii="Arial" w:hAnsi="Arial" w:cs="Arial"/>
                <w:color w:val="000000" w:themeColor="text1"/>
                <w:sz w:val="16"/>
                <w:szCs w:val="16"/>
              </w:rPr>
              <w:t>Fideicomiso Fondo para la Vivienda de los Trabajadores de la Educación</w:t>
            </w:r>
          </w:p>
        </w:tc>
        <w:tc>
          <w:tcPr>
            <w:tcW w:w="591"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93A57" w:rsidRPr="00CC5535" w:rsidRDefault="00493A57" w:rsidP="00493A57">
            <w:pPr>
              <w:jc w:val="center"/>
              <w:rPr>
                <w:rFonts w:ascii="Arial" w:hAnsi="Arial" w:cs="Arial"/>
                <w:b/>
                <w:bCs/>
                <w:color w:val="000000" w:themeColor="text1"/>
                <w:sz w:val="14"/>
                <w:szCs w:val="14"/>
                <w:lang w:eastAsia="es-MX"/>
              </w:rPr>
            </w:pPr>
            <w:r w:rsidRPr="00CC5535">
              <w:rPr>
                <w:rFonts w:ascii="Arial" w:hAnsi="Arial" w:cs="Arial"/>
                <w:b/>
                <w:bCs/>
                <w:color w:val="000000" w:themeColor="text1"/>
                <w:sz w:val="14"/>
                <w:szCs w:val="14"/>
                <w:lang w:eastAsia="es-MX"/>
              </w:rPr>
              <w:t>1</w:t>
            </w:r>
          </w:p>
        </w:tc>
        <w:tc>
          <w:tcPr>
            <w:tcW w:w="58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93A57" w:rsidRPr="00CC5535" w:rsidRDefault="00493A57" w:rsidP="00493A57">
            <w:pPr>
              <w:jc w:val="center"/>
              <w:rPr>
                <w:rFonts w:ascii="Arial" w:hAnsi="Arial" w:cs="Arial"/>
                <w:b/>
                <w:bCs/>
                <w:color w:val="000000" w:themeColor="text1"/>
                <w:sz w:val="14"/>
                <w:szCs w:val="14"/>
                <w:lang w:eastAsia="es-MX"/>
              </w:rPr>
            </w:pPr>
            <w:r w:rsidRPr="00CC5535">
              <w:rPr>
                <w:rFonts w:ascii="Arial" w:hAnsi="Arial" w:cs="Arial"/>
                <w:b/>
                <w:bCs/>
                <w:color w:val="000000" w:themeColor="text1"/>
                <w:sz w:val="14"/>
                <w:szCs w:val="14"/>
                <w:lang w:eastAsia="es-MX"/>
              </w:rPr>
              <w:t>-</w:t>
            </w:r>
          </w:p>
        </w:tc>
        <w:tc>
          <w:tcPr>
            <w:tcW w:w="50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93A57" w:rsidRPr="00CC5535" w:rsidRDefault="00493A57" w:rsidP="00493A57">
            <w:pPr>
              <w:jc w:val="center"/>
              <w:rPr>
                <w:rFonts w:ascii="Arial" w:hAnsi="Arial" w:cs="Arial"/>
                <w:b/>
                <w:bCs/>
                <w:color w:val="000000" w:themeColor="text1"/>
                <w:sz w:val="14"/>
                <w:szCs w:val="14"/>
                <w:lang w:eastAsia="es-MX"/>
              </w:rPr>
            </w:pPr>
            <w:r w:rsidRPr="00CC5535">
              <w:rPr>
                <w:rFonts w:ascii="Arial" w:hAnsi="Arial" w:cs="Arial"/>
                <w:b/>
                <w:bCs/>
                <w:color w:val="000000" w:themeColor="text1"/>
                <w:sz w:val="14"/>
                <w:szCs w:val="14"/>
                <w:lang w:eastAsia="es-MX"/>
              </w:rPr>
              <w:t>-</w:t>
            </w:r>
          </w:p>
        </w:tc>
        <w:tc>
          <w:tcPr>
            <w:tcW w:w="58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93A57" w:rsidRPr="00CC5535" w:rsidRDefault="00493A57" w:rsidP="00493A57">
            <w:pPr>
              <w:jc w:val="center"/>
              <w:rPr>
                <w:rFonts w:ascii="Arial" w:hAnsi="Arial" w:cs="Arial"/>
                <w:b/>
                <w:bCs/>
                <w:color w:val="000000" w:themeColor="text1"/>
                <w:sz w:val="14"/>
                <w:szCs w:val="14"/>
                <w:lang w:eastAsia="es-MX"/>
              </w:rPr>
            </w:pPr>
            <w:r w:rsidRPr="00CC5535">
              <w:rPr>
                <w:rFonts w:ascii="Arial" w:hAnsi="Arial" w:cs="Arial"/>
                <w:b/>
                <w:bCs/>
                <w:color w:val="000000" w:themeColor="text1"/>
                <w:sz w:val="14"/>
                <w:szCs w:val="14"/>
                <w:lang w:eastAsia="es-MX"/>
              </w:rPr>
              <w:t>-</w:t>
            </w:r>
          </w:p>
        </w:tc>
        <w:tc>
          <w:tcPr>
            <w:tcW w:w="58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93A57" w:rsidRPr="00CC5535" w:rsidRDefault="00493A57" w:rsidP="00493A57">
            <w:pPr>
              <w:jc w:val="center"/>
              <w:rPr>
                <w:rFonts w:ascii="Arial" w:hAnsi="Arial" w:cs="Arial"/>
                <w:b/>
                <w:bCs/>
                <w:color w:val="000000" w:themeColor="text1"/>
                <w:sz w:val="14"/>
                <w:szCs w:val="14"/>
                <w:lang w:eastAsia="es-MX"/>
              </w:rPr>
            </w:pPr>
            <w:r w:rsidRPr="00CC5535">
              <w:rPr>
                <w:rFonts w:ascii="Arial" w:hAnsi="Arial" w:cs="Arial"/>
                <w:b/>
                <w:bCs/>
                <w:color w:val="000000" w:themeColor="text1"/>
                <w:sz w:val="14"/>
                <w:szCs w:val="14"/>
                <w:lang w:eastAsia="es-MX"/>
              </w:rPr>
              <w:t>-</w:t>
            </w:r>
          </w:p>
        </w:tc>
        <w:tc>
          <w:tcPr>
            <w:tcW w:w="58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93A57" w:rsidRPr="00CC5535" w:rsidRDefault="00493A57" w:rsidP="00493A57">
            <w:pPr>
              <w:jc w:val="center"/>
              <w:rPr>
                <w:rFonts w:ascii="Arial" w:hAnsi="Arial" w:cs="Arial"/>
                <w:b/>
                <w:bCs/>
                <w:color w:val="000000" w:themeColor="text1"/>
                <w:sz w:val="14"/>
                <w:szCs w:val="14"/>
                <w:lang w:eastAsia="es-MX"/>
              </w:rPr>
            </w:pPr>
            <w:r w:rsidRPr="00CC5535">
              <w:rPr>
                <w:rFonts w:ascii="Arial" w:hAnsi="Arial" w:cs="Arial"/>
                <w:b/>
                <w:bCs/>
                <w:color w:val="000000" w:themeColor="text1"/>
                <w:sz w:val="14"/>
                <w:szCs w:val="14"/>
                <w:lang w:eastAsia="es-MX"/>
              </w:rPr>
              <w:t>-</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93A57" w:rsidRPr="00CC5535" w:rsidRDefault="00493A57" w:rsidP="00493A57">
            <w:pPr>
              <w:jc w:val="center"/>
              <w:rPr>
                <w:rFonts w:ascii="Arial" w:hAnsi="Arial" w:cs="Arial"/>
                <w:b/>
                <w:bCs/>
                <w:color w:val="000000" w:themeColor="text1"/>
                <w:sz w:val="14"/>
                <w:szCs w:val="14"/>
                <w:lang w:eastAsia="es-MX"/>
              </w:rPr>
            </w:pPr>
            <w:r w:rsidRPr="00CC5535">
              <w:rPr>
                <w:rFonts w:ascii="Arial" w:hAnsi="Arial" w:cs="Arial"/>
                <w:b/>
                <w:bCs/>
                <w:color w:val="000000" w:themeColor="text1"/>
                <w:sz w:val="14"/>
                <w:szCs w:val="14"/>
                <w:lang w:eastAsia="es-MX"/>
              </w:rPr>
              <w:t>1</w:t>
            </w:r>
          </w:p>
        </w:tc>
      </w:tr>
    </w:tbl>
    <w:p w:rsidR="00B208A1" w:rsidRDefault="00493A57" w:rsidP="00493A57">
      <w:pPr>
        <w:spacing w:before="34" w:line="250" w:lineRule="auto"/>
        <w:ind w:right="49"/>
        <w:jc w:val="center"/>
        <w:rPr>
          <w:rFonts w:ascii="Arial" w:hAnsi="Arial" w:cs="Arial"/>
          <w:bCs/>
          <w:sz w:val="16"/>
        </w:rPr>
      </w:pPr>
      <w:r w:rsidRPr="00840318">
        <w:rPr>
          <w:rFonts w:ascii="Arial" w:eastAsia="Arial" w:hAnsi="Arial" w:cs="Arial"/>
          <w:bCs/>
          <w:smallCaps/>
          <w:sz w:val="16"/>
        </w:rPr>
        <w:lastRenderedPageBreak/>
        <w:t>Cuadro. Auditorías programadas por ente público y tipo de auditoría</w:t>
      </w:r>
    </w:p>
    <w:p w:rsidR="00493A57" w:rsidRPr="00493A57" w:rsidRDefault="00493A57" w:rsidP="00493A57">
      <w:pPr>
        <w:spacing w:before="34" w:line="250" w:lineRule="auto"/>
        <w:ind w:right="49"/>
        <w:jc w:val="center"/>
        <w:rPr>
          <w:rFonts w:ascii="Arial" w:hAnsi="Arial" w:cs="Arial"/>
          <w:bCs/>
          <w:sz w:val="16"/>
        </w:rPr>
      </w:pPr>
    </w:p>
    <w:p w:rsidR="0077749F" w:rsidRPr="0077749F" w:rsidRDefault="0077749F" w:rsidP="0077749F">
      <w:pPr>
        <w:spacing w:after="0"/>
        <w:ind w:firstLine="567"/>
        <w:jc w:val="both"/>
        <w:rPr>
          <w:rFonts w:ascii="Arial" w:eastAsia="Times New Roman" w:hAnsi="Arial" w:cs="Arial"/>
          <w:sz w:val="24"/>
          <w:lang w:eastAsia="es-ES"/>
        </w:rPr>
      </w:pPr>
      <w:r w:rsidRPr="0077749F">
        <w:rPr>
          <w:rFonts w:ascii="Arial" w:eastAsia="Times New Roman" w:hAnsi="Arial" w:cs="Arial"/>
          <w:sz w:val="24"/>
          <w:lang w:eastAsia="es-ES"/>
        </w:rPr>
        <w:t>•</w:t>
      </w:r>
      <w:r w:rsidRPr="0077749F">
        <w:rPr>
          <w:rFonts w:ascii="Arial" w:eastAsia="Times New Roman" w:hAnsi="Arial" w:cs="Arial"/>
          <w:sz w:val="24"/>
          <w:lang w:eastAsia="es-ES"/>
        </w:rPr>
        <w:tab/>
      </w:r>
      <w:r w:rsidRPr="0077749F">
        <w:rPr>
          <w:rFonts w:ascii="Arial" w:eastAsia="Times New Roman" w:hAnsi="Arial" w:cs="Arial"/>
          <w:b/>
          <w:sz w:val="24"/>
          <w:lang w:eastAsia="es-ES"/>
        </w:rPr>
        <w:t>Objetivos y alcances de la revisión practicada</w:t>
      </w:r>
      <w:r w:rsidRPr="0077749F">
        <w:rPr>
          <w:rFonts w:ascii="Arial" w:eastAsia="Times New Roman" w:hAnsi="Arial" w:cs="Arial"/>
          <w:sz w:val="24"/>
          <w:lang w:eastAsia="es-ES"/>
        </w:rPr>
        <w:t xml:space="preserve"> </w:t>
      </w:r>
    </w:p>
    <w:p w:rsidR="0077749F" w:rsidRPr="0077749F" w:rsidRDefault="0077749F" w:rsidP="0077749F">
      <w:pPr>
        <w:spacing w:after="0"/>
        <w:ind w:firstLine="567"/>
        <w:jc w:val="both"/>
        <w:rPr>
          <w:rFonts w:ascii="Arial" w:eastAsia="Times New Roman" w:hAnsi="Arial" w:cs="Arial"/>
          <w:sz w:val="24"/>
          <w:lang w:eastAsia="es-ES"/>
        </w:rPr>
      </w:pPr>
    </w:p>
    <w:p w:rsidR="0077749F" w:rsidRPr="0077749F" w:rsidRDefault="0077749F" w:rsidP="00322FAE">
      <w:pPr>
        <w:spacing w:after="0" w:line="360" w:lineRule="auto"/>
        <w:ind w:firstLine="567"/>
        <w:jc w:val="both"/>
        <w:rPr>
          <w:rFonts w:ascii="Arial" w:eastAsia="Times New Roman" w:hAnsi="Arial" w:cs="Arial"/>
          <w:sz w:val="24"/>
          <w:lang w:eastAsia="es-ES"/>
        </w:rPr>
      </w:pPr>
      <w:r w:rsidRPr="0077749F">
        <w:rPr>
          <w:rFonts w:ascii="Arial" w:eastAsia="Times New Roman" w:hAnsi="Arial" w:cs="Arial"/>
          <w:sz w:val="24"/>
          <w:lang w:eastAsia="es-ES"/>
        </w:rPr>
        <w:t>En la implementación y ejecución del Programa Anual de Auditoría</w:t>
      </w:r>
      <w:r w:rsidR="00493A57">
        <w:rPr>
          <w:rFonts w:ascii="Arial" w:eastAsia="Times New Roman" w:hAnsi="Arial" w:cs="Arial"/>
          <w:sz w:val="24"/>
          <w:lang w:eastAsia="es-ES"/>
        </w:rPr>
        <w:t>s 2016</w:t>
      </w:r>
      <w:r w:rsidRPr="0077749F">
        <w:rPr>
          <w:rFonts w:ascii="Arial" w:eastAsia="Times New Roman" w:hAnsi="Arial" w:cs="Arial"/>
          <w:sz w:val="24"/>
          <w:lang w:eastAsia="es-ES"/>
        </w:rPr>
        <w:t xml:space="preserve"> para la revisión y fiscalización de las Cuentas Públicas correspondientes al </w:t>
      </w:r>
      <w:r w:rsidR="00493A57">
        <w:rPr>
          <w:rFonts w:ascii="Arial" w:eastAsia="Times New Roman" w:hAnsi="Arial" w:cs="Arial"/>
          <w:sz w:val="24"/>
          <w:lang w:eastAsia="es-ES"/>
        </w:rPr>
        <w:t>ejercicio 2015</w:t>
      </w:r>
      <w:r w:rsidRPr="0077749F">
        <w:rPr>
          <w:rFonts w:ascii="Arial" w:eastAsia="Times New Roman" w:hAnsi="Arial" w:cs="Arial"/>
          <w:sz w:val="24"/>
          <w:lang w:eastAsia="es-ES"/>
        </w:rPr>
        <w:t>, entre las cuales se encuentra el Ente Público auditado en cuestión, se</w:t>
      </w:r>
      <w:r>
        <w:rPr>
          <w:rFonts w:ascii="Arial" w:eastAsia="Times New Roman" w:hAnsi="Arial" w:cs="Arial"/>
          <w:sz w:val="24"/>
          <w:lang w:eastAsia="es-ES"/>
        </w:rPr>
        <w:t xml:space="preserve"> </w:t>
      </w:r>
      <w:r w:rsidRPr="0077749F">
        <w:rPr>
          <w:rFonts w:ascii="Arial" w:eastAsia="Times New Roman" w:hAnsi="Arial" w:cs="Arial"/>
          <w:sz w:val="24"/>
          <w:lang w:eastAsia="es-ES"/>
        </w:rPr>
        <w:t>observaron métodos y criterios objetivos,</w:t>
      </w:r>
      <w:r w:rsidR="00322FAE">
        <w:rPr>
          <w:rFonts w:ascii="Arial" w:eastAsia="Times New Roman" w:hAnsi="Arial" w:cs="Arial"/>
          <w:sz w:val="24"/>
          <w:lang w:eastAsia="es-ES"/>
        </w:rPr>
        <w:t xml:space="preserve"> en las que se aplicaron</w:t>
      </w:r>
      <w:r w:rsidRPr="0077749F">
        <w:rPr>
          <w:rFonts w:ascii="Arial" w:eastAsia="Times New Roman" w:hAnsi="Arial" w:cs="Arial"/>
          <w:sz w:val="24"/>
          <w:lang w:eastAsia="es-ES"/>
        </w:rPr>
        <w:t xml:space="preserve"> las mejores prácticas y procedimientos de auditoría.</w:t>
      </w:r>
    </w:p>
    <w:p w:rsidR="0077749F" w:rsidRPr="0077749F" w:rsidRDefault="0077749F" w:rsidP="0077749F">
      <w:pPr>
        <w:spacing w:after="0"/>
        <w:ind w:firstLine="567"/>
        <w:jc w:val="both"/>
        <w:rPr>
          <w:rFonts w:ascii="Arial" w:eastAsia="Times New Roman" w:hAnsi="Arial" w:cs="Arial"/>
          <w:sz w:val="24"/>
          <w:lang w:eastAsia="es-ES"/>
        </w:rPr>
      </w:pPr>
    </w:p>
    <w:p w:rsidR="0077749F" w:rsidRDefault="0077749F" w:rsidP="00322FAE">
      <w:pPr>
        <w:spacing w:after="0" w:line="360" w:lineRule="auto"/>
        <w:ind w:firstLine="567"/>
        <w:jc w:val="both"/>
        <w:rPr>
          <w:rFonts w:ascii="Arial" w:eastAsia="Times New Roman" w:hAnsi="Arial" w:cs="Arial"/>
          <w:sz w:val="24"/>
          <w:lang w:eastAsia="es-ES"/>
        </w:rPr>
      </w:pPr>
      <w:r w:rsidRPr="0077749F">
        <w:rPr>
          <w:rFonts w:ascii="Arial" w:eastAsia="Times New Roman" w:hAnsi="Arial" w:cs="Arial"/>
          <w:sz w:val="24"/>
          <w:lang w:eastAsia="es-ES"/>
        </w:rPr>
        <w:t xml:space="preserve">En ese sentido, </w:t>
      </w:r>
      <w:r w:rsidR="00322FAE">
        <w:rPr>
          <w:rFonts w:ascii="Arial" w:eastAsia="Times New Roman" w:hAnsi="Arial" w:cs="Arial"/>
          <w:sz w:val="24"/>
          <w:lang w:eastAsia="es-ES"/>
        </w:rPr>
        <w:t xml:space="preserve">y </w:t>
      </w:r>
      <w:r w:rsidRPr="0077749F">
        <w:rPr>
          <w:rFonts w:ascii="Arial" w:eastAsia="Times New Roman" w:hAnsi="Arial" w:cs="Arial"/>
          <w:sz w:val="24"/>
          <w:lang w:eastAsia="es-ES"/>
        </w:rPr>
        <w:t>en observancia de lo preceptuado en los artículos 18, 19, 31 y 32 de la Ley de Fiscalización Superior del Estado y acorde en cada caso con el tipo o materia de auditoría practicada, en los términos previamente anunciados, el objeto y alcances de la revisión y fiscalización, fue el siguiente:</w:t>
      </w:r>
    </w:p>
    <w:p w:rsidR="00B208A1" w:rsidRPr="0077749F" w:rsidRDefault="00B208A1" w:rsidP="00322FAE">
      <w:pPr>
        <w:spacing w:after="0" w:line="360" w:lineRule="auto"/>
        <w:ind w:firstLine="567"/>
        <w:jc w:val="both"/>
        <w:rPr>
          <w:rFonts w:ascii="Arial" w:eastAsia="Times New Roman" w:hAnsi="Arial" w:cs="Arial"/>
          <w:sz w:val="24"/>
          <w:lang w:eastAsia="es-ES"/>
        </w:rPr>
      </w:pPr>
    </w:p>
    <w:p w:rsidR="009C0345" w:rsidRPr="00B67BEE" w:rsidRDefault="009C0345" w:rsidP="009C0345">
      <w:pPr>
        <w:spacing w:after="0"/>
        <w:jc w:val="both"/>
        <w:rPr>
          <w:rFonts w:ascii="Arial" w:eastAsia="Times New Roman" w:hAnsi="Arial" w:cs="Arial"/>
          <w:sz w:val="24"/>
          <w:lang w:eastAsia="es-ES"/>
        </w:rPr>
      </w:pPr>
    </w:p>
    <w:p w:rsidR="009C0345" w:rsidRPr="00B67BEE" w:rsidRDefault="009C0345" w:rsidP="009C0345">
      <w:pPr>
        <w:numPr>
          <w:ilvl w:val="0"/>
          <w:numId w:val="6"/>
        </w:numPr>
        <w:spacing w:after="0"/>
        <w:ind w:left="567" w:hanging="425"/>
        <w:contextualSpacing/>
        <w:jc w:val="both"/>
        <w:rPr>
          <w:rFonts w:ascii="Arial" w:eastAsia="Times New Roman" w:hAnsi="Arial" w:cs="Arial"/>
          <w:sz w:val="24"/>
          <w:szCs w:val="24"/>
          <w:lang w:eastAsia="es-ES"/>
        </w:rPr>
      </w:pPr>
      <w:r w:rsidRPr="00B67BEE">
        <w:rPr>
          <w:rFonts w:ascii="Arial" w:eastAsia="Times New Roman" w:hAnsi="Arial" w:cs="Arial"/>
          <w:sz w:val="24"/>
          <w:szCs w:val="24"/>
          <w:lang w:eastAsia="es-ES"/>
        </w:rPr>
        <w:t>Para evaluar los resultados de la Gestión Financiera, se verificó:</w:t>
      </w:r>
    </w:p>
    <w:p w:rsidR="009C0345" w:rsidRPr="00B67BEE" w:rsidRDefault="009C0345" w:rsidP="009C0345">
      <w:pPr>
        <w:spacing w:after="0"/>
        <w:ind w:left="993" w:hanging="284"/>
        <w:jc w:val="both"/>
        <w:rPr>
          <w:rFonts w:ascii="Arial" w:eastAsia="Times New Roman" w:hAnsi="Arial" w:cs="Arial"/>
          <w:sz w:val="24"/>
          <w:szCs w:val="24"/>
          <w:lang w:eastAsia="es-ES"/>
        </w:rPr>
      </w:pPr>
    </w:p>
    <w:p w:rsidR="009C0345" w:rsidRPr="00B67BEE" w:rsidRDefault="00322FAE" w:rsidP="00F072A9">
      <w:pPr>
        <w:numPr>
          <w:ilvl w:val="1"/>
          <w:numId w:val="5"/>
        </w:numPr>
        <w:spacing w:after="0" w:line="36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Si se cumplieron</w:t>
      </w:r>
      <w:r w:rsidR="009C0345" w:rsidRPr="00B67BEE">
        <w:rPr>
          <w:rFonts w:ascii="Arial" w:eastAsia="Times New Roman" w:hAnsi="Arial" w:cs="Arial"/>
          <w:sz w:val="24"/>
          <w:szCs w:val="24"/>
          <w:lang w:eastAsia="es-ES"/>
        </w:rPr>
        <w:t xml:space="preserve"> las disposiciones jurídicas aplicables en materia de sistemas de registro y contabilidad gubernamental; contratación de servicios, obra pública, adquisiciones, arrendamientos, conservación, uso, usufructo, destino, afectación, enajenación y baja de bienes muebles e inmuebles; almacenes y demás activos; recursos materiales, y demás normatividad aplicable al ejercicio del gasto público; y</w:t>
      </w:r>
    </w:p>
    <w:p w:rsidR="009C0345" w:rsidRPr="00B67BEE" w:rsidRDefault="009C0345" w:rsidP="009C0345">
      <w:pPr>
        <w:spacing w:after="0"/>
        <w:ind w:left="993" w:hanging="284"/>
        <w:jc w:val="both"/>
        <w:rPr>
          <w:rFonts w:ascii="Arial" w:eastAsia="Times New Roman" w:hAnsi="Arial" w:cs="Arial"/>
          <w:sz w:val="24"/>
          <w:szCs w:val="24"/>
          <w:lang w:eastAsia="es-ES"/>
        </w:rPr>
      </w:pPr>
    </w:p>
    <w:p w:rsidR="009C0345" w:rsidRPr="00B67BEE" w:rsidRDefault="009C0345" w:rsidP="00F072A9">
      <w:pPr>
        <w:numPr>
          <w:ilvl w:val="1"/>
          <w:numId w:val="5"/>
        </w:numPr>
        <w:spacing w:after="0" w:line="360" w:lineRule="auto"/>
        <w:ind w:left="851"/>
        <w:jc w:val="both"/>
        <w:rPr>
          <w:rFonts w:ascii="Arial" w:eastAsia="Times New Roman" w:hAnsi="Arial" w:cs="Arial"/>
          <w:szCs w:val="24"/>
          <w:lang w:eastAsia="es-ES"/>
        </w:rPr>
      </w:pPr>
      <w:r w:rsidRPr="00B67BEE">
        <w:rPr>
          <w:rFonts w:ascii="Arial" w:eastAsia="Times New Roman" w:hAnsi="Arial" w:cs="Arial"/>
          <w:sz w:val="24"/>
          <w:szCs w:val="24"/>
          <w:lang w:eastAsia="es-ES"/>
        </w:rPr>
        <w:lastRenderedPageBreak/>
        <w:t>Si la captación, recaudación, administración, custodia, manejo, ejercicio y aplicación de recursos, incluyendo subsidios, transferencias y donativos, y si los actos, contratos, convenios, mandatos, fondos, fideicomisos, prestación de servicios públicos, operaciones o cualquier acto que los Entes Públicos, celebren o realicen, relacionados con el ingreso y el ejercicio del gasto público, se ajustaron a la legalidad, y si no han causado daños o perjuicios, o ambos, en contra de la Hacienda Pública Estatal o Municipal, o al Patrimonio de los Entes Públicos.</w:t>
      </w:r>
    </w:p>
    <w:p w:rsidR="009C0345" w:rsidRPr="00B67BEE" w:rsidRDefault="009C0345" w:rsidP="009C0345">
      <w:pPr>
        <w:spacing w:after="0"/>
        <w:ind w:left="993" w:hanging="284"/>
        <w:jc w:val="both"/>
        <w:rPr>
          <w:rFonts w:ascii="Arial" w:eastAsia="Times New Roman" w:hAnsi="Arial" w:cs="Arial"/>
          <w:sz w:val="24"/>
          <w:szCs w:val="24"/>
          <w:lang w:eastAsia="es-ES"/>
        </w:rPr>
      </w:pPr>
    </w:p>
    <w:p w:rsidR="009C0345" w:rsidRPr="00B67BEE" w:rsidRDefault="009C0345" w:rsidP="00F072A9">
      <w:pPr>
        <w:numPr>
          <w:ilvl w:val="0"/>
          <w:numId w:val="6"/>
        </w:numPr>
        <w:spacing w:after="0" w:line="360" w:lineRule="auto"/>
        <w:ind w:left="567" w:hanging="425"/>
        <w:contextualSpacing/>
        <w:jc w:val="both"/>
        <w:rPr>
          <w:rFonts w:ascii="Arial" w:eastAsia="Times New Roman" w:hAnsi="Arial" w:cs="Arial"/>
          <w:sz w:val="24"/>
          <w:szCs w:val="24"/>
          <w:lang w:eastAsia="es-ES"/>
        </w:rPr>
      </w:pPr>
      <w:r w:rsidRPr="00B67BEE">
        <w:rPr>
          <w:rFonts w:ascii="Arial" w:eastAsia="Times New Roman" w:hAnsi="Arial" w:cs="Arial"/>
          <w:sz w:val="24"/>
          <w:szCs w:val="24"/>
          <w:lang w:eastAsia="es-ES"/>
        </w:rPr>
        <w:t>Para comprobar si el ejercicio de las Leyes de Ingresos y  Egresos, y sus respectivos Presupuestos se ajustaron a los criterios señalados en los mismos; se revisó:</w:t>
      </w:r>
    </w:p>
    <w:p w:rsidR="009C0345" w:rsidRPr="00B67BEE" w:rsidRDefault="009C0345" w:rsidP="009C0345">
      <w:pPr>
        <w:spacing w:after="0"/>
        <w:ind w:left="993" w:hanging="284"/>
        <w:jc w:val="both"/>
        <w:rPr>
          <w:rFonts w:ascii="Arial" w:eastAsia="Times New Roman" w:hAnsi="Arial" w:cs="Arial"/>
          <w:sz w:val="24"/>
          <w:szCs w:val="24"/>
          <w:lang w:eastAsia="es-ES"/>
        </w:rPr>
      </w:pPr>
    </w:p>
    <w:p w:rsidR="009C0345" w:rsidRPr="00B67BEE" w:rsidRDefault="009C0345" w:rsidP="00F072A9">
      <w:pPr>
        <w:numPr>
          <w:ilvl w:val="0"/>
          <w:numId w:val="7"/>
        </w:numPr>
        <w:spacing w:after="0" w:line="360" w:lineRule="auto"/>
        <w:ind w:left="851"/>
        <w:jc w:val="both"/>
        <w:rPr>
          <w:rFonts w:ascii="Arial" w:eastAsia="Times New Roman" w:hAnsi="Arial" w:cs="Arial"/>
          <w:sz w:val="24"/>
          <w:szCs w:val="24"/>
          <w:lang w:eastAsia="es-ES"/>
        </w:rPr>
      </w:pPr>
      <w:r w:rsidRPr="00B67BEE">
        <w:rPr>
          <w:rFonts w:ascii="Arial" w:eastAsia="Times New Roman" w:hAnsi="Arial" w:cs="Arial"/>
          <w:sz w:val="24"/>
          <w:szCs w:val="24"/>
          <w:lang w:eastAsia="es-ES"/>
        </w:rPr>
        <w:t>Si las cantidades correspondientes a los ingresos y a los egresos, se ajustaron o corresponden a los conceptos y a las partidas respectivas;</w:t>
      </w:r>
    </w:p>
    <w:p w:rsidR="009C0345" w:rsidRPr="00B67BEE" w:rsidRDefault="009C0345" w:rsidP="00F072A9">
      <w:pPr>
        <w:spacing w:after="0" w:line="360" w:lineRule="auto"/>
        <w:ind w:left="993" w:hanging="284"/>
        <w:jc w:val="both"/>
        <w:rPr>
          <w:rFonts w:ascii="Arial" w:eastAsia="Times New Roman" w:hAnsi="Arial" w:cs="Arial"/>
          <w:sz w:val="24"/>
          <w:szCs w:val="24"/>
          <w:lang w:eastAsia="es-ES"/>
        </w:rPr>
      </w:pPr>
    </w:p>
    <w:p w:rsidR="009C0345" w:rsidRPr="00B67BEE" w:rsidRDefault="009C0345" w:rsidP="00F072A9">
      <w:pPr>
        <w:numPr>
          <w:ilvl w:val="0"/>
          <w:numId w:val="7"/>
        </w:numPr>
        <w:spacing w:after="0" w:line="360" w:lineRule="auto"/>
        <w:ind w:left="851"/>
        <w:jc w:val="both"/>
        <w:rPr>
          <w:rFonts w:ascii="Arial" w:eastAsia="Times New Roman" w:hAnsi="Arial" w:cs="Arial"/>
          <w:sz w:val="24"/>
          <w:szCs w:val="24"/>
          <w:lang w:eastAsia="es-ES"/>
        </w:rPr>
      </w:pPr>
      <w:r w:rsidRPr="00B67BEE">
        <w:rPr>
          <w:rFonts w:ascii="Arial" w:eastAsia="Times New Roman" w:hAnsi="Arial" w:cs="Arial"/>
          <w:sz w:val="24"/>
          <w:szCs w:val="24"/>
          <w:lang w:eastAsia="es-ES"/>
        </w:rPr>
        <w:t>Si los programas y su ejecución se ajustaron a los términos y montos aprobados en el Presupuesto; y</w:t>
      </w:r>
    </w:p>
    <w:p w:rsidR="009C0345" w:rsidRPr="00B67BEE" w:rsidRDefault="009C0345" w:rsidP="00F072A9">
      <w:pPr>
        <w:spacing w:after="0" w:line="360" w:lineRule="auto"/>
        <w:ind w:left="993" w:hanging="284"/>
        <w:jc w:val="both"/>
        <w:rPr>
          <w:rFonts w:ascii="Arial" w:eastAsia="Times New Roman" w:hAnsi="Arial" w:cs="Arial"/>
          <w:sz w:val="24"/>
          <w:szCs w:val="24"/>
          <w:lang w:eastAsia="es-ES"/>
        </w:rPr>
      </w:pPr>
    </w:p>
    <w:p w:rsidR="009C0345" w:rsidRPr="00B67BEE" w:rsidRDefault="009C0345" w:rsidP="00F072A9">
      <w:pPr>
        <w:numPr>
          <w:ilvl w:val="0"/>
          <w:numId w:val="7"/>
        </w:numPr>
        <w:spacing w:after="0" w:line="360" w:lineRule="auto"/>
        <w:ind w:left="851"/>
        <w:jc w:val="both"/>
        <w:rPr>
          <w:rFonts w:ascii="Arial" w:eastAsia="Times New Roman" w:hAnsi="Arial" w:cs="Arial"/>
          <w:sz w:val="24"/>
          <w:szCs w:val="24"/>
          <w:lang w:eastAsia="es-ES"/>
        </w:rPr>
      </w:pPr>
      <w:r w:rsidRPr="00B67BEE">
        <w:rPr>
          <w:rFonts w:ascii="Arial" w:eastAsia="Times New Roman" w:hAnsi="Arial" w:cs="Arial"/>
          <w:sz w:val="24"/>
          <w:szCs w:val="24"/>
          <w:lang w:eastAsia="es-ES"/>
        </w:rPr>
        <w:t>Si los recursos provenientes de financiamientos se obtuvieron en los términos autorizados y se aplicaron con la periodicidad y formas establecidas por las leyes y demás disposiciones aplicables, y si se cumplieron los compromisos adquiridos en los actos respectivos.</w:t>
      </w:r>
    </w:p>
    <w:p w:rsidR="009C0345" w:rsidRPr="00B67BEE" w:rsidRDefault="009C0345" w:rsidP="009C0345">
      <w:pPr>
        <w:spacing w:after="0"/>
        <w:ind w:left="993" w:hanging="284"/>
        <w:jc w:val="both"/>
        <w:rPr>
          <w:rFonts w:ascii="Arial" w:eastAsia="Times New Roman" w:hAnsi="Arial" w:cs="Arial"/>
          <w:sz w:val="24"/>
          <w:szCs w:val="24"/>
          <w:lang w:eastAsia="es-ES"/>
        </w:rPr>
      </w:pPr>
    </w:p>
    <w:p w:rsidR="009C0345" w:rsidRPr="0077749F" w:rsidRDefault="009C0345" w:rsidP="0077749F">
      <w:pPr>
        <w:numPr>
          <w:ilvl w:val="0"/>
          <w:numId w:val="6"/>
        </w:numPr>
        <w:spacing w:after="0" w:line="360" w:lineRule="auto"/>
        <w:contextualSpacing/>
        <w:jc w:val="both"/>
        <w:rPr>
          <w:rFonts w:ascii="Arial" w:eastAsia="Times New Roman" w:hAnsi="Arial" w:cs="Arial"/>
          <w:sz w:val="24"/>
          <w:szCs w:val="24"/>
          <w:lang w:eastAsia="es-ES"/>
        </w:rPr>
      </w:pPr>
      <w:r w:rsidRPr="00B67BEE">
        <w:rPr>
          <w:rFonts w:ascii="Arial" w:eastAsia="Times New Roman" w:hAnsi="Arial" w:cs="Arial"/>
          <w:sz w:val="24"/>
          <w:szCs w:val="24"/>
          <w:lang w:eastAsia="es-ES"/>
        </w:rPr>
        <w:lastRenderedPageBreak/>
        <w:t>Además, se realizaron pruebas de auditoría a fin de evaluar el cumplimiento de las leyes, los reglamentos y la normatividad aplicables en la ma</w:t>
      </w:r>
      <w:r w:rsidR="0077749F">
        <w:rPr>
          <w:rFonts w:ascii="Arial" w:eastAsia="Times New Roman" w:hAnsi="Arial" w:cs="Arial"/>
          <w:sz w:val="24"/>
          <w:szCs w:val="24"/>
          <w:lang w:eastAsia="es-ES"/>
        </w:rPr>
        <w:t>teria de la gestión financiera,</w:t>
      </w:r>
      <w:r w:rsidR="0077749F" w:rsidRPr="0077749F">
        <w:t xml:space="preserve"> </w:t>
      </w:r>
      <w:r w:rsidR="0077749F" w:rsidRPr="0077749F">
        <w:rPr>
          <w:rFonts w:ascii="Arial" w:eastAsia="Times New Roman" w:hAnsi="Arial" w:cs="Arial"/>
          <w:sz w:val="24"/>
          <w:szCs w:val="24"/>
          <w:lang w:eastAsia="es-ES"/>
        </w:rPr>
        <w:t>así como de los planes de desarrollo y lo</w:t>
      </w:r>
      <w:r w:rsidR="0077749F">
        <w:rPr>
          <w:rFonts w:ascii="Arial" w:eastAsia="Times New Roman" w:hAnsi="Arial" w:cs="Arial"/>
          <w:sz w:val="24"/>
          <w:szCs w:val="24"/>
          <w:lang w:eastAsia="es-ES"/>
        </w:rPr>
        <w:t>s programas operativos anuales.</w:t>
      </w:r>
      <w:r w:rsidR="0077749F" w:rsidRPr="0077749F">
        <w:rPr>
          <w:rFonts w:ascii="Arial" w:eastAsia="Times New Roman" w:hAnsi="Arial" w:cs="Arial"/>
          <w:sz w:val="24"/>
          <w:szCs w:val="24"/>
          <w:lang w:eastAsia="es-ES"/>
        </w:rPr>
        <w:t xml:space="preserve"> </w:t>
      </w:r>
    </w:p>
    <w:p w:rsidR="00C644EB" w:rsidRDefault="00C644EB" w:rsidP="00F072A9">
      <w:pPr>
        <w:spacing w:after="0" w:line="360" w:lineRule="auto"/>
        <w:jc w:val="both"/>
        <w:rPr>
          <w:rFonts w:ascii="Arial" w:eastAsia="Times New Roman" w:hAnsi="Arial" w:cs="Arial"/>
          <w:sz w:val="24"/>
          <w:szCs w:val="24"/>
          <w:lang w:eastAsia="es-ES"/>
        </w:rPr>
      </w:pPr>
    </w:p>
    <w:p w:rsidR="0077749F" w:rsidRPr="00276558" w:rsidRDefault="00276558" w:rsidP="00276558">
      <w:pPr>
        <w:pStyle w:val="Prrafodelista"/>
        <w:numPr>
          <w:ilvl w:val="0"/>
          <w:numId w:val="6"/>
        </w:numPr>
        <w:autoSpaceDE w:val="0"/>
        <w:autoSpaceDN w:val="0"/>
        <w:adjustRightInd w:val="0"/>
        <w:spacing w:after="0" w:line="360" w:lineRule="auto"/>
        <w:jc w:val="both"/>
        <w:rPr>
          <w:rFonts w:ascii="Arial" w:hAnsi="Arial" w:cs="Arial"/>
          <w:b/>
          <w:sz w:val="24"/>
          <w:szCs w:val="24"/>
          <w:lang w:val="es-MX" w:eastAsia="es-ES"/>
        </w:rPr>
      </w:pPr>
      <w:r w:rsidRPr="00276558">
        <w:rPr>
          <w:rFonts w:ascii="Arial" w:hAnsi="Arial" w:cs="Arial"/>
          <w:sz w:val="24"/>
          <w:szCs w:val="24"/>
          <w:lang w:val="es-ES_tradnl" w:eastAsia="es-ES"/>
        </w:rPr>
        <w:t>De conformidad con lo estipulado en el inciso a) de la fracción I, del artículo 19 de la Ley de Fiscalización Superior del Estado de Nuevo León, se verificó la aplicación por parte del Ente Fiscalizado, de la Ley General de Contabilidad Gubernamental, así como las disposiciones normativas emitidas por el Consejo Nacional de Armonización Contable.</w:t>
      </w:r>
    </w:p>
    <w:p w:rsidR="00276558" w:rsidRPr="00276558" w:rsidRDefault="00276558" w:rsidP="00276558">
      <w:pPr>
        <w:pStyle w:val="Prrafodelista"/>
        <w:autoSpaceDE w:val="0"/>
        <w:autoSpaceDN w:val="0"/>
        <w:adjustRightInd w:val="0"/>
        <w:spacing w:after="0" w:line="360" w:lineRule="auto"/>
        <w:jc w:val="both"/>
        <w:rPr>
          <w:rFonts w:ascii="Arial" w:hAnsi="Arial" w:cs="Arial"/>
          <w:b/>
          <w:sz w:val="24"/>
          <w:szCs w:val="24"/>
          <w:lang w:val="es-MX" w:eastAsia="es-ES"/>
        </w:rPr>
      </w:pPr>
    </w:p>
    <w:p w:rsidR="0077749F" w:rsidRDefault="0077749F" w:rsidP="0077749F">
      <w:pPr>
        <w:autoSpaceDE w:val="0"/>
        <w:autoSpaceDN w:val="0"/>
        <w:adjustRightInd w:val="0"/>
        <w:spacing w:after="0" w:line="360" w:lineRule="auto"/>
        <w:ind w:left="360"/>
        <w:rPr>
          <w:rFonts w:ascii="Arial" w:hAnsi="Arial" w:cs="Arial"/>
          <w:b/>
          <w:sz w:val="24"/>
          <w:szCs w:val="24"/>
          <w:lang w:val="es-MX" w:eastAsia="es-ES"/>
        </w:rPr>
      </w:pPr>
      <w:r w:rsidRPr="0077749F">
        <w:rPr>
          <w:rFonts w:ascii="Arial" w:hAnsi="Arial" w:cs="Arial"/>
          <w:b/>
          <w:sz w:val="24"/>
          <w:szCs w:val="24"/>
          <w:lang w:val="es-MX" w:eastAsia="es-ES"/>
        </w:rPr>
        <w:t>•</w:t>
      </w:r>
      <w:r w:rsidRPr="0077749F">
        <w:rPr>
          <w:rFonts w:ascii="Arial" w:hAnsi="Arial" w:cs="Arial"/>
          <w:b/>
          <w:sz w:val="24"/>
          <w:szCs w:val="24"/>
          <w:lang w:val="es-MX" w:eastAsia="es-ES"/>
        </w:rPr>
        <w:tab/>
      </w:r>
      <w:r w:rsidR="00276558">
        <w:rPr>
          <w:rFonts w:ascii="Arial" w:hAnsi="Arial" w:cs="Arial"/>
          <w:b/>
          <w:sz w:val="24"/>
          <w:szCs w:val="24"/>
          <w:lang w:val="es-MX" w:eastAsia="es-ES"/>
        </w:rPr>
        <w:t>C</w:t>
      </w:r>
      <w:r w:rsidRPr="0077749F">
        <w:rPr>
          <w:rFonts w:ascii="Arial" w:hAnsi="Arial" w:cs="Arial"/>
          <w:b/>
          <w:sz w:val="24"/>
          <w:szCs w:val="24"/>
          <w:lang w:val="es-MX" w:eastAsia="es-ES"/>
        </w:rPr>
        <w:t>riterios de selección y descripción de los procedimientos de auditoría aplicados</w:t>
      </w:r>
    </w:p>
    <w:p w:rsidR="0077749F" w:rsidRDefault="0077749F" w:rsidP="0077749F">
      <w:pPr>
        <w:spacing w:after="0"/>
        <w:jc w:val="both"/>
        <w:rPr>
          <w:rFonts w:ascii="Arial" w:hAnsi="Arial" w:cs="Arial"/>
          <w:bCs/>
          <w:iCs/>
          <w:sz w:val="24"/>
        </w:rPr>
      </w:pPr>
    </w:p>
    <w:p w:rsidR="0077749F" w:rsidRPr="0077749F" w:rsidRDefault="0077749F" w:rsidP="0077749F">
      <w:pPr>
        <w:spacing w:after="0" w:line="360" w:lineRule="auto"/>
        <w:jc w:val="both"/>
        <w:rPr>
          <w:rFonts w:ascii="Arial" w:hAnsi="Arial" w:cs="Arial"/>
          <w:bCs/>
          <w:iCs/>
          <w:sz w:val="24"/>
        </w:rPr>
      </w:pPr>
      <w:r w:rsidRPr="0077749F">
        <w:rPr>
          <w:rFonts w:ascii="Arial" w:hAnsi="Arial" w:cs="Arial"/>
          <w:bCs/>
          <w:iCs/>
          <w:sz w:val="24"/>
        </w:rPr>
        <w:t>Las auditorías practicadas se seleccionaron con base en los criterios establecidos para la planeación específica utilizada en la integración del P</w:t>
      </w:r>
      <w:r w:rsidR="00276558">
        <w:rPr>
          <w:rFonts w:ascii="Arial" w:hAnsi="Arial" w:cs="Arial"/>
          <w:bCs/>
          <w:iCs/>
          <w:sz w:val="24"/>
        </w:rPr>
        <w:t>rograma Anual de Auditorías 2015</w:t>
      </w:r>
      <w:r w:rsidRPr="0077749F">
        <w:rPr>
          <w:rFonts w:ascii="Arial" w:hAnsi="Arial" w:cs="Arial"/>
          <w:bCs/>
          <w:iCs/>
          <w:sz w:val="24"/>
        </w:rPr>
        <w:t xml:space="preserve"> para la fiscalización de las Cuentas Públicas co</w:t>
      </w:r>
      <w:r w:rsidR="00276558">
        <w:rPr>
          <w:rFonts w:ascii="Arial" w:hAnsi="Arial" w:cs="Arial"/>
          <w:bCs/>
          <w:iCs/>
          <w:sz w:val="24"/>
        </w:rPr>
        <w:t>rrespondientes al ejercicio 2015</w:t>
      </w:r>
      <w:r w:rsidRPr="0077749F">
        <w:rPr>
          <w:rFonts w:ascii="Arial" w:hAnsi="Arial" w:cs="Arial"/>
          <w:bCs/>
          <w:iCs/>
          <w:sz w:val="24"/>
        </w:rPr>
        <w:t>, considerando la importancia, pertinencia y factibilidad de su realización.</w:t>
      </w:r>
    </w:p>
    <w:p w:rsidR="0077749F" w:rsidRPr="0077749F" w:rsidRDefault="0077749F" w:rsidP="0077749F">
      <w:pPr>
        <w:spacing w:after="0" w:line="360" w:lineRule="auto"/>
        <w:jc w:val="both"/>
        <w:rPr>
          <w:rFonts w:ascii="Arial" w:hAnsi="Arial" w:cs="Arial"/>
          <w:bCs/>
          <w:iCs/>
          <w:sz w:val="24"/>
        </w:rPr>
      </w:pPr>
    </w:p>
    <w:p w:rsidR="0077749F" w:rsidRPr="0077749F" w:rsidRDefault="0077749F" w:rsidP="0077749F">
      <w:pPr>
        <w:spacing w:after="0" w:line="360" w:lineRule="auto"/>
        <w:jc w:val="both"/>
        <w:rPr>
          <w:rFonts w:ascii="Arial" w:hAnsi="Arial" w:cs="Arial"/>
          <w:bCs/>
          <w:iCs/>
          <w:sz w:val="24"/>
        </w:rPr>
      </w:pPr>
      <w:r w:rsidRPr="0077749F">
        <w:rPr>
          <w:rFonts w:ascii="Arial" w:hAnsi="Arial" w:cs="Arial"/>
          <w:bCs/>
          <w:iCs/>
          <w:sz w:val="24"/>
        </w:rPr>
        <w:t xml:space="preserve">El universo seleccionado para la revisión fue el conjunto de operaciones, registros o movimientos de entre los cuales, se seleccionaron muestras para aplicarles procedimientos o pruebas de auditoría, partiendo esencialmente, del presupuesto asignado al Ente Público, y ejercido en los capítulos, conceptos, partidas, proyectos de inversión, programas presupuestarios y </w:t>
      </w:r>
      <w:r w:rsidRPr="0077749F">
        <w:rPr>
          <w:rFonts w:ascii="Arial" w:hAnsi="Arial" w:cs="Arial"/>
          <w:bCs/>
          <w:iCs/>
          <w:sz w:val="24"/>
        </w:rPr>
        <w:lastRenderedPageBreak/>
        <w:t>fondos, así como los conceptos de ingreso, en su caso, y en general cualquier otro concepto que se estimó pertinente incluir en el alcance de la revisión.</w:t>
      </w:r>
    </w:p>
    <w:p w:rsidR="0077749F" w:rsidRPr="0077749F" w:rsidRDefault="0077749F" w:rsidP="0077749F">
      <w:pPr>
        <w:spacing w:after="0" w:line="360" w:lineRule="auto"/>
        <w:jc w:val="both"/>
        <w:rPr>
          <w:rFonts w:ascii="Arial" w:hAnsi="Arial" w:cs="Arial"/>
          <w:bCs/>
          <w:iCs/>
          <w:sz w:val="24"/>
        </w:rPr>
      </w:pPr>
    </w:p>
    <w:p w:rsidR="0077749F" w:rsidRPr="0077749F" w:rsidRDefault="0077749F" w:rsidP="0077749F">
      <w:pPr>
        <w:spacing w:after="0" w:line="360" w:lineRule="auto"/>
        <w:jc w:val="both"/>
        <w:rPr>
          <w:rFonts w:ascii="Arial" w:hAnsi="Arial" w:cs="Arial"/>
          <w:bCs/>
          <w:iCs/>
          <w:sz w:val="24"/>
        </w:rPr>
      </w:pPr>
      <w:r w:rsidRPr="0077749F">
        <w:rPr>
          <w:rFonts w:ascii="Arial" w:hAnsi="Arial" w:cs="Arial"/>
          <w:bCs/>
          <w:iCs/>
          <w:sz w:val="24"/>
        </w:rPr>
        <w:t>La muestra auditada consistió en las operaciones, registros o movimientos fiscalizados a través de procedimientos o pruebas de auditoría, cuyos resultados permitieron la emisión, debidamente soportada y fundamentada del dictamen de la revisión. Asimismo, las áreas revisadas, fueron esencialmente las unidades administrativas de la entidad fiscalizada responsables de la ejecución de las operaciones, actividades o programas objeto de la revisión.</w:t>
      </w:r>
    </w:p>
    <w:p w:rsidR="0077749F" w:rsidRPr="0077749F" w:rsidRDefault="0077749F" w:rsidP="0077749F">
      <w:pPr>
        <w:spacing w:after="0" w:line="360" w:lineRule="auto"/>
        <w:jc w:val="both"/>
        <w:rPr>
          <w:rFonts w:ascii="Arial" w:hAnsi="Arial" w:cs="Arial"/>
          <w:bCs/>
          <w:iCs/>
          <w:sz w:val="24"/>
        </w:rPr>
      </w:pPr>
    </w:p>
    <w:p w:rsidR="009C0345" w:rsidRPr="00B67BEE" w:rsidRDefault="0077749F" w:rsidP="0077749F">
      <w:pPr>
        <w:spacing w:after="0" w:line="360" w:lineRule="auto"/>
        <w:jc w:val="both"/>
        <w:rPr>
          <w:rFonts w:ascii="Arial" w:hAnsi="Arial" w:cs="Arial"/>
          <w:bCs/>
          <w:iCs/>
          <w:sz w:val="24"/>
        </w:rPr>
      </w:pPr>
      <w:r w:rsidRPr="0077749F">
        <w:rPr>
          <w:rFonts w:ascii="Arial" w:hAnsi="Arial" w:cs="Arial"/>
          <w:bCs/>
          <w:iCs/>
          <w:sz w:val="24"/>
        </w:rPr>
        <w:t>Con base en lo anterior, en forma específica dentro del contenido del Informe del Resultado, se señalan las operaciones, registros o movimientos fiscalizados, las técnicas y pruebas de auditoría aplicadas, y en su caso, el resultado de las mismas, mediante las cuales se obtuvo evidencia suficiente, competente, relevante y pertinente acerca del objeto auditado y con base en la cual se determinaron los resultados y el dictamen correspondiente.</w:t>
      </w:r>
    </w:p>
    <w:p w:rsidR="009C0345" w:rsidRPr="00B67BEE" w:rsidRDefault="009C0345" w:rsidP="00F072A9">
      <w:pPr>
        <w:spacing w:after="0" w:line="360" w:lineRule="auto"/>
        <w:jc w:val="both"/>
        <w:rPr>
          <w:rFonts w:ascii="Arial" w:hAnsi="Arial" w:cs="Arial"/>
          <w:bCs/>
          <w:iCs/>
          <w:sz w:val="24"/>
        </w:rPr>
      </w:pPr>
    </w:p>
    <w:p w:rsidR="009C0345" w:rsidRPr="009A7A82" w:rsidRDefault="009C0345" w:rsidP="009A7A82">
      <w:pPr>
        <w:pStyle w:val="Prrafodelista"/>
        <w:numPr>
          <w:ilvl w:val="0"/>
          <w:numId w:val="3"/>
        </w:numPr>
        <w:ind w:left="426" w:hanging="426"/>
        <w:contextualSpacing/>
        <w:jc w:val="both"/>
        <w:rPr>
          <w:rFonts w:ascii="Arial" w:hAnsi="Arial" w:cs="Arial"/>
          <w:b/>
          <w:sz w:val="24"/>
        </w:rPr>
      </w:pPr>
      <w:r w:rsidRPr="00B67BEE">
        <w:rPr>
          <w:rFonts w:ascii="Arial" w:hAnsi="Arial" w:cs="Arial"/>
          <w:b/>
          <w:bCs/>
          <w:sz w:val="24"/>
        </w:rPr>
        <w:t>Descripción de los elementos revisados y resultados obtenidos en la revisión</w:t>
      </w:r>
    </w:p>
    <w:p w:rsidR="009A7A82" w:rsidRPr="009A7A82" w:rsidRDefault="009A7A82" w:rsidP="009A7A82">
      <w:pPr>
        <w:pStyle w:val="Prrafodelista"/>
        <w:ind w:left="426"/>
        <w:contextualSpacing/>
        <w:jc w:val="both"/>
        <w:rPr>
          <w:rFonts w:ascii="Arial" w:hAnsi="Arial" w:cs="Arial"/>
          <w:b/>
          <w:sz w:val="24"/>
        </w:rPr>
      </w:pPr>
    </w:p>
    <w:p w:rsidR="009C0345" w:rsidRDefault="009C0345" w:rsidP="009A7A82">
      <w:pPr>
        <w:pStyle w:val="Prrafodelista"/>
        <w:numPr>
          <w:ilvl w:val="0"/>
          <w:numId w:val="4"/>
        </w:numPr>
        <w:contextualSpacing/>
        <w:rPr>
          <w:rFonts w:ascii="Arial" w:hAnsi="Arial" w:cs="Arial"/>
          <w:b/>
          <w:bCs/>
          <w:sz w:val="24"/>
        </w:rPr>
      </w:pPr>
      <w:r w:rsidRPr="000A4374">
        <w:rPr>
          <w:rFonts w:ascii="Arial" w:hAnsi="Arial" w:cs="Arial"/>
          <w:b/>
          <w:bCs/>
          <w:sz w:val="24"/>
        </w:rPr>
        <w:t>La evaluación  de la gestión financiera y del gasto público</w:t>
      </w:r>
    </w:p>
    <w:p w:rsidR="009A7A82" w:rsidRDefault="009A7A82" w:rsidP="009A7A82">
      <w:pPr>
        <w:pStyle w:val="Prrafodelista"/>
        <w:contextualSpacing/>
        <w:rPr>
          <w:rFonts w:ascii="Arial" w:hAnsi="Arial" w:cs="Arial"/>
          <w:b/>
          <w:bCs/>
          <w:sz w:val="24"/>
        </w:rPr>
      </w:pPr>
    </w:p>
    <w:p w:rsidR="00B208A1" w:rsidRPr="00B208A1" w:rsidRDefault="00B208A1" w:rsidP="00B208A1">
      <w:pPr>
        <w:pStyle w:val="Prrafodelista"/>
        <w:spacing w:line="360" w:lineRule="auto"/>
        <w:ind w:left="0"/>
        <w:contextualSpacing/>
        <w:jc w:val="both"/>
        <w:rPr>
          <w:rFonts w:ascii="Arial" w:hAnsi="Arial" w:cs="Arial"/>
          <w:bCs/>
          <w:sz w:val="24"/>
        </w:rPr>
      </w:pPr>
      <w:r>
        <w:rPr>
          <w:rFonts w:ascii="Arial" w:hAnsi="Arial" w:cs="Arial"/>
          <w:bCs/>
          <w:sz w:val="24"/>
        </w:rPr>
        <w:tab/>
      </w:r>
      <w:r w:rsidRPr="00B208A1">
        <w:rPr>
          <w:rFonts w:ascii="Arial" w:hAnsi="Arial" w:cs="Arial"/>
          <w:bCs/>
          <w:sz w:val="24"/>
        </w:rPr>
        <w:t>Para tal efecto se consideraron los Estados Financieros adjuntos, y su presupuesto por el período del 1 de enero al 31 d</w:t>
      </w:r>
      <w:r w:rsidR="00493A57">
        <w:rPr>
          <w:rFonts w:ascii="Arial" w:hAnsi="Arial" w:cs="Arial"/>
          <w:bCs/>
          <w:sz w:val="24"/>
        </w:rPr>
        <w:t>e diciembre de 2015</w:t>
      </w:r>
      <w:r w:rsidRPr="00B208A1">
        <w:rPr>
          <w:rFonts w:ascii="Arial" w:hAnsi="Arial" w:cs="Arial"/>
          <w:bCs/>
          <w:sz w:val="24"/>
        </w:rPr>
        <w:t xml:space="preserve">, que el </w:t>
      </w:r>
      <w:r w:rsidRPr="00B208A1">
        <w:rPr>
          <w:rFonts w:ascii="Arial" w:hAnsi="Arial" w:cs="Arial"/>
          <w:bCs/>
          <w:sz w:val="24"/>
        </w:rPr>
        <w:lastRenderedPageBreak/>
        <w:t>Fideicomiso Fondo para la Vivienda de los Trabajadores de la Educación presentó como parte de la información que integra la Cuenta Pública.</w:t>
      </w:r>
    </w:p>
    <w:p w:rsidR="00B208A1" w:rsidRPr="00B208A1" w:rsidRDefault="00B208A1" w:rsidP="00B208A1">
      <w:pPr>
        <w:pStyle w:val="Prrafodelista"/>
        <w:spacing w:line="360" w:lineRule="auto"/>
        <w:contextualSpacing/>
        <w:jc w:val="both"/>
        <w:rPr>
          <w:rFonts w:ascii="Arial" w:hAnsi="Arial" w:cs="Arial"/>
          <w:bCs/>
          <w:sz w:val="24"/>
        </w:rPr>
      </w:pPr>
    </w:p>
    <w:p w:rsidR="00B208A1" w:rsidRPr="00B208A1" w:rsidRDefault="00B208A1" w:rsidP="00B208A1">
      <w:pPr>
        <w:pStyle w:val="Prrafodelista"/>
        <w:spacing w:line="360" w:lineRule="auto"/>
        <w:ind w:left="0"/>
        <w:contextualSpacing/>
        <w:jc w:val="both"/>
        <w:rPr>
          <w:rFonts w:ascii="Arial" w:hAnsi="Arial" w:cs="Arial"/>
          <w:bCs/>
          <w:sz w:val="24"/>
        </w:rPr>
      </w:pPr>
      <w:r>
        <w:rPr>
          <w:rFonts w:ascii="Arial" w:hAnsi="Arial" w:cs="Arial"/>
          <w:bCs/>
          <w:sz w:val="24"/>
        </w:rPr>
        <w:tab/>
      </w:r>
      <w:r w:rsidRPr="00B208A1">
        <w:rPr>
          <w:rFonts w:ascii="Arial" w:hAnsi="Arial" w:cs="Arial"/>
          <w:bCs/>
          <w:sz w:val="24"/>
        </w:rPr>
        <w:t>Para el desarrollo de la revisión de la i</w:t>
      </w:r>
      <w:r w:rsidR="00274D57">
        <w:rPr>
          <w:rFonts w:ascii="Arial" w:hAnsi="Arial" w:cs="Arial"/>
          <w:bCs/>
          <w:sz w:val="24"/>
        </w:rPr>
        <w:t>nformación antes mencionada, l</w:t>
      </w:r>
      <w:r w:rsidRPr="00B208A1">
        <w:rPr>
          <w:rFonts w:ascii="Arial" w:hAnsi="Arial" w:cs="Arial"/>
          <w:bCs/>
          <w:sz w:val="24"/>
        </w:rPr>
        <w:t>a Auditoría Superior del Estado, aplicó una serie de procedimientos enfocados a asegurarse de la razonabilidad de las cifras presentadas que forman parte de la gestión financiera y gasto público, y que su presentación y registro estuvo conforme a la normatividad aplicable y que se apegaron al cumplimiento de las Leyes, Decretos, Reglamentos y demás disposiciones aplicables y al cumplimiento de los objetivos y metas establecidas en los programas.</w:t>
      </w:r>
    </w:p>
    <w:p w:rsidR="00B208A1" w:rsidRPr="00B208A1" w:rsidRDefault="00B208A1" w:rsidP="00B208A1">
      <w:pPr>
        <w:pStyle w:val="Prrafodelista"/>
        <w:spacing w:line="360" w:lineRule="auto"/>
        <w:contextualSpacing/>
        <w:jc w:val="both"/>
        <w:rPr>
          <w:rFonts w:ascii="Arial" w:hAnsi="Arial" w:cs="Arial"/>
          <w:bCs/>
          <w:sz w:val="24"/>
        </w:rPr>
      </w:pPr>
    </w:p>
    <w:p w:rsidR="00B208A1" w:rsidRDefault="00B208A1" w:rsidP="00B208A1">
      <w:pPr>
        <w:pStyle w:val="Prrafodelista"/>
        <w:spacing w:line="360" w:lineRule="auto"/>
        <w:ind w:left="0"/>
        <w:contextualSpacing/>
        <w:jc w:val="both"/>
        <w:rPr>
          <w:rFonts w:ascii="Arial" w:hAnsi="Arial" w:cs="Arial"/>
          <w:bCs/>
          <w:sz w:val="24"/>
        </w:rPr>
      </w:pPr>
      <w:r>
        <w:rPr>
          <w:rFonts w:ascii="Arial" w:hAnsi="Arial" w:cs="Arial"/>
          <w:bCs/>
          <w:sz w:val="24"/>
        </w:rPr>
        <w:tab/>
      </w:r>
      <w:r w:rsidRPr="00B208A1">
        <w:rPr>
          <w:rFonts w:ascii="Arial" w:hAnsi="Arial" w:cs="Arial"/>
          <w:bCs/>
          <w:sz w:val="24"/>
        </w:rPr>
        <w:t>Los Estados Financieros presentados en pesos del Fideicomiso Fondo para la Vivienda de los Trabajadores de la Educ</w:t>
      </w:r>
      <w:r w:rsidR="00493A57">
        <w:rPr>
          <w:rFonts w:ascii="Arial" w:hAnsi="Arial" w:cs="Arial"/>
          <w:bCs/>
          <w:sz w:val="24"/>
        </w:rPr>
        <w:t>ación al 31 de diciembre de 2015</w:t>
      </w:r>
      <w:r w:rsidRPr="00B208A1">
        <w:rPr>
          <w:rFonts w:ascii="Arial" w:hAnsi="Arial" w:cs="Arial"/>
          <w:bCs/>
          <w:sz w:val="24"/>
        </w:rPr>
        <w:t>, que se mencionan en la Cuenta Pública, son los que se muestran a continuación:</w:t>
      </w:r>
    </w:p>
    <w:p w:rsidR="00B208A1" w:rsidRDefault="00B208A1" w:rsidP="00B208A1">
      <w:pPr>
        <w:pStyle w:val="Prrafodelista"/>
        <w:spacing w:line="360" w:lineRule="auto"/>
        <w:ind w:left="0"/>
        <w:contextualSpacing/>
        <w:jc w:val="both"/>
        <w:rPr>
          <w:rFonts w:ascii="Arial" w:hAnsi="Arial" w:cs="Arial"/>
          <w:bCs/>
          <w:sz w:val="24"/>
        </w:rPr>
      </w:pPr>
    </w:p>
    <w:p w:rsidR="00493A57" w:rsidRDefault="00493A57" w:rsidP="00B208A1">
      <w:pPr>
        <w:pStyle w:val="Prrafodelista"/>
        <w:spacing w:line="360" w:lineRule="auto"/>
        <w:ind w:left="0"/>
        <w:contextualSpacing/>
        <w:jc w:val="both"/>
        <w:rPr>
          <w:rFonts w:ascii="Arial" w:hAnsi="Arial" w:cs="Arial"/>
          <w:bCs/>
          <w:sz w:val="24"/>
        </w:rPr>
      </w:pPr>
    </w:p>
    <w:p w:rsidR="00493A57" w:rsidRDefault="00493A57" w:rsidP="00B208A1">
      <w:pPr>
        <w:pStyle w:val="Prrafodelista"/>
        <w:spacing w:line="360" w:lineRule="auto"/>
        <w:ind w:left="0"/>
        <w:contextualSpacing/>
        <w:jc w:val="both"/>
        <w:rPr>
          <w:rFonts w:ascii="Arial" w:hAnsi="Arial" w:cs="Arial"/>
          <w:bCs/>
          <w:sz w:val="24"/>
        </w:rPr>
      </w:pPr>
    </w:p>
    <w:p w:rsidR="00493A57" w:rsidRDefault="00493A57" w:rsidP="00B208A1">
      <w:pPr>
        <w:pStyle w:val="Prrafodelista"/>
        <w:spacing w:line="360" w:lineRule="auto"/>
        <w:ind w:left="0"/>
        <w:contextualSpacing/>
        <w:jc w:val="both"/>
        <w:rPr>
          <w:rFonts w:ascii="Arial" w:hAnsi="Arial" w:cs="Arial"/>
          <w:bCs/>
          <w:sz w:val="24"/>
        </w:rPr>
      </w:pPr>
    </w:p>
    <w:p w:rsidR="00493A57" w:rsidRDefault="00493A57" w:rsidP="00B208A1">
      <w:pPr>
        <w:pStyle w:val="Prrafodelista"/>
        <w:spacing w:line="360" w:lineRule="auto"/>
        <w:ind w:left="0"/>
        <w:contextualSpacing/>
        <w:jc w:val="both"/>
        <w:rPr>
          <w:rFonts w:ascii="Arial" w:hAnsi="Arial" w:cs="Arial"/>
          <w:bCs/>
          <w:sz w:val="24"/>
        </w:rPr>
      </w:pPr>
    </w:p>
    <w:p w:rsidR="00493A57" w:rsidRDefault="00493A57" w:rsidP="00B208A1">
      <w:pPr>
        <w:pStyle w:val="Prrafodelista"/>
        <w:spacing w:line="360" w:lineRule="auto"/>
        <w:ind w:left="0"/>
        <w:contextualSpacing/>
        <w:jc w:val="both"/>
        <w:rPr>
          <w:rFonts w:ascii="Arial" w:hAnsi="Arial" w:cs="Arial"/>
          <w:bCs/>
          <w:sz w:val="24"/>
        </w:rPr>
      </w:pPr>
    </w:p>
    <w:p w:rsidR="00493A57" w:rsidRDefault="00493A57" w:rsidP="00B208A1">
      <w:pPr>
        <w:pStyle w:val="Prrafodelista"/>
        <w:spacing w:line="360" w:lineRule="auto"/>
        <w:ind w:left="0"/>
        <w:contextualSpacing/>
        <w:jc w:val="both"/>
        <w:rPr>
          <w:rFonts w:ascii="Arial" w:hAnsi="Arial" w:cs="Arial"/>
          <w:bCs/>
          <w:sz w:val="24"/>
        </w:rPr>
      </w:pPr>
      <w:r>
        <w:rPr>
          <w:rFonts w:ascii="Arial" w:hAnsi="Arial" w:cs="Arial"/>
          <w:bCs/>
          <w:noProof/>
          <w:sz w:val="24"/>
          <w:lang w:val="es-MX" w:eastAsia="es-MX"/>
        </w:rPr>
        <w:lastRenderedPageBreak/>
        <w:drawing>
          <wp:inline distT="0" distB="0" distL="0" distR="0">
            <wp:extent cx="5248910" cy="3788410"/>
            <wp:effectExtent l="0" t="0" r="889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910" cy="3788410"/>
                    </a:xfrm>
                    <a:prstGeom prst="rect">
                      <a:avLst/>
                    </a:prstGeom>
                    <a:noFill/>
                    <a:ln>
                      <a:noFill/>
                    </a:ln>
                  </pic:spPr>
                </pic:pic>
              </a:graphicData>
            </a:graphic>
          </wp:inline>
        </w:drawing>
      </w:r>
    </w:p>
    <w:p w:rsidR="00493A57" w:rsidRPr="005054A0" w:rsidRDefault="00493A57" w:rsidP="00493A57">
      <w:pPr>
        <w:rPr>
          <w:color w:val="000000"/>
          <w:sz w:val="20"/>
          <w:lang w:val="es-MX" w:eastAsia="es-MX"/>
        </w:rPr>
      </w:pPr>
      <w:r>
        <w:rPr>
          <w:rFonts w:ascii="Arial" w:hAnsi="Arial" w:cs="Arial"/>
          <w:sz w:val="20"/>
        </w:rPr>
        <w:t>[</w:t>
      </w:r>
      <w:r w:rsidRPr="005054A0">
        <w:rPr>
          <w:rFonts w:ascii="Arial" w:hAnsi="Arial" w:cs="Arial"/>
          <w:sz w:val="20"/>
        </w:rPr>
        <w:t>Sic 1</w:t>
      </w:r>
      <w:r>
        <w:rPr>
          <w:rFonts w:ascii="Arial" w:hAnsi="Arial" w:cs="Arial"/>
          <w:sz w:val="20"/>
        </w:rPr>
        <w:t>]</w:t>
      </w:r>
      <w:r w:rsidRPr="005054A0">
        <w:rPr>
          <w:rFonts w:ascii="Arial" w:hAnsi="Arial" w:cs="Arial"/>
          <w:sz w:val="20"/>
        </w:rPr>
        <w:t xml:space="preserve">. El monto del Total de activos no circulantes 2014 debe ser  </w:t>
      </w:r>
      <w:r w:rsidRPr="009373E5">
        <w:rPr>
          <w:rFonts w:ascii="Arial" w:hAnsi="Arial" w:cs="Arial"/>
          <w:sz w:val="20"/>
        </w:rPr>
        <w:t>$</w:t>
      </w:r>
      <w:r w:rsidRPr="009373E5">
        <w:rPr>
          <w:rFonts w:ascii="Arial" w:hAnsi="Arial" w:cs="Arial"/>
          <w:color w:val="000000"/>
          <w:sz w:val="20"/>
          <w:lang w:val="es-MX" w:eastAsia="es-MX"/>
        </w:rPr>
        <w:t>157,992,376.</w:t>
      </w:r>
    </w:p>
    <w:p w:rsidR="00493A57" w:rsidRDefault="00493A57" w:rsidP="00B208A1">
      <w:pPr>
        <w:pStyle w:val="Prrafodelista"/>
        <w:spacing w:line="360" w:lineRule="auto"/>
        <w:ind w:left="0"/>
        <w:contextualSpacing/>
        <w:jc w:val="both"/>
        <w:rPr>
          <w:rFonts w:ascii="Arial" w:hAnsi="Arial" w:cs="Arial"/>
          <w:bCs/>
          <w:sz w:val="24"/>
          <w:lang w:val="es-MX"/>
        </w:rPr>
      </w:pPr>
      <w:r>
        <w:rPr>
          <w:rFonts w:ascii="Arial" w:hAnsi="Arial" w:cs="Arial"/>
          <w:bCs/>
          <w:noProof/>
          <w:sz w:val="24"/>
          <w:lang w:val="es-MX" w:eastAsia="es-MX"/>
        </w:rPr>
        <w:lastRenderedPageBreak/>
        <w:drawing>
          <wp:inline distT="0" distB="0" distL="0" distR="0">
            <wp:extent cx="5248910" cy="337248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910" cy="3372485"/>
                    </a:xfrm>
                    <a:prstGeom prst="rect">
                      <a:avLst/>
                    </a:prstGeom>
                    <a:noFill/>
                    <a:ln>
                      <a:noFill/>
                    </a:ln>
                  </pic:spPr>
                </pic:pic>
              </a:graphicData>
            </a:graphic>
          </wp:inline>
        </w:drawing>
      </w:r>
    </w:p>
    <w:p w:rsidR="00F90318" w:rsidRDefault="00F90318" w:rsidP="00B208A1">
      <w:pPr>
        <w:pStyle w:val="Prrafodelista"/>
        <w:spacing w:line="360" w:lineRule="auto"/>
        <w:ind w:left="0"/>
        <w:contextualSpacing/>
        <w:jc w:val="both"/>
        <w:rPr>
          <w:rFonts w:ascii="Arial" w:hAnsi="Arial" w:cs="Arial"/>
          <w:bCs/>
          <w:sz w:val="24"/>
          <w:lang w:val="es-MX"/>
        </w:rPr>
      </w:pPr>
    </w:p>
    <w:p w:rsidR="00F90318" w:rsidRPr="006117CF" w:rsidRDefault="00F90318" w:rsidP="00F90318">
      <w:pPr>
        <w:rPr>
          <w:rFonts w:ascii="Arial" w:hAnsi="Arial" w:cs="Arial"/>
          <w:sz w:val="24"/>
          <w:szCs w:val="24"/>
          <w:highlight w:val="yellow"/>
        </w:rPr>
      </w:pPr>
      <w:r w:rsidRPr="009D46F0">
        <w:rPr>
          <w:rFonts w:ascii="Arial" w:hAnsi="Arial" w:cs="Arial"/>
          <w:sz w:val="24"/>
          <w:szCs w:val="24"/>
        </w:rPr>
        <w:t>Los datos sobresalientes de los Estados Financieros al 31 de diciembre de 2015, son los que se indican a continuación y están presentados en pesos:</w:t>
      </w:r>
    </w:p>
    <w:tbl>
      <w:tblPr>
        <w:tblW w:w="0" w:type="auto"/>
        <w:jc w:val="center"/>
        <w:tblCellMar>
          <w:left w:w="70" w:type="dxa"/>
          <w:right w:w="70" w:type="dxa"/>
        </w:tblCellMar>
        <w:tblLook w:val="0000" w:firstRow="0" w:lastRow="0" w:firstColumn="0" w:lastColumn="0" w:noHBand="0" w:noVBand="0"/>
      </w:tblPr>
      <w:tblGrid>
        <w:gridCol w:w="3109"/>
        <w:gridCol w:w="252"/>
        <w:gridCol w:w="1286"/>
      </w:tblGrid>
      <w:tr w:rsidR="00F90318" w:rsidRPr="006117CF" w:rsidTr="00DF523D">
        <w:trPr>
          <w:cantSplit/>
          <w:jc w:val="center"/>
        </w:trPr>
        <w:tc>
          <w:tcPr>
            <w:tcW w:w="3109" w:type="dxa"/>
          </w:tcPr>
          <w:p w:rsidR="00F90318" w:rsidRPr="009D46F0" w:rsidRDefault="00F90318" w:rsidP="00DF523D">
            <w:pPr>
              <w:tabs>
                <w:tab w:val="left" w:pos="2610"/>
              </w:tabs>
              <w:jc w:val="center"/>
              <w:rPr>
                <w:rFonts w:ascii="Arial" w:hAnsi="Arial" w:cs="Arial"/>
                <w:sz w:val="20"/>
                <w:u w:val="single"/>
              </w:rPr>
            </w:pPr>
            <w:r w:rsidRPr="009D46F0">
              <w:rPr>
                <w:rFonts w:ascii="Arial" w:hAnsi="Arial" w:cs="Arial"/>
                <w:sz w:val="20"/>
                <w:u w:val="single"/>
              </w:rPr>
              <w:t>Concepto</w:t>
            </w:r>
          </w:p>
        </w:tc>
        <w:tc>
          <w:tcPr>
            <w:tcW w:w="0" w:type="auto"/>
          </w:tcPr>
          <w:p w:rsidR="00F90318" w:rsidRPr="009D46F0" w:rsidRDefault="00F90318" w:rsidP="00DF523D">
            <w:pPr>
              <w:tabs>
                <w:tab w:val="left" w:pos="2610"/>
              </w:tabs>
              <w:jc w:val="center"/>
              <w:rPr>
                <w:rFonts w:ascii="Arial" w:hAnsi="Arial" w:cs="Arial"/>
                <w:sz w:val="20"/>
                <w:u w:val="single"/>
              </w:rPr>
            </w:pPr>
          </w:p>
        </w:tc>
        <w:tc>
          <w:tcPr>
            <w:tcW w:w="1286" w:type="dxa"/>
          </w:tcPr>
          <w:p w:rsidR="00F90318" w:rsidRPr="009D46F0" w:rsidRDefault="00F90318" w:rsidP="00DF523D">
            <w:pPr>
              <w:tabs>
                <w:tab w:val="left" w:pos="2610"/>
              </w:tabs>
              <w:jc w:val="center"/>
              <w:rPr>
                <w:rFonts w:ascii="Arial" w:hAnsi="Arial" w:cs="Arial"/>
                <w:sz w:val="20"/>
                <w:u w:val="single"/>
              </w:rPr>
            </w:pPr>
            <w:r w:rsidRPr="009D46F0">
              <w:rPr>
                <w:rFonts w:ascii="Arial" w:hAnsi="Arial" w:cs="Arial"/>
                <w:sz w:val="20"/>
                <w:u w:val="single"/>
              </w:rPr>
              <w:t>Importe</w:t>
            </w:r>
          </w:p>
        </w:tc>
      </w:tr>
      <w:tr w:rsidR="00F90318" w:rsidRPr="006117CF" w:rsidTr="00DF523D">
        <w:trPr>
          <w:cantSplit/>
          <w:jc w:val="center"/>
        </w:trPr>
        <w:tc>
          <w:tcPr>
            <w:tcW w:w="3109" w:type="dxa"/>
          </w:tcPr>
          <w:p w:rsidR="00F90318" w:rsidRPr="006117CF" w:rsidRDefault="00F90318" w:rsidP="00DF523D">
            <w:pPr>
              <w:tabs>
                <w:tab w:val="left" w:pos="2610"/>
              </w:tabs>
              <w:rPr>
                <w:rFonts w:ascii="Arial" w:hAnsi="Arial" w:cs="Arial"/>
                <w:sz w:val="10"/>
                <w:szCs w:val="10"/>
                <w:highlight w:val="yellow"/>
              </w:rPr>
            </w:pPr>
          </w:p>
        </w:tc>
        <w:tc>
          <w:tcPr>
            <w:tcW w:w="0" w:type="auto"/>
          </w:tcPr>
          <w:p w:rsidR="00F90318" w:rsidRPr="006117CF" w:rsidRDefault="00F90318" w:rsidP="00DF523D">
            <w:pPr>
              <w:tabs>
                <w:tab w:val="left" w:pos="2610"/>
              </w:tabs>
              <w:jc w:val="right"/>
              <w:rPr>
                <w:rFonts w:ascii="Arial" w:hAnsi="Arial" w:cs="Arial"/>
                <w:sz w:val="10"/>
                <w:szCs w:val="10"/>
                <w:highlight w:val="yellow"/>
              </w:rPr>
            </w:pPr>
          </w:p>
        </w:tc>
        <w:tc>
          <w:tcPr>
            <w:tcW w:w="1286" w:type="dxa"/>
          </w:tcPr>
          <w:p w:rsidR="00F90318" w:rsidRPr="006117CF" w:rsidRDefault="00F90318" w:rsidP="00DF523D">
            <w:pPr>
              <w:tabs>
                <w:tab w:val="left" w:pos="2610"/>
              </w:tabs>
              <w:jc w:val="right"/>
              <w:rPr>
                <w:rFonts w:ascii="Arial" w:hAnsi="Arial" w:cs="Arial"/>
                <w:sz w:val="10"/>
                <w:szCs w:val="10"/>
                <w:highlight w:val="yellow"/>
              </w:rPr>
            </w:pPr>
          </w:p>
        </w:tc>
      </w:tr>
      <w:tr w:rsidR="00F90318" w:rsidRPr="009D46F0" w:rsidTr="00DF523D">
        <w:trPr>
          <w:cantSplit/>
          <w:jc w:val="center"/>
        </w:trPr>
        <w:tc>
          <w:tcPr>
            <w:tcW w:w="3109" w:type="dxa"/>
          </w:tcPr>
          <w:p w:rsidR="00F90318" w:rsidRPr="009D46F0" w:rsidRDefault="00F90318" w:rsidP="00DF523D">
            <w:pPr>
              <w:tabs>
                <w:tab w:val="left" w:pos="2610"/>
              </w:tabs>
              <w:rPr>
                <w:rFonts w:ascii="Arial" w:hAnsi="Arial" w:cs="Arial"/>
                <w:sz w:val="20"/>
              </w:rPr>
            </w:pPr>
            <w:r w:rsidRPr="009D46F0">
              <w:rPr>
                <w:rFonts w:ascii="Arial" w:hAnsi="Arial" w:cs="Arial"/>
                <w:sz w:val="20"/>
              </w:rPr>
              <w:t>a) Activo</w:t>
            </w:r>
          </w:p>
        </w:tc>
        <w:tc>
          <w:tcPr>
            <w:tcW w:w="0" w:type="auto"/>
          </w:tcPr>
          <w:p w:rsidR="00F90318" w:rsidRPr="009D46F0" w:rsidRDefault="00F90318" w:rsidP="00DF523D">
            <w:pPr>
              <w:tabs>
                <w:tab w:val="left" w:pos="2610"/>
              </w:tabs>
              <w:jc w:val="center"/>
              <w:rPr>
                <w:rFonts w:ascii="Arial" w:hAnsi="Arial" w:cs="Arial"/>
                <w:sz w:val="20"/>
              </w:rPr>
            </w:pPr>
            <w:r w:rsidRPr="009D46F0">
              <w:rPr>
                <w:rFonts w:ascii="Arial" w:hAnsi="Arial" w:cs="Arial"/>
                <w:sz w:val="20"/>
              </w:rPr>
              <w:t>$</w:t>
            </w:r>
          </w:p>
        </w:tc>
        <w:tc>
          <w:tcPr>
            <w:tcW w:w="1286" w:type="dxa"/>
          </w:tcPr>
          <w:p w:rsidR="00F90318" w:rsidRPr="009D46F0" w:rsidRDefault="00F90318" w:rsidP="00DF523D">
            <w:pPr>
              <w:tabs>
                <w:tab w:val="left" w:pos="-618"/>
              </w:tabs>
              <w:ind w:left="-618" w:firstLine="540"/>
              <w:jc w:val="right"/>
              <w:rPr>
                <w:rFonts w:ascii="Arial" w:hAnsi="Arial" w:cs="Arial"/>
                <w:sz w:val="20"/>
              </w:rPr>
            </w:pPr>
            <w:r w:rsidRPr="009D46F0">
              <w:rPr>
                <w:rFonts w:ascii="Arial" w:hAnsi="Arial" w:cs="Arial"/>
                <w:sz w:val="20"/>
              </w:rPr>
              <w:t>535,639,438</w:t>
            </w:r>
          </w:p>
        </w:tc>
      </w:tr>
      <w:tr w:rsidR="00F90318" w:rsidRPr="009D46F0" w:rsidTr="00DF523D">
        <w:trPr>
          <w:cantSplit/>
          <w:jc w:val="center"/>
        </w:trPr>
        <w:tc>
          <w:tcPr>
            <w:tcW w:w="3109" w:type="dxa"/>
          </w:tcPr>
          <w:p w:rsidR="00F90318" w:rsidRPr="009D46F0" w:rsidRDefault="00F90318" w:rsidP="00DF523D">
            <w:pPr>
              <w:tabs>
                <w:tab w:val="left" w:pos="2610"/>
              </w:tabs>
              <w:rPr>
                <w:rFonts w:ascii="Arial" w:hAnsi="Arial" w:cs="Arial"/>
                <w:sz w:val="20"/>
              </w:rPr>
            </w:pPr>
            <w:r w:rsidRPr="009D46F0">
              <w:rPr>
                <w:rFonts w:ascii="Arial" w:hAnsi="Arial" w:cs="Arial"/>
                <w:sz w:val="20"/>
              </w:rPr>
              <w:t>b) Pasivo</w:t>
            </w:r>
          </w:p>
        </w:tc>
        <w:tc>
          <w:tcPr>
            <w:tcW w:w="0" w:type="auto"/>
          </w:tcPr>
          <w:p w:rsidR="00F90318" w:rsidRPr="006117CF" w:rsidRDefault="00F90318" w:rsidP="00DF523D">
            <w:pPr>
              <w:tabs>
                <w:tab w:val="left" w:pos="2610"/>
              </w:tabs>
              <w:rPr>
                <w:rFonts w:ascii="Arial" w:hAnsi="Arial" w:cs="Arial"/>
                <w:sz w:val="20"/>
                <w:highlight w:val="yellow"/>
              </w:rPr>
            </w:pPr>
          </w:p>
        </w:tc>
        <w:tc>
          <w:tcPr>
            <w:tcW w:w="1286" w:type="dxa"/>
          </w:tcPr>
          <w:p w:rsidR="00F90318" w:rsidRPr="009D46F0" w:rsidRDefault="00F90318" w:rsidP="00DF523D">
            <w:pPr>
              <w:tabs>
                <w:tab w:val="left" w:pos="-618"/>
              </w:tabs>
              <w:ind w:left="-618" w:firstLine="540"/>
              <w:jc w:val="right"/>
              <w:rPr>
                <w:rFonts w:ascii="Arial" w:hAnsi="Arial" w:cs="Arial"/>
                <w:sz w:val="20"/>
              </w:rPr>
            </w:pPr>
            <w:r w:rsidRPr="009D46F0">
              <w:rPr>
                <w:rFonts w:ascii="Arial" w:hAnsi="Arial" w:cs="Arial"/>
                <w:sz w:val="20"/>
              </w:rPr>
              <w:t>5,143,205</w:t>
            </w:r>
          </w:p>
        </w:tc>
      </w:tr>
      <w:tr w:rsidR="00F90318" w:rsidRPr="006117CF" w:rsidTr="00DF523D">
        <w:trPr>
          <w:cantSplit/>
          <w:jc w:val="center"/>
        </w:trPr>
        <w:tc>
          <w:tcPr>
            <w:tcW w:w="3109" w:type="dxa"/>
          </w:tcPr>
          <w:p w:rsidR="00F90318" w:rsidRPr="009D46F0" w:rsidRDefault="00F90318" w:rsidP="00DF523D">
            <w:pPr>
              <w:tabs>
                <w:tab w:val="left" w:pos="2610"/>
              </w:tabs>
              <w:rPr>
                <w:rFonts w:ascii="Arial" w:hAnsi="Arial" w:cs="Arial"/>
                <w:sz w:val="20"/>
              </w:rPr>
            </w:pPr>
            <w:r w:rsidRPr="009D46F0">
              <w:rPr>
                <w:rFonts w:ascii="Arial" w:hAnsi="Arial" w:cs="Arial"/>
                <w:sz w:val="20"/>
              </w:rPr>
              <w:t>c) Hacienda pública / patrimonio</w:t>
            </w:r>
          </w:p>
        </w:tc>
        <w:tc>
          <w:tcPr>
            <w:tcW w:w="0" w:type="auto"/>
          </w:tcPr>
          <w:p w:rsidR="00F90318" w:rsidRPr="006117CF" w:rsidRDefault="00F90318" w:rsidP="00DF523D">
            <w:pPr>
              <w:tabs>
                <w:tab w:val="left" w:pos="2610"/>
              </w:tabs>
              <w:rPr>
                <w:rFonts w:ascii="Arial" w:hAnsi="Arial" w:cs="Arial"/>
                <w:sz w:val="20"/>
                <w:highlight w:val="yellow"/>
              </w:rPr>
            </w:pPr>
          </w:p>
        </w:tc>
        <w:tc>
          <w:tcPr>
            <w:tcW w:w="1286" w:type="dxa"/>
          </w:tcPr>
          <w:p w:rsidR="00F90318" w:rsidRPr="006117CF" w:rsidRDefault="00F90318" w:rsidP="00DF523D">
            <w:pPr>
              <w:tabs>
                <w:tab w:val="left" w:pos="-618"/>
              </w:tabs>
              <w:ind w:left="-618" w:firstLine="540"/>
              <w:jc w:val="right"/>
              <w:rPr>
                <w:rFonts w:ascii="Arial" w:hAnsi="Arial" w:cs="Arial"/>
                <w:sz w:val="20"/>
                <w:highlight w:val="yellow"/>
              </w:rPr>
            </w:pPr>
            <w:r w:rsidRPr="00D57CDF">
              <w:rPr>
                <w:rFonts w:ascii="Arial" w:hAnsi="Arial" w:cs="Arial"/>
                <w:sz w:val="20"/>
              </w:rPr>
              <w:t>530,496,233</w:t>
            </w:r>
          </w:p>
        </w:tc>
      </w:tr>
      <w:tr w:rsidR="00F90318" w:rsidRPr="006117CF" w:rsidTr="00DF523D">
        <w:trPr>
          <w:cantSplit/>
          <w:jc w:val="center"/>
        </w:trPr>
        <w:tc>
          <w:tcPr>
            <w:tcW w:w="3109" w:type="dxa"/>
          </w:tcPr>
          <w:p w:rsidR="00F90318" w:rsidRPr="009D46F0" w:rsidRDefault="00F90318" w:rsidP="00DF523D">
            <w:pPr>
              <w:tabs>
                <w:tab w:val="left" w:pos="2610"/>
              </w:tabs>
              <w:rPr>
                <w:rFonts w:ascii="Arial" w:hAnsi="Arial" w:cs="Arial"/>
                <w:sz w:val="20"/>
              </w:rPr>
            </w:pPr>
            <w:r w:rsidRPr="009D46F0">
              <w:rPr>
                <w:rFonts w:ascii="Arial" w:hAnsi="Arial" w:cs="Arial"/>
                <w:sz w:val="20"/>
              </w:rPr>
              <w:t>d) Ingresos y otros beneficios</w:t>
            </w:r>
          </w:p>
        </w:tc>
        <w:tc>
          <w:tcPr>
            <w:tcW w:w="0" w:type="auto"/>
          </w:tcPr>
          <w:p w:rsidR="00F90318" w:rsidRPr="006117CF" w:rsidRDefault="00F90318" w:rsidP="00DF523D">
            <w:pPr>
              <w:tabs>
                <w:tab w:val="left" w:pos="2610"/>
              </w:tabs>
              <w:rPr>
                <w:rFonts w:ascii="Arial" w:hAnsi="Arial" w:cs="Arial"/>
                <w:sz w:val="20"/>
                <w:highlight w:val="yellow"/>
              </w:rPr>
            </w:pPr>
          </w:p>
        </w:tc>
        <w:tc>
          <w:tcPr>
            <w:tcW w:w="1286" w:type="dxa"/>
          </w:tcPr>
          <w:p w:rsidR="00F90318" w:rsidRPr="006117CF" w:rsidRDefault="00F90318" w:rsidP="00DF523D">
            <w:pPr>
              <w:tabs>
                <w:tab w:val="left" w:pos="-618"/>
              </w:tabs>
              <w:ind w:left="-618" w:firstLine="540"/>
              <w:jc w:val="right"/>
              <w:rPr>
                <w:rFonts w:ascii="Arial" w:hAnsi="Arial" w:cs="Arial"/>
                <w:sz w:val="20"/>
                <w:highlight w:val="yellow"/>
              </w:rPr>
            </w:pPr>
            <w:r>
              <w:rPr>
                <w:rFonts w:ascii="Arial" w:hAnsi="Arial" w:cs="Arial"/>
                <w:sz w:val="20"/>
              </w:rPr>
              <w:t>27,608,530</w:t>
            </w:r>
          </w:p>
        </w:tc>
      </w:tr>
      <w:tr w:rsidR="00F90318" w:rsidRPr="006117CF" w:rsidTr="00DF523D">
        <w:trPr>
          <w:cantSplit/>
          <w:jc w:val="center"/>
        </w:trPr>
        <w:tc>
          <w:tcPr>
            <w:tcW w:w="3109" w:type="dxa"/>
          </w:tcPr>
          <w:p w:rsidR="00F90318" w:rsidRPr="009D46F0" w:rsidRDefault="00F90318" w:rsidP="00DF523D">
            <w:pPr>
              <w:tabs>
                <w:tab w:val="left" w:pos="2610"/>
              </w:tabs>
              <w:rPr>
                <w:rFonts w:ascii="Arial" w:hAnsi="Arial" w:cs="Arial"/>
                <w:sz w:val="20"/>
              </w:rPr>
            </w:pPr>
            <w:r w:rsidRPr="009D46F0">
              <w:rPr>
                <w:rFonts w:ascii="Arial" w:hAnsi="Arial" w:cs="Arial"/>
                <w:sz w:val="20"/>
              </w:rPr>
              <w:t>e) Gastos y otras pérdidas</w:t>
            </w:r>
          </w:p>
        </w:tc>
        <w:tc>
          <w:tcPr>
            <w:tcW w:w="0" w:type="auto"/>
          </w:tcPr>
          <w:p w:rsidR="00F90318" w:rsidRPr="006117CF" w:rsidRDefault="00F90318" w:rsidP="00DF523D">
            <w:pPr>
              <w:tabs>
                <w:tab w:val="left" w:pos="2610"/>
              </w:tabs>
              <w:rPr>
                <w:rFonts w:ascii="Arial" w:hAnsi="Arial" w:cs="Arial"/>
                <w:sz w:val="20"/>
                <w:highlight w:val="yellow"/>
              </w:rPr>
            </w:pPr>
          </w:p>
        </w:tc>
        <w:tc>
          <w:tcPr>
            <w:tcW w:w="1286" w:type="dxa"/>
          </w:tcPr>
          <w:p w:rsidR="00F90318" w:rsidRPr="006117CF" w:rsidRDefault="00F90318" w:rsidP="00DF523D">
            <w:pPr>
              <w:tabs>
                <w:tab w:val="left" w:pos="-618"/>
              </w:tabs>
              <w:ind w:left="-618" w:firstLine="540"/>
              <w:jc w:val="right"/>
              <w:rPr>
                <w:rFonts w:ascii="Arial" w:hAnsi="Arial" w:cs="Arial"/>
                <w:sz w:val="20"/>
                <w:highlight w:val="yellow"/>
              </w:rPr>
            </w:pPr>
            <w:r>
              <w:rPr>
                <w:rFonts w:ascii="Arial" w:hAnsi="Arial" w:cs="Arial"/>
                <w:sz w:val="20"/>
              </w:rPr>
              <w:t>6,221,869</w:t>
            </w:r>
          </w:p>
        </w:tc>
      </w:tr>
    </w:tbl>
    <w:p w:rsidR="00F90318" w:rsidRPr="00F90318" w:rsidRDefault="00F90318" w:rsidP="00B208A1">
      <w:pPr>
        <w:pStyle w:val="Prrafodelista"/>
        <w:spacing w:line="360" w:lineRule="auto"/>
        <w:ind w:left="0"/>
        <w:contextualSpacing/>
        <w:jc w:val="both"/>
        <w:rPr>
          <w:rFonts w:ascii="Arial" w:hAnsi="Arial" w:cs="Arial"/>
          <w:bCs/>
          <w:sz w:val="24"/>
        </w:rPr>
      </w:pPr>
    </w:p>
    <w:p w:rsidR="00493A57" w:rsidRDefault="00493A57" w:rsidP="00B208A1">
      <w:pPr>
        <w:pStyle w:val="Prrafodelista"/>
        <w:spacing w:line="360" w:lineRule="auto"/>
        <w:ind w:left="0"/>
        <w:contextualSpacing/>
        <w:jc w:val="both"/>
        <w:rPr>
          <w:rFonts w:ascii="Arial" w:hAnsi="Arial" w:cs="Arial"/>
          <w:bCs/>
          <w:sz w:val="24"/>
        </w:rPr>
      </w:pPr>
    </w:p>
    <w:p w:rsidR="00B208A1" w:rsidRDefault="00B208A1" w:rsidP="00B208A1">
      <w:pPr>
        <w:pStyle w:val="Prrafodelista"/>
        <w:spacing w:line="360" w:lineRule="auto"/>
        <w:ind w:left="0"/>
        <w:contextualSpacing/>
        <w:jc w:val="both"/>
        <w:rPr>
          <w:rFonts w:ascii="Arial" w:hAnsi="Arial" w:cs="Arial"/>
          <w:bCs/>
          <w:sz w:val="24"/>
        </w:rPr>
      </w:pPr>
    </w:p>
    <w:p w:rsidR="005F4540" w:rsidRDefault="005F4540" w:rsidP="009C0345">
      <w:pPr>
        <w:spacing w:after="0"/>
        <w:contextualSpacing/>
        <w:jc w:val="both"/>
        <w:rPr>
          <w:rFonts w:ascii="Arial" w:hAnsi="Arial" w:cs="Arial"/>
          <w:b/>
          <w:sz w:val="24"/>
        </w:rPr>
      </w:pPr>
    </w:p>
    <w:p w:rsidR="00381115" w:rsidRPr="0072204F" w:rsidRDefault="005F4540" w:rsidP="00381115">
      <w:pPr>
        <w:pStyle w:val="Prrafodelista"/>
        <w:numPr>
          <w:ilvl w:val="0"/>
          <w:numId w:val="4"/>
        </w:numPr>
        <w:spacing w:after="0"/>
        <w:contextualSpacing/>
        <w:jc w:val="both"/>
        <w:rPr>
          <w:rFonts w:ascii="Arial" w:hAnsi="Arial" w:cs="Arial"/>
          <w:b/>
          <w:sz w:val="24"/>
        </w:rPr>
      </w:pPr>
      <w:r>
        <w:rPr>
          <w:rFonts w:ascii="Arial" w:hAnsi="Arial" w:cs="Arial"/>
          <w:b/>
          <w:sz w:val="24"/>
        </w:rPr>
        <w:t>Cumplimiento de la Ley de Contabilidad Gubernamental y de las disposiciones contenidas</w:t>
      </w:r>
      <w:r w:rsidR="00381115" w:rsidRPr="0072204F">
        <w:rPr>
          <w:rFonts w:ascii="Arial" w:hAnsi="Arial" w:cs="Arial"/>
          <w:b/>
          <w:sz w:val="24"/>
        </w:rPr>
        <w:t xml:space="preserve"> e</w:t>
      </w:r>
      <w:r>
        <w:rPr>
          <w:rFonts w:ascii="Arial" w:hAnsi="Arial" w:cs="Arial"/>
          <w:b/>
          <w:sz w:val="24"/>
        </w:rPr>
        <w:t>n los ordenamientos y normativa</w:t>
      </w:r>
      <w:r w:rsidR="00381115" w:rsidRPr="0072204F">
        <w:rPr>
          <w:rFonts w:ascii="Arial" w:hAnsi="Arial" w:cs="Arial"/>
          <w:b/>
          <w:sz w:val="24"/>
        </w:rPr>
        <w:t xml:space="preserve"> correspondientes.</w:t>
      </w:r>
    </w:p>
    <w:p w:rsidR="00381115" w:rsidRPr="00381115" w:rsidRDefault="00381115" w:rsidP="00381115">
      <w:pPr>
        <w:pStyle w:val="Prrafodelista"/>
        <w:spacing w:after="0"/>
        <w:contextualSpacing/>
        <w:jc w:val="both"/>
        <w:rPr>
          <w:rFonts w:ascii="Arial" w:hAnsi="Arial" w:cs="Arial"/>
          <w:sz w:val="24"/>
        </w:rPr>
      </w:pPr>
    </w:p>
    <w:p w:rsidR="00381115" w:rsidRDefault="00381115" w:rsidP="009A7A82">
      <w:pPr>
        <w:spacing w:after="0" w:line="360" w:lineRule="auto"/>
        <w:ind w:firstLine="709"/>
        <w:contextualSpacing/>
        <w:jc w:val="both"/>
        <w:rPr>
          <w:rFonts w:ascii="Arial" w:hAnsi="Arial" w:cs="Arial"/>
          <w:sz w:val="24"/>
        </w:rPr>
      </w:pPr>
      <w:r w:rsidRPr="00381115">
        <w:rPr>
          <w:rFonts w:ascii="Arial" w:hAnsi="Arial" w:cs="Arial"/>
          <w:sz w:val="24"/>
        </w:rPr>
        <w:t>En este sentido nuestro Órgano Técnico Fiscalizador, nos informa que con posterioridad a la verificación de los Estados Financieros que se incluyen e</w:t>
      </w:r>
      <w:r w:rsidR="005F4540">
        <w:rPr>
          <w:rFonts w:ascii="Arial" w:hAnsi="Arial" w:cs="Arial"/>
          <w:sz w:val="24"/>
        </w:rPr>
        <w:t>n la Cuenta Pública, se concluyó</w:t>
      </w:r>
      <w:r w:rsidRPr="00381115">
        <w:rPr>
          <w:rFonts w:ascii="Arial" w:hAnsi="Arial" w:cs="Arial"/>
          <w:sz w:val="24"/>
        </w:rPr>
        <w:t xml:space="preserve"> que su pres</w:t>
      </w:r>
      <w:r w:rsidR="005F4540">
        <w:rPr>
          <w:rFonts w:ascii="Arial" w:hAnsi="Arial" w:cs="Arial"/>
          <w:sz w:val="24"/>
        </w:rPr>
        <w:t>entación está de acuerdo con la Ley de Contabilidad Gubernamental</w:t>
      </w:r>
      <w:r w:rsidRPr="00381115">
        <w:rPr>
          <w:rFonts w:ascii="Arial" w:hAnsi="Arial" w:cs="Arial"/>
          <w:sz w:val="24"/>
        </w:rPr>
        <w:t xml:space="preserve">, normatividad aplicable a este tipo de </w:t>
      </w:r>
      <w:r w:rsidR="005F4540">
        <w:rPr>
          <w:rFonts w:ascii="Arial" w:hAnsi="Arial" w:cs="Arial"/>
          <w:sz w:val="24"/>
        </w:rPr>
        <w:t>Ente Público</w:t>
      </w:r>
      <w:r w:rsidRPr="00381115">
        <w:rPr>
          <w:rFonts w:ascii="Arial" w:hAnsi="Arial" w:cs="Arial"/>
          <w:sz w:val="24"/>
        </w:rPr>
        <w:t xml:space="preserve"> y se apegó al cumplimiento de la Ley de Egresos del Estado de Nuevo León y demás ordenami</w:t>
      </w:r>
      <w:r>
        <w:rPr>
          <w:rFonts w:ascii="Arial" w:hAnsi="Arial" w:cs="Arial"/>
          <w:sz w:val="24"/>
        </w:rPr>
        <w:t>entos aplicables en la materia.</w:t>
      </w:r>
    </w:p>
    <w:p w:rsidR="005F4540" w:rsidRDefault="005F4540" w:rsidP="009A7A82">
      <w:pPr>
        <w:spacing w:after="0" w:line="360" w:lineRule="auto"/>
        <w:ind w:firstLine="709"/>
        <w:contextualSpacing/>
        <w:jc w:val="both"/>
        <w:rPr>
          <w:rFonts w:ascii="Arial" w:hAnsi="Arial" w:cs="Arial"/>
          <w:sz w:val="24"/>
        </w:rPr>
      </w:pPr>
    </w:p>
    <w:p w:rsidR="005F4540" w:rsidRDefault="005F4540" w:rsidP="005F4540">
      <w:pPr>
        <w:pStyle w:val="Prrafodelista"/>
        <w:numPr>
          <w:ilvl w:val="0"/>
          <w:numId w:val="4"/>
        </w:numPr>
        <w:spacing w:after="0" w:line="240" w:lineRule="auto"/>
        <w:contextualSpacing/>
        <w:jc w:val="both"/>
        <w:rPr>
          <w:rFonts w:ascii="Arial" w:hAnsi="Arial" w:cs="Arial"/>
          <w:b/>
          <w:sz w:val="24"/>
        </w:rPr>
      </w:pPr>
      <w:r>
        <w:rPr>
          <w:rFonts w:ascii="Arial" w:hAnsi="Arial" w:cs="Arial"/>
          <w:b/>
          <w:sz w:val="24"/>
        </w:rPr>
        <w:t>La Evaluación del avance o cumplimiento de los programas y subprogramas aprobados.</w:t>
      </w:r>
    </w:p>
    <w:p w:rsidR="005F4540" w:rsidRDefault="005F4540" w:rsidP="005F4540">
      <w:pPr>
        <w:pStyle w:val="Prrafodelista"/>
        <w:spacing w:after="0" w:line="240" w:lineRule="auto"/>
        <w:contextualSpacing/>
        <w:jc w:val="both"/>
        <w:rPr>
          <w:rFonts w:ascii="Arial" w:hAnsi="Arial" w:cs="Arial"/>
          <w:b/>
          <w:sz w:val="24"/>
        </w:rPr>
      </w:pPr>
    </w:p>
    <w:p w:rsidR="005F4540" w:rsidRDefault="005F4540" w:rsidP="005F4540">
      <w:pPr>
        <w:pStyle w:val="Textoindependiente"/>
        <w:spacing w:line="360" w:lineRule="auto"/>
        <w:rPr>
          <w:rFonts w:ascii="Arial" w:hAnsi="Arial" w:cs="Arial"/>
          <w:sz w:val="24"/>
          <w:szCs w:val="24"/>
          <w:lang w:val="es-MX"/>
        </w:rPr>
      </w:pPr>
      <w:r w:rsidRPr="00B1053E">
        <w:rPr>
          <w:rFonts w:ascii="Arial" w:hAnsi="Arial" w:cs="Arial"/>
          <w:sz w:val="24"/>
          <w:szCs w:val="24"/>
          <w:lang w:val="es-MX"/>
        </w:rPr>
        <w:t>Los indicadores de gestión determinados por la administración del Fideicomiso son los siguientes:</w:t>
      </w:r>
    </w:p>
    <w:p w:rsidR="00C033DF" w:rsidRDefault="00C033DF" w:rsidP="005F4540">
      <w:pPr>
        <w:pStyle w:val="Textoindependiente"/>
        <w:spacing w:line="360" w:lineRule="auto"/>
        <w:rPr>
          <w:rFonts w:ascii="Arial" w:hAnsi="Arial" w:cs="Arial"/>
          <w:sz w:val="24"/>
          <w:szCs w:val="24"/>
          <w:lang w:val="es-MX"/>
        </w:rPr>
      </w:pPr>
    </w:p>
    <w:p w:rsidR="00381115" w:rsidRPr="00F90318" w:rsidRDefault="00F90318" w:rsidP="009C0345">
      <w:pPr>
        <w:spacing w:after="0"/>
        <w:contextualSpacing/>
        <w:jc w:val="both"/>
        <w:rPr>
          <w:rFonts w:ascii="Arial" w:eastAsia="Times New Roman" w:hAnsi="Arial" w:cs="Arial"/>
          <w:sz w:val="24"/>
          <w:szCs w:val="24"/>
          <w:lang w:eastAsia="ar-SA"/>
        </w:rPr>
      </w:pPr>
      <w:r>
        <w:rPr>
          <w:rFonts w:ascii="Arial" w:eastAsia="Times New Roman" w:hAnsi="Arial" w:cs="Arial"/>
          <w:noProof/>
          <w:sz w:val="24"/>
          <w:szCs w:val="24"/>
          <w:lang w:val="es-MX" w:eastAsia="es-MX"/>
        </w:rPr>
        <w:lastRenderedPageBreak/>
        <w:drawing>
          <wp:inline distT="0" distB="0" distL="0" distR="0">
            <wp:extent cx="5252720" cy="20097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2720" cy="2009775"/>
                    </a:xfrm>
                    <a:prstGeom prst="rect">
                      <a:avLst/>
                    </a:prstGeom>
                    <a:noFill/>
                    <a:ln>
                      <a:noFill/>
                    </a:ln>
                  </pic:spPr>
                </pic:pic>
              </a:graphicData>
            </a:graphic>
          </wp:inline>
        </w:drawing>
      </w:r>
    </w:p>
    <w:p w:rsidR="00C033DF" w:rsidRPr="00253C6A" w:rsidRDefault="00C033DF" w:rsidP="009C0345">
      <w:pPr>
        <w:spacing w:after="0"/>
        <w:contextualSpacing/>
        <w:jc w:val="both"/>
        <w:rPr>
          <w:rFonts w:ascii="Arial" w:hAnsi="Arial" w:cs="Arial"/>
          <w:b/>
          <w:sz w:val="24"/>
        </w:rPr>
      </w:pPr>
    </w:p>
    <w:p w:rsidR="008B1EB7" w:rsidRPr="00C033DF" w:rsidRDefault="00C033DF" w:rsidP="00C033DF">
      <w:pPr>
        <w:pStyle w:val="Textoindependiente"/>
        <w:numPr>
          <w:ilvl w:val="0"/>
          <w:numId w:val="3"/>
        </w:numPr>
        <w:suppressAutoHyphens w:val="0"/>
        <w:ind w:left="284" w:hanging="284"/>
        <w:rPr>
          <w:rFonts w:ascii="Arial" w:hAnsi="Arial" w:cs="Arial"/>
          <w:b/>
          <w:sz w:val="24"/>
          <w:szCs w:val="24"/>
          <w:lang w:val="es-MX"/>
        </w:rPr>
      </w:pPr>
      <w:r w:rsidRPr="0090708F">
        <w:rPr>
          <w:rFonts w:ascii="Arial" w:hAnsi="Arial" w:cs="Arial"/>
          <w:b/>
          <w:sz w:val="24"/>
          <w:szCs w:val="24"/>
          <w:lang w:val="es-MX"/>
        </w:rPr>
        <w:t>Observaciones derivadas de la revisión practicada, las aclaraciones a las mismas por los funcionarios responsables y su análisis por la Auditoría Superior del Estado, incluyendo las acciones que se ejercerán y recomendaciones que se formularán</w:t>
      </w:r>
      <w:r>
        <w:rPr>
          <w:rFonts w:ascii="Arial" w:hAnsi="Arial" w:cs="Arial"/>
          <w:b/>
          <w:sz w:val="24"/>
          <w:szCs w:val="24"/>
          <w:lang w:val="es-MX"/>
        </w:rPr>
        <w:t>.</w:t>
      </w:r>
    </w:p>
    <w:p w:rsidR="008B1EB7" w:rsidRDefault="008B1EB7" w:rsidP="008B1EB7">
      <w:pPr>
        <w:spacing w:after="0"/>
        <w:contextualSpacing/>
        <w:jc w:val="both"/>
        <w:rPr>
          <w:rFonts w:ascii="Arial" w:hAnsi="Arial" w:cs="Arial"/>
          <w:sz w:val="24"/>
        </w:rPr>
      </w:pPr>
    </w:p>
    <w:p w:rsidR="00C033DF" w:rsidRDefault="00C033DF" w:rsidP="008B1EB7">
      <w:pPr>
        <w:spacing w:after="0"/>
        <w:contextualSpacing/>
        <w:jc w:val="both"/>
        <w:rPr>
          <w:rFonts w:ascii="Arial" w:hAnsi="Arial" w:cs="Arial"/>
          <w:b/>
          <w:sz w:val="24"/>
        </w:rPr>
      </w:pPr>
    </w:p>
    <w:p w:rsidR="008B1EB7" w:rsidRDefault="00412005" w:rsidP="008B1EB7">
      <w:pPr>
        <w:spacing w:after="0"/>
        <w:contextualSpacing/>
        <w:jc w:val="both"/>
        <w:rPr>
          <w:rFonts w:ascii="Arial" w:hAnsi="Arial" w:cs="Arial"/>
          <w:b/>
          <w:sz w:val="24"/>
        </w:rPr>
      </w:pPr>
      <w:r>
        <w:rPr>
          <w:rFonts w:ascii="Arial" w:hAnsi="Arial" w:cs="Arial"/>
          <w:b/>
          <w:sz w:val="24"/>
        </w:rPr>
        <w:t xml:space="preserve">GESTIÓN FINANCIERA </w:t>
      </w:r>
    </w:p>
    <w:p w:rsidR="00412005" w:rsidRDefault="00412005" w:rsidP="00412005">
      <w:pPr>
        <w:spacing w:after="0"/>
        <w:contextualSpacing/>
        <w:jc w:val="both"/>
        <w:rPr>
          <w:rFonts w:ascii="Arial" w:hAnsi="Arial" w:cs="Arial"/>
          <w:b/>
          <w:sz w:val="24"/>
          <w:u w:val="single"/>
        </w:rPr>
      </w:pPr>
    </w:p>
    <w:p w:rsidR="00412005" w:rsidRDefault="00412005" w:rsidP="00412005">
      <w:pPr>
        <w:spacing w:after="0"/>
        <w:contextualSpacing/>
        <w:jc w:val="both"/>
        <w:rPr>
          <w:rFonts w:ascii="Arial" w:hAnsi="Arial" w:cs="Arial"/>
          <w:b/>
          <w:sz w:val="24"/>
          <w:u w:val="single"/>
        </w:rPr>
      </w:pPr>
      <w:r w:rsidRPr="00412005">
        <w:rPr>
          <w:rFonts w:ascii="Arial" w:hAnsi="Arial" w:cs="Arial"/>
          <w:b/>
          <w:sz w:val="24"/>
          <w:u w:val="single"/>
        </w:rPr>
        <w:t>LEY GENERAL DE CONTABILIDAD GUBERNAMENTAL</w:t>
      </w:r>
    </w:p>
    <w:p w:rsidR="00F90318" w:rsidRPr="00F90318" w:rsidRDefault="00F90318" w:rsidP="00F90318">
      <w:pPr>
        <w:spacing w:after="0" w:line="360" w:lineRule="auto"/>
        <w:contextualSpacing/>
        <w:jc w:val="both"/>
        <w:rPr>
          <w:rFonts w:ascii="Arial" w:hAnsi="Arial" w:cs="Arial"/>
          <w:sz w:val="24"/>
        </w:rPr>
      </w:pPr>
      <w:r w:rsidRPr="00F90318">
        <w:rPr>
          <w:rFonts w:ascii="Arial" w:hAnsi="Arial" w:cs="Arial"/>
          <w:b/>
          <w:sz w:val="24"/>
        </w:rPr>
        <w:t xml:space="preserve">1. </w:t>
      </w:r>
      <w:r w:rsidRPr="00F90318">
        <w:rPr>
          <w:rFonts w:ascii="Arial" w:hAnsi="Arial" w:cs="Arial"/>
          <w:sz w:val="24"/>
        </w:rPr>
        <w:t>Se revisó la observancia de la Ley General de Co</w:t>
      </w:r>
      <w:r w:rsidR="00BE0FAF">
        <w:rPr>
          <w:rFonts w:ascii="Arial" w:hAnsi="Arial" w:cs="Arial"/>
          <w:sz w:val="24"/>
        </w:rPr>
        <w:t xml:space="preserve">ntabilidad Gubernamental (LGCG) </w:t>
      </w:r>
      <w:r w:rsidRPr="00F90318">
        <w:rPr>
          <w:rFonts w:ascii="Arial" w:hAnsi="Arial" w:cs="Arial"/>
          <w:sz w:val="24"/>
        </w:rPr>
        <w:t>y la normatividad emitida por el Consejo Nacional de</w:t>
      </w:r>
      <w:r w:rsidR="00BE0FAF">
        <w:rPr>
          <w:rFonts w:ascii="Arial" w:hAnsi="Arial" w:cs="Arial"/>
          <w:sz w:val="24"/>
        </w:rPr>
        <w:t xml:space="preserve"> Armonización Contable (Conac), </w:t>
      </w:r>
      <w:r w:rsidRPr="00F90318">
        <w:rPr>
          <w:rFonts w:ascii="Arial" w:hAnsi="Arial" w:cs="Arial"/>
          <w:sz w:val="24"/>
        </w:rPr>
        <w:t xml:space="preserve">advirtiéndose incumplimientos por parte del Ente Público, </w:t>
      </w:r>
      <w:r w:rsidR="00BE0FAF">
        <w:rPr>
          <w:rFonts w:ascii="Arial" w:hAnsi="Arial" w:cs="Arial"/>
          <w:sz w:val="24"/>
        </w:rPr>
        <w:t xml:space="preserve">a las obligaciones que diversos </w:t>
      </w:r>
      <w:r w:rsidRPr="00F90318">
        <w:rPr>
          <w:rFonts w:ascii="Arial" w:hAnsi="Arial" w:cs="Arial"/>
          <w:sz w:val="24"/>
        </w:rPr>
        <w:t>preceptos de la referida Ley le imponen, acorde con lo que se enuncia a continuación:</w:t>
      </w:r>
    </w:p>
    <w:p w:rsidR="00BE0FAF" w:rsidRDefault="00BE0FAF" w:rsidP="00F90318">
      <w:pPr>
        <w:spacing w:after="0" w:line="360" w:lineRule="auto"/>
        <w:contextualSpacing/>
        <w:jc w:val="both"/>
        <w:rPr>
          <w:rFonts w:ascii="Arial" w:hAnsi="Arial" w:cs="Arial"/>
          <w:sz w:val="24"/>
        </w:rPr>
      </w:pPr>
    </w:p>
    <w:p w:rsidR="00F90318" w:rsidRPr="00BE0FAF" w:rsidRDefault="00F90318" w:rsidP="00F90318">
      <w:pPr>
        <w:spacing w:after="0" w:line="360" w:lineRule="auto"/>
        <w:contextualSpacing/>
        <w:jc w:val="both"/>
        <w:rPr>
          <w:rFonts w:ascii="Arial" w:hAnsi="Arial" w:cs="Arial"/>
          <w:b/>
          <w:sz w:val="24"/>
        </w:rPr>
      </w:pPr>
      <w:r w:rsidRPr="00BE0FAF">
        <w:rPr>
          <w:rFonts w:ascii="Arial" w:hAnsi="Arial" w:cs="Arial"/>
          <w:b/>
          <w:sz w:val="24"/>
        </w:rPr>
        <w:t>I. Registros presupuestarios</w:t>
      </w:r>
    </w:p>
    <w:p w:rsidR="00F90318" w:rsidRPr="00F90318" w:rsidRDefault="00F90318" w:rsidP="00F90318">
      <w:pPr>
        <w:spacing w:after="0" w:line="360" w:lineRule="auto"/>
        <w:contextualSpacing/>
        <w:jc w:val="both"/>
        <w:rPr>
          <w:rFonts w:ascii="Arial" w:hAnsi="Arial" w:cs="Arial"/>
          <w:sz w:val="24"/>
        </w:rPr>
      </w:pPr>
      <w:r w:rsidRPr="00F90318">
        <w:rPr>
          <w:rFonts w:ascii="Arial" w:hAnsi="Arial" w:cs="Arial"/>
          <w:sz w:val="24"/>
        </w:rPr>
        <w:t>a) Realizar los registros en las etapas del pres</w:t>
      </w:r>
      <w:r w:rsidR="00BE0FAF">
        <w:rPr>
          <w:rFonts w:ascii="Arial" w:hAnsi="Arial" w:cs="Arial"/>
          <w:sz w:val="24"/>
        </w:rPr>
        <w:t xml:space="preserve">upuesto de egresos en aprobado, </w:t>
      </w:r>
      <w:r w:rsidRPr="00F90318">
        <w:rPr>
          <w:rFonts w:ascii="Arial" w:hAnsi="Arial" w:cs="Arial"/>
          <w:sz w:val="24"/>
        </w:rPr>
        <w:t>modificado, comprometido, devengado, ejercido y pa</w:t>
      </w:r>
      <w:r w:rsidR="00BE0FAF">
        <w:rPr>
          <w:rFonts w:ascii="Arial" w:hAnsi="Arial" w:cs="Arial"/>
          <w:sz w:val="24"/>
        </w:rPr>
        <w:t xml:space="preserve">gado y del ingreso en estimado, </w:t>
      </w:r>
      <w:r w:rsidRPr="00F90318">
        <w:rPr>
          <w:rFonts w:ascii="Arial" w:hAnsi="Arial" w:cs="Arial"/>
          <w:sz w:val="24"/>
        </w:rPr>
        <w:t xml:space="preserve">modificado, devengado y recaudado (artículo 38, </w:t>
      </w:r>
      <w:r w:rsidRPr="00F90318">
        <w:rPr>
          <w:rFonts w:ascii="Arial" w:hAnsi="Arial" w:cs="Arial"/>
          <w:sz w:val="24"/>
        </w:rPr>
        <w:lastRenderedPageBreak/>
        <w:t>conforme a No</w:t>
      </w:r>
      <w:r w:rsidR="00BE0FAF">
        <w:rPr>
          <w:rFonts w:ascii="Arial" w:hAnsi="Arial" w:cs="Arial"/>
          <w:sz w:val="24"/>
        </w:rPr>
        <w:t xml:space="preserve">rmas y metodología </w:t>
      </w:r>
      <w:r w:rsidRPr="00F90318">
        <w:rPr>
          <w:rFonts w:ascii="Arial" w:hAnsi="Arial" w:cs="Arial"/>
          <w:sz w:val="24"/>
        </w:rPr>
        <w:t>para la determinación de los momentos conta</w:t>
      </w:r>
      <w:r w:rsidR="00BE0FAF">
        <w:rPr>
          <w:rFonts w:ascii="Arial" w:hAnsi="Arial" w:cs="Arial"/>
          <w:sz w:val="24"/>
        </w:rPr>
        <w:t xml:space="preserve">bles de los ingresos y Normas y </w:t>
      </w:r>
      <w:r w:rsidRPr="00F90318">
        <w:rPr>
          <w:rFonts w:ascii="Arial" w:hAnsi="Arial" w:cs="Arial"/>
          <w:sz w:val="24"/>
        </w:rPr>
        <w:t>metodología para la determinación de los momentos contables de los egresos).</w:t>
      </w:r>
    </w:p>
    <w:p w:rsidR="00F90318" w:rsidRPr="00F90318" w:rsidRDefault="00F90318" w:rsidP="00F90318">
      <w:pPr>
        <w:spacing w:after="0" w:line="360" w:lineRule="auto"/>
        <w:contextualSpacing/>
        <w:jc w:val="both"/>
        <w:rPr>
          <w:rFonts w:ascii="Arial" w:hAnsi="Arial" w:cs="Arial"/>
          <w:sz w:val="24"/>
        </w:rPr>
      </w:pPr>
      <w:r w:rsidRPr="00F90318">
        <w:rPr>
          <w:rFonts w:ascii="Arial" w:hAnsi="Arial" w:cs="Arial"/>
          <w:sz w:val="24"/>
        </w:rPr>
        <w:t>b) Generar registros automáticos y por únic</w:t>
      </w:r>
      <w:r w:rsidR="00BE0FAF">
        <w:rPr>
          <w:rFonts w:ascii="Arial" w:hAnsi="Arial" w:cs="Arial"/>
          <w:sz w:val="24"/>
        </w:rPr>
        <w:t xml:space="preserve">a vez en los momentos contables </w:t>
      </w:r>
      <w:r w:rsidRPr="00F90318">
        <w:rPr>
          <w:rFonts w:ascii="Arial" w:hAnsi="Arial" w:cs="Arial"/>
          <w:sz w:val="24"/>
        </w:rPr>
        <w:t>correspondientes de los procesos administra</w:t>
      </w:r>
      <w:r w:rsidR="00BE0FAF">
        <w:rPr>
          <w:rFonts w:ascii="Arial" w:hAnsi="Arial" w:cs="Arial"/>
          <w:sz w:val="24"/>
        </w:rPr>
        <w:t xml:space="preserve">tivos de los Entes Públicos que </w:t>
      </w:r>
      <w:r w:rsidRPr="00F90318">
        <w:rPr>
          <w:rFonts w:ascii="Arial" w:hAnsi="Arial" w:cs="Arial"/>
          <w:sz w:val="24"/>
        </w:rPr>
        <w:t xml:space="preserve">impliquen transacciones presupuestarias y contables </w:t>
      </w:r>
      <w:r w:rsidR="00BE0FAF">
        <w:rPr>
          <w:rFonts w:ascii="Arial" w:hAnsi="Arial" w:cs="Arial"/>
          <w:sz w:val="24"/>
        </w:rPr>
        <w:t xml:space="preserve">(artículos 16 y 40, conforme al </w:t>
      </w:r>
      <w:r w:rsidRPr="00F90318">
        <w:rPr>
          <w:rFonts w:ascii="Arial" w:hAnsi="Arial" w:cs="Arial"/>
          <w:sz w:val="24"/>
        </w:rPr>
        <w:t>Acuerdo por el que se determina la norma de infor</w:t>
      </w:r>
      <w:r w:rsidR="00BE0FAF">
        <w:rPr>
          <w:rFonts w:ascii="Arial" w:hAnsi="Arial" w:cs="Arial"/>
          <w:sz w:val="24"/>
        </w:rPr>
        <w:t xml:space="preserve">mación financiera para precisar </w:t>
      </w:r>
      <w:r w:rsidRPr="00F90318">
        <w:rPr>
          <w:rFonts w:ascii="Arial" w:hAnsi="Arial" w:cs="Arial"/>
          <w:sz w:val="24"/>
        </w:rPr>
        <w:t>los alcances del Acuerdo 1 aprobado por el C</w:t>
      </w:r>
      <w:r w:rsidR="00BE0FAF">
        <w:rPr>
          <w:rFonts w:ascii="Arial" w:hAnsi="Arial" w:cs="Arial"/>
          <w:sz w:val="24"/>
        </w:rPr>
        <w:t xml:space="preserve">onsejo Nacional de Armonización </w:t>
      </w:r>
      <w:r w:rsidRPr="00F90318">
        <w:rPr>
          <w:rFonts w:ascii="Arial" w:hAnsi="Arial" w:cs="Arial"/>
          <w:sz w:val="24"/>
        </w:rPr>
        <w:t>Contable, en reunión del 3 de mayo de 2013 y publicado el 16 de mayo de 2013).</w:t>
      </w:r>
    </w:p>
    <w:p w:rsidR="00BE0FAF" w:rsidRDefault="00BE0FAF" w:rsidP="00F90318">
      <w:pPr>
        <w:spacing w:after="0" w:line="360" w:lineRule="auto"/>
        <w:contextualSpacing/>
        <w:jc w:val="both"/>
        <w:rPr>
          <w:rFonts w:ascii="Arial" w:hAnsi="Arial" w:cs="Arial"/>
          <w:sz w:val="24"/>
        </w:rPr>
      </w:pPr>
    </w:p>
    <w:p w:rsidR="00F90318" w:rsidRPr="00BE0FAF" w:rsidRDefault="00F90318" w:rsidP="00F90318">
      <w:pPr>
        <w:spacing w:after="0" w:line="360" w:lineRule="auto"/>
        <w:contextualSpacing/>
        <w:jc w:val="both"/>
        <w:rPr>
          <w:rFonts w:ascii="Arial" w:hAnsi="Arial" w:cs="Arial"/>
          <w:b/>
          <w:sz w:val="24"/>
        </w:rPr>
      </w:pPr>
      <w:r w:rsidRPr="00BE0FAF">
        <w:rPr>
          <w:rFonts w:ascii="Arial" w:hAnsi="Arial" w:cs="Arial"/>
          <w:b/>
          <w:sz w:val="24"/>
        </w:rPr>
        <w:t>II. Registros administrativos</w:t>
      </w:r>
    </w:p>
    <w:p w:rsidR="009A7A82" w:rsidRDefault="00F90318" w:rsidP="00F90318">
      <w:pPr>
        <w:spacing w:after="0" w:line="360" w:lineRule="auto"/>
        <w:contextualSpacing/>
        <w:jc w:val="both"/>
        <w:rPr>
          <w:rFonts w:ascii="Arial" w:hAnsi="Arial" w:cs="Arial"/>
          <w:sz w:val="24"/>
        </w:rPr>
      </w:pPr>
      <w:r w:rsidRPr="00F90318">
        <w:rPr>
          <w:rFonts w:ascii="Arial" w:hAnsi="Arial" w:cs="Arial"/>
          <w:sz w:val="24"/>
        </w:rPr>
        <w:t xml:space="preserve">a) Respaldar la contabilización de las operaciones </w:t>
      </w:r>
      <w:r w:rsidR="00BE0FAF">
        <w:rPr>
          <w:rFonts w:ascii="Arial" w:hAnsi="Arial" w:cs="Arial"/>
          <w:sz w:val="24"/>
        </w:rPr>
        <w:t xml:space="preserve">presupuestarias y contables con </w:t>
      </w:r>
      <w:r w:rsidRPr="00F90318">
        <w:rPr>
          <w:rFonts w:ascii="Arial" w:hAnsi="Arial" w:cs="Arial"/>
          <w:sz w:val="24"/>
        </w:rPr>
        <w:t>la documentación original que compruebe y justifiqu</w:t>
      </w:r>
      <w:r>
        <w:rPr>
          <w:rFonts w:ascii="Arial" w:hAnsi="Arial" w:cs="Arial"/>
          <w:sz w:val="24"/>
        </w:rPr>
        <w:t xml:space="preserve">e los registros que se efectúen </w:t>
      </w:r>
      <w:r w:rsidRPr="00F90318">
        <w:rPr>
          <w:rFonts w:ascii="Arial" w:hAnsi="Arial" w:cs="Arial"/>
          <w:sz w:val="24"/>
        </w:rPr>
        <w:t>(artículo 42).</w:t>
      </w:r>
    </w:p>
    <w:p w:rsidR="00F90318" w:rsidRDefault="00F90318" w:rsidP="00F90318">
      <w:pPr>
        <w:spacing w:after="0" w:line="360" w:lineRule="auto"/>
        <w:contextualSpacing/>
        <w:jc w:val="both"/>
        <w:rPr>
          <w:rFonts w:ascii="Arial" w:hAnsi="Arial" w:cs="Arial"/>
          <w:sz w:val="24"/>
        </w:rPr>
      </w:pPr>
    </w:p>
    <w:p w:rsidR="00F90318" w:rsidRPr="00BE0FAF" w:rsidRDefault="00F90318" w:rsidP="00F90318">
      <w:pPr>
        <w:spacing w:after="0" w:line="360" w:lineRule="auto"/>
        <w:contextualSpacing/>
        <w:jc w:val="both"/>
        <w:rPr>
          <w:rFonts w:ascii="Arial" w:hAnsi="Arial" w:cs="Arial"/>
          <w:b/>
          <w:sz w:val="24"/>
        </w:rPr>
      </w:pPr>
      <w:r w:rsidRPr="00BE0FAF">
        <w:rPr>
          <w:rFonts w:ascii="Arial" w:hAnsi="Arial" w:cs="Arial"/>
          <w:b/>
          <w:sz w:val="24"/>
        </w:rPr>
        <w:t>Análisis de la Auditoría Superior del Estado</w:t>
      </w:r>
    </w:p>
    <w:p w:rsidR="00F90318" w:rsidRPr="00F90318" w:rsidRDefault="00F90318" w:rsidP="00F90318">
      <w:pPr>
        <w:spacing w:after="0" w:line="360" w:lineRule="auto"/>
        <w:contextualSpacing/>
        <w:jc w:val="both"/>
        <w:rPr>
          <w:rFonts w:ascii="Arial" w:hAnsi="Arial" w:cs="Arial"/>
          <w:sz w:val="24"/>
        </w:rPr>
      </w:pPr>
      <w:r w:rsidRPr="00F90318">
        <w:rPr>
          <w:rFonts w:ascii="Arial" w:hAnsi="Arial" w:cs="Arial"/>
          <w:sz w:val="24"/>
        </w:rPr>
        <w:t>Se analizó la respuesta y documentación proporcionada por el</w:t>
      </w:r>
      <w:r w:rsidR="00BE0FAF">
        <w:rPr>
          <w:rFonts w:ascii="Arial" w:hAnsi="Arial" w:cs="Arial"/>
          <w:sz w:val="24"/>
        </w:rPr>
        <w:t xml:space="preserve"> Ente Público, la cual solventa </w:t>
      </w:r>
      <w:r w:rsidRPr="00F90318">
        <w:rPr>
          <w:rFonts w:ascii="Arial" w:hAnsi="Arial" w:cs="Arial"/>
          <w:sz w:val="24"/>
        </w:rPr>
        <w:t>parcialmente, toda vez que se encuentre en proce</w:t>
      </w:r>
      <w:r w:rsidR="00BE0FAF">
        <w:rPr>
          <w:rFonts w:ascii="Arial" w:hAnsi="Arial" w:cs="Arial"/>
          <w:sz w:val="24"/>
        </w:rPr>
        <w:t xml:space="preserve">so de implementación de medidas </w:t>
      </w:r>
      <w:r w:rsidRPr="00F90318">
        <w:rPr>
          <w:rFonts w:ascii="Arial" w:hAnsi="Arial" w:cs="Arial"/>
          <w:sz w:val="24"/>
        </w:rPr>
        <w:t>correctivas, sin embargo, no ha cumplido con la totalidad</w:t>
      </w:r>
      <w:r w:rsidR="00BE0FAF">
        <w:rPr>
          <w:rFonts w:ascii="Arial" w:hAnsi="Arial" w:cs="Arial"/>
          <w:sz w:val="24"/>
        </w:rPr>
        <w:t xml:space="preserve"> de las disposiciones señaladas </w:t>
      </w:r>
      <w:r w:rsidRPr="00F90318">
        <w:rPr>
          <w:rFonts w:ascii="Arial" w:hAnsi="Arial" w:cs="Arial"/>
          <w:sz w:val="24"/>
        </w:rPr>
        <w:t>en la Ley General de Contabilidad Gubernamental y la n</w:t>
      </w:r>
      <w:r w:rsidR="00BE0FAF">
        <w:rPr>
          <w:rFonts w:ascii="Arial" w:hAnsi="Arial" w:cs="Arial"/>
          <w:sz w:val="24"/>
        </w:rPr>
        <w:t xml:space="preserve">ormativa emitida por el Consejo </w:t>
      </w:r>
      <w:r w:rsidRPr="00F90318">
        <w:rPr>
          <w:rFonts w:ascii="Arial" w:hAnsi="Arial" w:cs="Arial"/>
          <w:sz w:val="24"/>
        </w:rPr>
        <w:t>Nacional de Armonización Contable.</w:t>
      </w:r>
    </w:p>
    <w:p w:rsidR="00BE0FAF" w:rsidRDefault="00BE0FAF" w:rsidP="00F90318">
      <w:pPr>
        <w:spacing w:after="0" w:line="360" w:lineRule="auto"/>
        <w:contextualSpacing/>
        <w:jc w:val="both"/>
        <w:rPr>
          <w:rFonts w:ascii="Arial" w:hAnsi="Arial" w:cs="Arial"/>
          <w:sz w:val="24"/>
        </w:rPr>
      </w:pPr>
    </w:p>
    <w:p w:rsidR="00F90318" w:rsidRPr="00BE0FAF" w:rsidRDefault="00F90318" w:rsidP="00F90318">
      <w:pPr>
        <w:spacing w:after="0" w:line="360" w:lineRule="auto"/>
        <w:contextualSpacing/>
        <w:jc w:val="both"/>
        <w:rPr>
          <w:rFonts w:ascii="Arial" w:hAnsi="Arial" w:cs="Arial"/>
          <w:b/>
          <w:sz w:val="24"/>
        </w:rPr>
      </w:pPr>
      <w:r w:rsidRPr="00BE0FAF">
        <w:rPr>
          <w:rFonts w:ascii="Arial" w:hAnsi="Arial" w:cs="Arial"/>
          <w:b/>
          <w:sz w:val="24"/>
        </w:rPr>
        <w:t>Acción(es) o recomendación(es) emitida(s)</w:t>
      </w:r>
    </w:p>
    <w:p w:rsidR="00F90318" w:rsidRPr="00BE0FAF" w:rsidRDefault="00F90318" w:rsidP="00F90318">
      <w:pPr>
        <w:spacing w:after="0" w:line="360" w:lineRule="auto"/>
        <w:contextualSpacing/>
        <w:jc w:val="both"/>
        <w:rPr>
          <w:rFonts w:ascii="Arial" w:hAnsi="Arial" w:cs="Arial"/>
          <w:i/>
          <w:sz w:val="24"/>
        </w:rPr>
      </w:pPr>
      <w:r w:rsidRPr="00BE0FAF">
        <w:rPr>
          <w:rFonts w:ascii="Arial" w:hAnsi="Arial" w:cs="Arial"/>
          <w:i/>
          <w:sz w:val="24"/>
        </w:rPr>
        <w:lastRenderedPageBreak/>
        <w:t>Promoción de Fincamiento de Responsabilidad Administrativa.</w:t>
      </w:r>
    </w:p>
    <w:p w:rsidR="00F90318" w:rsidRPr="00BE0FAF" w:rsidRDefault="00F90318" w:rsidP="00F90318">
      <w:pPr>
        <w:spacing w:after="0" w:line="360" w:lineRule="auto"/>
        <w:contextualSpacing/>
        <w:jc w:val="both"/>
        <w:rPr>
          <w:rFonts w:ascii="Arial" w:hAnsi="Arial" w:cs="Arial"/>
          <w:i/>
          <w:sz w:val="24"/>
        </w:rPr>
      </w:pPr>
      <w:r w:rsidRPr="00BE0FAF">
        <w:rPr>
          <w:rFonts w:ascii="Arial" w:hAnsi="Arial" w:cs="Arial"/>
          <w:i/>
          <w:sz w:val="24"/>
        </w:rPr>
        <w:t>Recomendaciones en Relación a la Gestión o Control Interno.</w:t>
      </w:r>
    </w:p>
    <w:p w:rsidR="00BE0FAF" w:rsidRDefault="00BE0FAF" w:rsidP="00F90318">
      <w:pPr>
        <w:spacing w:after="0" w:line="360" w:lineRule="auto"/>
        <w:contextualSpacing/>
        <w:jc w:val="both"/>
        <w:rPr>
          <w:rFonts w:ascii="Arial" w:hAnsi="Arial" w:cs="Arial"/>
          <w:sz w:val="24"/>
        </w:rPr>
      </w:pPr>
    </w:p>
    <w:p w:rsidR="00F90318" w:rsidRPr="00BE0FAF" w:rsidRDefault="00F90318" w:rsidP="00F90318">
      <w:pPr>
        <w:spacing w:after="0" w:line="360" w:lineRule="auto"/>
        <w:contextualSpacing/>
        <w:jc w:val="both"/>
        <w:rPr>
          <w:rFonts w:ascii="Arial" w:hAnsi="Arial" w:cs="Arial"/>
          <w:b/>
          <w:sz w:val="24"/>
          <w:u w:val="single"/>
        </w:rPr>
      </w:pPr>
      <w:r w:rsidRPr="00BE0FAF">
        <w:rPr>
          <w:rFonts w:ascii="Arial" w:hAnsi="Arial" w:cs="Arial"/>
          <w:b/>
          <w:sz w:val="24"/>
          <w:u w:val="single"/>
        </w:rPr>
        <w:t>Actas</w:t>
      </w:r>
    </w:p>
    <w:p w:rsidR="00F90318" w:rsidRPr="00F90318" w:rsidRDefault="00F90318" w:rsidP="00F90318">
      <w:pPr>
        <w:spacing w:after="0" w:line="360" w:lineRule="auto"/>
        <w:contextualSpacing/>
        <w:jc w:val="both"/>
        <w:rPr>
          <w:rFonts w:ascii="Arial" w:hAnsi="Arial" w:cs="Arial"/>
          <w:sz w:val="24"/>
        </w:rPr>
      </w:pPr>
      <w:r w:rsidRPr="00BE0FAF">
        <w:rPr>
          <w:rFonts w:ascii="Arial" w:hAnsi="Arial" w:cs="Arial"/>
          <w:b/>
          <w:sz w:val="24"/>
        </w:rPr>
        <w:t>2.</w:t>
      </w:r>
      <w:r w:rsidRPr="00F90318">
        <w:rPr>
          <w:rFonts w:ascii="Arial" w:hAnsi="Arial" w:cs="Arial"/>
          <w:sz w:val="24"/>
        </w:rPr>
        <w:t xml:space="preserve"> Durante la revisión al Fideicomiso se observó que el Comité </w:t>
      </w:r>
      <w:r w:rsidR="00BE0FAF">
        <w:rPr>
          <w:rFonts w:ascii="Arial" w:hAnsi="Arial" w:cs="Arial"/>
          <w:sz w:val="24"/>
        </w:rPr>
        <w:t xml:space="preserve">Técnico del Fideicomiso sesionó </w:t>
      </w:r>
      <w:r w:rsidRPr="00F90318">
        <w:rPr>
          <w:rFonts w:ascii="Arial" w:hAnsi="Arial" w:cs="Arial"/>
          <w:sz w:val="24"/>
        </w:rPr>
        <w:t xml:space="preserve">sólo en una ocasión durante el ejercicio 2015, incumpliendo </w:t>
      </w:r>
      <w:r w:rsidR="00BE0FAF">
        <w:rPr>
          <w:rFonts w:ascii="Arial" w:hAnsi="Arial" w:cs="Arial"/>
          <w:sz w:val="24"/>
        </w:rPr>
        <w:t xml:space="preserve">la obligación establecida en el </w:t>
      </w:r>
      <w:r w:rsidRPr="00F90318">
        <w:rPr>
          <w:rFonts w:ascii="Arial" w:hAnsi="Arial" w:cs="Arial"/>
          <w:sz w:val="24"/>
        </w:rPr>
        <w:t>convenio modificatorio al contrato del Fideicomiso del 13 d</w:t>
      </w:r>
      <w:r w:rsidR="00BE0FAF">
        <w:rPr>
          <w:rFonts w:ascii="Arial" w:hAnsi="Arial" w:cs="Arial"/>
          <w:sz w:val="24"/>
        </w:rPr>
        <w:t xml:space="preserve">e octubre de 2010, que menciona </w:t>
      </w:r>
      <w:r w:rsidRPr="00F90318">
        <w:rPr>
          <w:rFonts w:ascii="Arial" w:hAnsi="Arial" w:cs="Arial"/>
          <w:sz w:val="24"/>
        </w:rPr>
        <w:t>en la cláusula quinta fracción IV Obligaciones de</w:t>
      </w:r>
      <w:r w:rsidR="00BE0FAF">
        <w:rPr>
          <w:rFonts w:ascii="Arial" w:hAnsi="Arial" w:cs="Arial"/>
          <w:sz w:val="24"/>
        </w:rPr>
        <w:t xml:space="preserve">l Comité Técnico, lo siguiente: </w:t>
      </w:r>
      <w:r w:rsidRPr="00F90318">
        <w:rPr>
          <w:rFonts w:ascii="Arial" w:hAnsi="Arial" w:cs="Arial"/>
          <w:sz w:val="24"/>
        </w:rPr>
        <w:t>"a. Reunirse por lo menos una vez al mes, y también pod</w:t>
      </w:r>
      <w:r w:rsidR="00BE0FAF">
        <w:rPr>
          <w:rFonts w:ascii="Arial" w:hAnsi="Arial" w:cs="Arial"/>
          <w:sz w:val="24"/>
        </w:rPr>
        <w:t xml:space="preserve">rá ser convocada la Reunión por </w:t>
      </w:r>
      <w:r w:rsidRPr="00F90318">
        <w:rPr>
          <w:rFonts w:ascii="Arial" w:hAnsi="Arial" w:cs="Arial"/>
          <w:sz w:val="24"/>
        </w:rPr>
        <w:t>LA FIDUCIARIA"</w:t>
      </w:r>
    </w:p>
    <w:p w:rsidR="00BE0FAF" w:rsidRDefault="00BE0FAF" w:rsidP="00F90318">
      <w:pPr>
        <w:spacing w:after="0" w:line="360" w:lineRule="auto"/>
        <w:contextualSpacing/>
        <w:jc w:val="both"/>
        <w:rPr>
          <w:rFonts w:ascii="Arial" w:hAnsi="Arial" w:cs="Arial"/>
          <w:sz w:val="24"/>
        </w:rPr>
      </w:pPr>
    </w:p>
    <w:p w:rsidR="00F90318" w:rsidRDefault="00F90318" w:rsidP="00F90318">
      <w:pPr>
        <w:spacing w:after="0" w:line="360" w:lineRule="auto"/>
        <w:contextualSpacing/>
        <w:jc w:val="both"/>
        <w:rPr>
          <w:rFonts w:ascii="Arial" w:hAnsi="Arial" w:cs="Arial"/>
          <w:sz w:val="24"/>
        </w:rPr>
      </w:pPr>
      <w:r w:rsidRPr="00F90318">
        <w:rPr>
          <w:rFonts w:ascii="Arial" w:hAnsi="Arial" w:cs="Arial"/>
          <w:sz w:val="24"/>
        </w:rPr>
        <w:t>Es importante precisar que el convenio modificatorio establece</w:t>
      </w:r>
      <w:r w:rsidR="00BE0FAF">
        <w:rPr>
          <w:rFonts w:ascii="Arial" w:hAnsi="Arial" w:cs="Arial"/>
          <w:sz w:val="24"/>
        </w:rPr>
        <w:t xml:space="preserve"> en la cláusula quinta fracción </w:t>
      </w:r>
      <w:r w:rsidRPr="00F90318">
        <w:rPr>
          <w:rFonts w:ascii="Arial" w:hAnsi="Arial" w:cs="Arial"/>
          <w:sz w:val="24"/>
        </w:rPr>
        <w:t>VI, inciso "a" le corresponde al Secretario Técnico por inst</w:t>
      </w:r>
      <w:r w:rsidR="00BE0FAF">
        <w:rPr>
          <w:rFonts w:ascii="Arial" w:hAnsi="Arial" w:cs="Arial"/>
          <w:sz w:val="24"/>
        </w:rPr>
        <w:t xml:space="preserve">rucción del Presidente convocar </w:t>
      </w:r>
      <w:r w:rsidRPr="00F90318">
        <w:rPr>
          <w:rFonts w:ascii="Arial" w:hAnsi="Arial" w:cs="Arial"/>
          <w:sz w:val="24"/>
        </w:rPr>
        <w:t>a los demás miembros del Comité a las sesiones ordinarias y extraordinarias que procedan.</w:t>
      </w:r>
    </w:p>
    <w:p w:rsidR="00BE0FAF" w:rsidRDefault="00BE0FAF" w:rsidP="00580EB1">
      <w:pPr>
        <w:spacing w:after="0" w:line="360" w:lineRule="auto"/>
        <w:contextualSpacing/>
        <w:jc w:val="both"/>
        <w:rPr>
          <w:rFonts w:ascii="Arial" w:hAnsi="Arial" w:cs="Arial"/>
          <w:sz w:val="24"/>
        </w:rPr>
      </w:pPr>
    </w:p>
    <w:p w:rsidR="00580EB1" w:rsidRPr="00BE0FAF" w:rsidRDefault="00580EB1" w:rsidP="00580EB1">
      <w:pPr>
        <w:spacing w:after="0" w:line="360" w:lineRule="auto"/>
        <w:contextualSpacing/>
        <w:jc w:val="both"/>
        <w:rPr>
          <w:rFonts w:ascii="Arial" w:hAnsi="Arial" w:cs="Arial"/>
          <w:b/>
          <w:sz w:val="24"/>
        </w:rPr>
      </w:pPr>
      <w:r w:rsidRPr="00BE0FAF">
        <w:rPr>
          <w:rFonts w:ascii="Arial" w:hAnsi="Arial" w:cs="Arial"/>
          <w:b/>
          <w:sz w:val="24"/>
        </w:rPr>
        <w:t>Análisis de la Auditoría Superior del Estado</w:t>
      </w:r>
    </w:p>
    <w:p w:rsidR="00580EB1" w:rsidRPr="00580EB1" w:rsidRDefault="00580EB1" w:rsidP="00580EB1">
      <w:pPr>
        <w:spacing w:after="0" w:line="360" w:lineRule="auto"/>
        <w:contextualSpacing/>
        <w:jc w:val="both"/>
        <w:rPr>
          <w:rFonts w:ascii="Arial" w:hAnsi="Arial" w:cs="Arial"/>
          <w:sz w:val="24"/>
        </w:rPr>
      </w:pPr>
      <w:r w:rsidRPr="00580EB1">
        <w:rPr>
          <w:rFonts w:ascii="Arial" w:hAnsi="Arial" w:cs="Arial"/>
          <w:sz w:val="24"/>
        </w:rPr>
        <w:t>Derivado del análisis de la respuesta y evidencia presentada por el Ente</w:t>
      </w:r>
      <w:r w:rsidR="00BE0FAF">
        <w:rPr>
          <w:rFonts w:ascii="Arial" w:hAnsi="Arial" w:cs="Arial"/>
          <w:sz w:val="24"/>
        </w:rPr>
        <w:t xml:space="preserve"> Público, esta </w:t>
      </w:r>
      <w:r w:rsidRPr="00580EB1">
        <w:rPr>
          <w:rFonts w:ascii="Arial" w:hAnsi="Arial" w:cs="Arial"/>
          <w:sz w:val="24"/>
        </w:rPr>
        <w:t xml:space="preserve">observación se solventa parcialmente, debido a que incumplió </w:t>
      </w:r>
      <w:r w:rsidR="00BE0FAF">
        <w:rPr>
          <w:rFonts w:ascii="Arial" w:hAnsi="Arial" w:cs="Arial"/>
          <w:sz w:val="24"/>
        </w:rPr>
        <w:t xml:space="preserve">en la cláusula quinta, fracción </w:t>
      </w:r>
      <w:r w:rsidRPr="00580EB1">
        <w:rPr>
          <w:rFonts w:ascii="Arial" w:hAnsi="Arial" w:cs="Arial"/>
          <w:sz w:val="24"/>
        </w:rPr>
        <w:t>IV del contrato del Fideicomiso, al sesionar en una s</w:t>
      </w:r>
      <w:r w:rsidR="00BE0FAF">
        <w:rPr>
          <w:rFonts w:ascii="Arial" w:hAnsi="Arial" w:cs="Arial"/>
          <w:sz w:val="24"/>
        </w:rPr>
        <w:t xml:space="preserve">ola ocasión, y además de que el </w:t>
      </w:r>
      <w:r w:rsidRPr="00580EB1">
        <w:rPr>
          <w:rFonts w:ascii="Arial" w:hAnsi="Arial" w:cs="Arial"/>
          <w:sz w:val="24"/>
        </w:rPr>
        <w:t>convenio modificatoria exhibido como soporte documental sigue sin ser formalizado.</w:t>
      </w:r>
    </w:p>
    <w:p w:rsidR="00BE0FAF" w:rsidRDefault="00BE0FAF" w:rsidP="00580EB1">
      <w:pPr>
        <w:spacing w:after="0" w:line="360" w:lineRule="auto"/>
        <w:contextualSpacing/>
        <w:jc w:val="both"/>
        <w:rPr>
          <w:rFonts w:ascii="Arial" w:hAnsi="Arial" w:cs="Arial"/>
          <w:sz w:val="24"/>
        </w:rPr>
      </w:pPr>
    </w:p>
    <w:p w:rsidR="00580EB1" w:rsidRPr="00BE0FAF" w:rsidRDefault="00580EB1" w:rsidP="00580EB1">
      <w:pPr>
        <w:spacing w:after="0" w:line="360" w:lineRule="auto"/>
        <w:contextualSpacing/>
        <w:jc w:val="both"/>
        <w:rPr>
          <w:rFonts w:ascii="Arial" w:hAnsi="Arial" w:cs="Arial"/>
          <w:b/>
          <w:sz w:val="24"/>
        </w:rPr>
      </w:pPr>
      <w:r w:rsidRPr="00BE0FAF">
        <w:rPr>
          <w:rFonts w:ascii="Arial" w:hAnsi="Arial" w:cs="Arial"/>
          <w:b/>
          <w:sz w:val="24"/>
        </w:rPr>
        <w:t>Acción(es) o recomendación(es) emitida(s)</w:t>
      </w:r>
    </w:p>
    <w:p w:rsidR="00580EB1" w:rsidRPr="00BE0FAF" w:rsidRDefault="00580EB1" w:rsidP="00580EB1">
      <w:pPr>
        <w:spacing w:after="0" w:line="360" w:lineRule="auto"/>
        <w:contextualSpacing/>
        <w:jc w:val="both"/>
        <w:rPr>
          <w:rFonts w:ascii="Arial" w:hAnsi="Arial" w:cs="Arial"/>
          <w:i/>
          <w:sz w:val="24"/>
        </w:rPr>
      </w:pPr>
      <w:r w:rsidRPr="00BE0FAF">
        <w:rPr>
          <w:rFonts w:ascii="Arial" w:hAnsi="Arial" w:cs="Arial"/>
          <w:i/>
          <w:sz w:val="24"/>
        </w:rPr>
        <w:lastRenderedPageBreak/>
        <w:t>Promoción de Fincamiento de Responsabilidad Administrativa.</w:t>
      </w:r>
    </w:p>
    <w:p w:rsidR="00BE0FAF" w:rsidRDefault="00BE0FAF" w:rsidP="00580EB1">
      <w:pPr>
        <w:spacing w:after="0" w:line="360" w:lineRule="auto"/>
        <w:contextualSpacing/>
        <w:jc w:val="both"/>
        <w:rPr>
          <w:rFonts w:ascii="Arial" w:hAnsi="Arial" w:cs="Arial"/>
          <w:sz w:val="24"/>
        </w:rPr>
      </w:pPr>
    </w:p>
    <w:p w:rsidR="00BE0FAF" w:rsidRDefault="00580EB1" w:rsidP="00580EB1">
      <w:pPr>
        <w:spacing w:after="0" w:line="360" w:lineRule="auto"/>
        <w:contextualSpacing/>
        <w:jc w:val="both"/>
        <w:rPr>
          <w:rFonts w:ascii="Arial" w:hAnsi="Arial" w:cs="Arial"/>
          <w:sz w:val="24"/>
        </w:rPr>
      </w:pPr>
      <w:r w:rsidRPr="00BE0FAF">
        <w:rPr>
          <w:rFonts w:ascii="Arial" w:hAnsi="Arial" w:cs="Arial"/>
          <w:b/>
          <w:sz w:val="24"/>
        </w:rPr>
        <w:t>3.</w:t>
      </w:r>
      <w:r w:rsidRPr="00580EB1">
        <w:rPr>
          <w:rFonts w:ascii="Arial" w:hAnsi="Arial" w:cs="Arial"/>
          <w:sz w:val="24"/>
        </w:rPr>
        <w:t xml:space="preserve"> El Fideicomiso ejerció su presupuesto durante cuatro mese</w:t>
      </w:r>
      <w:r w:rsidR="00BE0FAF">
        <w:rPr>
          <w:rFonts w:ascii="Arial" w:hAnsi="Arial" w:cs="Arial"/>
          <w:sz w:val="24"/>
        </w:rPr>
        <w:t xml:space="preserve">s: de enero a abril de 2015 sin </w:t>
      </w:r>
      <w:r w:rsidRPr="00580EB1">
        <w:rPr>
          <w:rFonts w:ascii="Arial" w:hAnsi="Arial" w:cs="Arial"/>
          <w:sz w:val="24"/>
        </w:rPr>
        <w:t>aprobación, debido a que fue autorizado por el Comité Técnico</w:t>
      </w:r>
      <w:r w:rsidR="00BE0FAF">
        <w:rPr>
          <w:rFonts w:ascii="Arial" w:hAnsi="Arial" w:cs="Arial"/>
          <w:sz w:val="24"/>
        </w:rPr>
        <w:t xml:space="preserve"> en el acta de sesión ordinaria </w:t>
      </w:r>
      <w:r w:rsidRPr="00580EB1">
        <w:rPr>
          <w:rFonts w:ascii="Arial" w:hAnsi="Arial" w:cs="Arial"/>
          <w:sz w:val="24"/>
        </w:rPr>
        <w:t xml:space="preserve">62 del 30 de abril de 2015, contraviniendo los artículos 38 </w:t>
      </w:r>
      <w:r w:rsidR="00BE0FAF">
        <w:rPr>
          <w:rFonts w:ascii="Arial" w:hAnsi="Arial" w:cs="Arial"/>
          <w:sz w:val="24"/>
        </w:rPr>
        <w:t xml:space="preserve">y 154 párrafo segundo de la Ley </w:t>
      </w:r>
      <w:r w:rsidRPr="00580EB1">
        <w:rPr>
          <w:rFonts w:ascii="Arial" w:hAnsi="Arial" w:cs="Arial"/>
          <w:sz w:val="24"/>
        </w:rPr>
        <w:t>de Administración Financiera para el Estado de Nuevo León.</w:t>
      </w:r>
      <w:r w:rsidR="00BE0FAF">
        <w:rPr>
          <w:rFonts w:ascii="Arial" w:hAnsi="Arial" w:cs="Arial"/>
          <w:sz w:val="24"/>
        </w:rPr>
        <w:t xml:space="preserve"> </w:t>
      </w:r>
    </w:p>
    <w:p w:rsidR="00BE0FAF" w:rsidRDefault="00BE0FAF" w:rsidP="00580EB1">
      <w:pPr>
        <w:spacing w:after="0" w:line="360" w:lineRule="auto"/>
        <w:contextualSpacing/>
        <w:jc w:val="both"/>
        <w:rPr>
          <w:rFonts w:ascii="Arial" w:hAnsi="Arial" w:cs="Arial"/>
          <w:sz w:val="24"/>
        </w:rPr>
      </w:pPr>
    </w:p>
    <w:p w:rsidR="00580EB1" w:rsidRPr="00BE0FAF" w:rsidRDefault="00580EB1" w:rsidP="00580EB1">
      <w:pPr>
        <w:spacing w:after="0" w:line="360" w:lineRule="auto"/>
        <w:contextualSpacing/>
        <w:jc w:val="both"/>
        <w:rPr>
          <w:rFonts w:ascii="Arial" w:hAnsi="Arial" w:cs="Arial"/>
          <w:b/>
          <w:sz w:val="24"/>
        </w:rPr>
      </w:pPr>
      <w:r w:rsidRPr="00BE0FAF">
        <w:rPr>
          <w:rFonts w:ascii="Arial" w:hAnsi="Arial" w:cs="Arial"/>
          <w:b/>
          <w:sz w:val="24"/>
        </w:rPr>
        <w:t>Acción(es) o recomendación(es) emitida(s)</w:t>
      </w:r>
    </w:p>
    <w:p w:rsidR="00580EB1" w:rsidRPr="00BE0FAF" w:rsidRDefault="00580EB1" w:rsidP="00580EB1">
      <w:pPr>
        <w:spacing w:after="0" w:line="360" w:lineRule="auto"/>
        <w:contextualSpacing/>
        <w:jc w:val="both"/>
        <w:rPr>
          <w:rFonts w:ascii="Arial" w:hAnsi="Arial" w:cs="Arial"/>
          <w:i/>
          <w:sz w:val="24"/>
        </w:rPr>
      </w:pPr>
      <w:r w:rsidRPr="00BE0FAF">
        <w:rPr>
          <w:rFonts w:ascii="Arial" w:hAnsi="Arial" w:cs="Arial"/>
          <w:i/>
          <w:sz w:val="24"/>
        </w:rPr>
        <w:t>Promoción de Fincamiento de Responsabilidad Administrativa.</w:t>
      </w:r>
    </w:p>
    <w:p w:rsidR="00BE0FAF" w:rsidRDefault="00BE0FAF" w:rsidP="00580EB1">
      <w:pPr>
        <w:spacing w:after="0" w:line="360" w:lineRule="auto"/>
        <w:contextualSpacing/>
        <w:jc w:val="both"/>
        <w:rPr>
          <w:rFonts w:ascii="Arial" w:hAnsi="Arial" w:cs="Arial"/>
          <w:sz w:val="24"/>
        </w:rPr>
      </w:pPr>
    </w:p>
    <w:p w:rsidR="00BE0FAF" w:rsidRDefault="00580EB1" w:rsidP="00580EB1">
      <w:pPr>
        <w:spacing w:after="0" w:line="360" w:lineRule="auto"/>
        <w:contextualSpacing/>
        <w:jc w:val="both"/>
        <w:rPr>
          <w:rFonts w:ascii="Arial" w:hAnsi="Arial" w:cs="Arial"/>
          <w:sz w:val="24"/>
        </w:rPr>
      </w:pPr>
      <w:r w:rsidRPr="00BE0FAF">
        <w:rPr>
          <w:rFonts w:ascii="Arial" w:hAnsi="Arial" w:cs="Arial"/>
          <w:b/>
          <w:sz w:val="24"/>
        </w:rPr>
        <w:t>4.</w:t>
      </w:r>
      <w:r w:rsidRPr="00580EB1">
        <w:rPr>
          <w:rFonts w:ascii="Arial" w:hAnsi="Arial" w:cs="Arial"/>
          <w:sz w:val="24"/>
        </w:rPr>
        <w:t xml:space="preserve"> El Fideicomiso no ha formalizado los beneficios y ob</w:t>
      </w:r>
      <w:r w:rsidR="00BE0FAF">
        <w:rPr>
          <w:rFonts w:ascii="Arial" w:hAnsi="Arial" w:cs="Arial"/>
          <w:sz w:val="24"/>
        </w:rPr>
        <w:t xml:space="preserve">ligaciones con las dependencias </w:t>
      </w:r>
      <w:r w:rsidRPr="00580EB1">
        <w:rPr>
          <w:rFonts w:ascii="Arial" w:hAnsi="Arial" w:cs="Arial"/>
          <w:sz w:val="24"/>
        </w:rPr>
        <w:t>beneficiadas por los préstamos que realizan, incumpliendo c</w:t>
      </w:r>
      <w:r w:rsidR="00BE0FAF">
        <w:rPr>
          <w:rFonts w:ascii="Arial" w:hAnsi="Arial" w:cs="Arial"/>
          <w:sz w:val="24"/>
        </w:rPr>
        <w:t xml:space="preserve">on lo establecido en el Acta de </w:t>
      </w:r>
      <w:r w:rsidRPr="00580EB1">
        <w:rPr>
          <w:rFonts w:ascii="Arial" w:hAnsi="Arial" w:cs="Arial"/>
          <w:sz w:val="24"/>
        </w:rPr>
        <w:t>sesión ordinaria del Comité Técnico del Fideicomiso número</w:t>
      </w:r>
      <w:r w:rsidR="00BE0FAF">
        <w:rPr>
          <w:rFonts w:ascii="Arial" w:hAnsi="Arial" w:cs="Arial"/>
          <w:sz w:val="24"/>
        </w:rPr>
        <w:t xml:space="preserve"> 62, que menciona lo siguiente: </w:t>
      </w:r>
    </w:p>
    <w:p w:rsidR="00BE0FAF" w:rsidRDefault="00BE0FAF" w:rsidP="00580EB1">
      <w:pPr>
        <w:spacing w:after="0" w:line="360" w:lineRule="auto"/>
        <w:contextualSpacing/>
        <w:jc w:val="both"/>
        <w:rPr>
          <w:rFonts w:ascii="Arial" w:hAnsi="Arial" w:cs="Arial"/>
          <w:sz w:val="24"/>
        </w:rPr>
      </w:pPr>
    </w:p>
    <w:p w:rsidR="00580EB1" w:rsidRPr="00580EB1" w:rsidRDefault="00580EB1" w:rsidP="00580EB1">
      <w:pPr>
        <w:spacing w:after="0" w:line="360" w:lineRule="auto"/>
        <w:contextualSpacing/>
        <w:jc w:val="both"/>
        <w:rPr>
          <w:rFonts w:ascii="Arial" w:hAnsi="Arial" w:cs="Arial"/>
          <w:sz w:val="24"/>
        </w:rPr>
      </w:pPr>
      <w:r w:rsidRPr="00580EB1">
        <w:rPr>
          <w:rFonts w:ascii="Arial" w:hAnsi="Arial" w:cs="Arial"/>
          <w:sz w:val="24"/>
        </w:rPr>
        <w:t>d.- Convenio de Adhesión de dependencias y organismos</w:t>
      </w:r>
    </w:p>
    <w:p w:rsidR="00580EB1" w:rsidRPr="00580EB1" w:rsidRDefault="00580EB1" w:rsidP="00580EB1">
      <w:pPr>
        <w:spacing w:after="0" w:line="360" w:lineRule="auto"/>
        <w:contextualSpacing/>
        <w:jc w:val="both"/>
        <w:rPr>
          <w:rFonts w:ascii="Arial" w:hAnsi="Arial" w:cs="Arial"/>
          <w:sz w:val="24"/>
        </w:rPr>
      </w:pPr>
      <w:r w:rsidRPr="00580EB1">
        <w:rPr>
          <w:rFonts w:ascii="Arial" w:hAnsi="Arial" w:cs="Arial"/>
          <w:sz w:val="24"/>
        </w:rPr>
        <w:t>Se solicita a este Comité, instruya al Director de Fovileon</w:t>
      </w:r>
      <w:r w:rsidR="00BE0FAF">
        <w:rPr>
          <w:rFonts w:ascii="Arial" w:hAnsi="Arial" w:cs="Arial"/>
          <w:sz w:val="24"/>
        </w:rPr>
        <w:t xml:space="preserve"> a que se formalice un convenio </w:t>
      </w:r>
      <w:r w:rsidRPr="00580EB1">
        <w:rPr>
          <w:rFonts w:ascii="Arial" w:hAnsi="Arial" w:cs="Arial"/>
          <w:sz w:val="24"/>
        </w:rPr>
        <w:t xml:space="preserve">de adhesión con las dependencias y organismos, sujetos </w:t>
      </w:r>
      <w:r w:rsidR="00BE0FAF">
        <w:rPr>
          <w:rFonts w:ascii="Arial" w:hAnsi="Arial" w:cs="Arial"/>
          <w:sz w:val="24"/>
        </w:rPr>
        <w:t xml:space="preserve">a beneficios y obligaciones con </w:t>
      </w:r>
      <w:r w:rsidRPr="00580EB1">
        <w:rPr>
          <w:rFonts w:ascii="Arial" w:hAnsi="Arial" w:cs="Arial"/>
          <w:sz w:val="24"/>
        </w:rPr>
        <w:t>el Fideicomiso.</w:t>
      </w:r>
    </w:p>
    <w:p w:rsidR="00BE0FAF" w:rsidRDefault="00BE0FAF" w:rsidP="00580EB1">
      <w:pPr>
        <w:spacing w:after="0" w:line="360" w:lineRule="auto"/>
        <w:contextualSpacing/>
        <w:jc w:val="both"/>
        <w:rPr>
          <w:rFonts w:ascii="Arial" w:hAnsi="Arial" w:cs="Arial"/>
          <w:sz w:val="24"/>
        </w:rPr>
      </w:pPr>
    </w:p>
    <w:p w:rsidR="00580EB1" w:rsidRPr="00580EB1" w:rsidRDefault="00580EB1" w:rsidP="00580EB1">
      <w:pPr>
        <w:spacing w:after="0" w:line="360" w:lineRule="auto"/>
        <w:contextualSpacing/>
        <w:jc w:val="both"/>
        <w:rPr>
          <w:rFonts w:ascii="Arial" w:hAnsi="Arial" w:cs="Arial"/>
          <w:sz w:val="24"/>
        </w:rPr>
      </w:pPr>
      <w:r w:rsidRPr="00580EB1">
        <w:rPr>
          <w:rFonts w:ascii="Arial" w:hAnsi="Arial" w:cs="Arial"/>
          <w:sz w:val="24"/>
        </w:rPr>
        <w:t>ACUERDO</w:t>
      </w:r>
    </w:p>
    <w:p w:rsidR="00580EB1" w:rsidRPr="00BE0FAF" w:rsidRDefault="00580EB1" w:rsidP="00580EB1">
      <w:pPr>
        <w:spacing w:after="0" w:line="360" w:lineRule="auto"/>
        <w:contextualSpacing/>
        <w:jc w:val="both"/>
        <w:rPr>
          <w:rFonts w:ascii="Arial" w:hAnsi="Arial" w:cs="Arial"/>
          <w:i/>
          <w:sz w:val="24"/>
        </w:rPr>
      </w:pPr>
      <w:r w:rsidRPr="00BE0FAF">
        <w:rPr>
          <w:rFonts w:ascii="Arial" w:hAnsi="Arial" w:cs="Arial"/>
          <w:i/>
          <w:sz w:val="24"/>
        </w:rPr>
        <w:t>Se autoriza se realice el convenio de adhesión con las de</w:t>
      </w:r>
      <w:r w:rsidR="00BE0FAF" w:rsidRPr="00BE0FAF">
        <w:rPr>
          <w:rFonts w:ascii="Arial" w:hAnsi="Arial" w:cs="Arial"/>
          <w:i/>
          <w:sz w:val="24"/>
        </w:rPr>
        <w:t xml:space="preserve">pendencias y organismos sujetos </w:t>
      </w:r>
      <w:r w:rsidRPr="00BE0FAF">
        <w:rPr>
          <w:rFonts w:ascii="Arial" w:hAnsi="Arial" w:cs="Arial"/>
          <w:i/>
          <w:sz w:val="24"/>
        </w:rPr>
        <w:t>a beneficios y obligaciones con el Fideicomiso.</w:t>
      </w:r>
    </w:p>
    <w:p w:rsidR="00BE0FAF" w:rsidRDefault="00BE0FAF" w:rsidP="00580EB1">
      <w:pPr>
        <w:spacing w:after="0" w:line="360" w:lineRule="auto"/>
        <w:contextualSpacing/>
        <w:jc w:val="both"/>
        <w:rPr>
          <w:rFonts w:ascii="Arial" w:hAnsi="Arial" w:cs="Arial"/>
          <w:sz w:val="24"/>
        </w:rPr>
      </w:pPr>
    </w:p>
    <w:p w:rsidR="00580EB1" w:rsidRPr="00BE0FAF" w:rsidRDefault="00580EB1" w:rsidP="00580EB1">
      <w:pPr>
        <w:spacing w:after="0" w:line="360" w:lineRule="auto"/>
        <w:contextualSpacing/>
        <w:jc w:val="both"/>
        <w:rPr>
          <w:rFonts w:ascii="Arial" w:hAnsi="Arial" w:cs="Arial"/>
          <w:b/>
          <w:sz w:val="24"/>
        </w:rPr>
      </w:pPr>
      <w:r w:rsidRPr="00BE0FAF">
        <w:rPr>
          <w:rFonts w:ascii="Arial" w:hAnsi="Arial" w:cs="Arial"/>
          <w:b/>
          <w:sz w:val="24"/>
        </w:rPr>
        <w:lastRenderedPageBreak/>
        <w:t>Análisis de la Auditoría Superior del Estado</w:t>
      </w:r>
    </w:p>
    <w:p w:rsidR="00580EB1" w:rsidRPr="00580EB1" w:rsidRDefault="00580EB1" w:rsidP="00580EB1">
      <w:pPr>
        <w:spacing w:after="0" w:line="360" w:lineRule="auto"/>
        <w:contextualSpacing/>
        <w:jc w:val="both"/>
        <w:rPr>
          <w:rFonts w:ascii="Arial" w:hAnsi="Arial" w:cs="Arial"/>
          <w:sz w:val="24"/>
        </w:rPr>
      </w:pPr>
      <w:r w:rsidRPr="00580EB1">
        <w:rPr>
          <w:rFonts w:ascii="Arial" w:hAnsi="Arial" w:cs="Arial"/>
          <w:sz w:val="24"/>
        </w:rPr>
        <w:t>Derivado del análisis de la respuesta y la evidencia pre</w:t>
      </w:r>
      <w:r w:rsidR="00BE0FAF">
        <w:rPr>
          <w:rFonts w:ascii="Arial" w:hAnsi="Arial" w:cs="Arial"/>
          <w:sz w:val="24"/>
        </w:rPr>
        <w:t xml:space="preserve">sentada por el Ente Público, se </w:t>
      </w:r>
      <w:r w:rsidRPr="00580EB1">
        <w:rPr>
          <w:rFonts w:ascii="Arial" w:hAnsi="Arial" w:cs="Arial"/>
          <w:sz w:val="24"/>
        </w:rPr>
        <w:t>solventa parcialmente lo observado, ya que se anexa</w:t>
      </w:r>
      <w:r w:rsidR="00BE0FAF">
        <w:rPr>
          <w:rFonts w:ascii="Arial" w:hAnsi="Arial" w:cs="Arial"/>
          <w:sz w:val="24"/>
        </w:rPr>
        <w:t xml:space="preserve">n convenios de adhesión con las </w:t>
      </w:r>
      <w:r w:rsidRPr="00580EB1">
        <w:rPr>
          <w:rFonts w:ascii="Arial" w:hAnsi="Arial" w:cs="Arial"/>
          <w:sz w:val="24"/>
        </w:rPr>
        <w:t>Dependencias y Organismos sujetos a los beneficios y oblig</w:t>
      </w:r>
      <w:r w:rsidR="00BE0FAF">
        <w:rPr>
          <w:rFonts w:ascii="Arial" w:hAnsi="Arial" w:cs="Arial"/>
          <w:sz w:val="24"/>
        </w:rPr>
        <w:t xml:space="preserve">aciones con el Fideicomiso, sin </w:t>
      </w:r>
      <w:r w:rsidRPr="00580EB1">
        <w:rPr>
          <w:rFonts w:ascii="Arial" w:hAnsi="Arial" w:cs="Arial"/>
          <w:sz w:val="24"/>
        </w:rPr>
        <w:t>embargo falta formalizar dichos convenios con los Entes respectivos.</w:t>
      </w:r>
    </w:p>
    <w:p w:rsidR="00BE0FAF" w:rsidRDefault="00BE0FAF" w:rsidP="00580EB1">
      <w:pPr>
        <w:spacing w:after="0" w:line="360" w:lineRule="auto"/>
        <w:contextualSpacing/>
        <w:jc w:val="both"/>
        <w:rPr>
          <w:rFonts w:ascii="Arial" w:hAnsi="Arial" w:cs="Arial"/>
          <w:sz w:val="24"/>
        </w:rPr>
      </w:pPr>
    </w:p>
    <w:p w:rsidR="00580EB1" w:rsidRPr="00BE0FAF" w:rsidRDefault="00580EB1" w:rsidP="00580EB1">
      <w:pPr>
        <w:spacing w:after="0" w:line="360" w:lineRule="auto"/>
        <w:contextualSpacing/>
        <w:jc w:val="both"/>
        <w:rPr>
          <w:rFonts w:ascii="Arial" w:hAnsi="Arial" w:cs="Arial"/>
          <w:b/>
          <w:sz w:val="24"/>
        </w:rPr>
      </w:pPr>
      <w:r w:rsidRPr="00BE0FAF">
        <w:rPr>
          <w:rFonts w:ascii="Arial" w:hAnsi="Arial" w:cs="Arial"/>
          <w:b/>
          <w:sz w:val="24"/>
        </w:rPr>
        <w:t>Acción(es) o recomendación(es) emitida(s)</w:t>
      </w:r>
    </w:p>
    <w:p w:rsidR="00580EB1" w:rsidRPr="00580EB1" w:rsidRDefault="00580EB1" w:rsidP="00580EB1">
      <w:pPr>
        <w:spacing w:after="0" w:line="360" w:lineRule="auto"/>
        <w:contextualSpacing/>
        <w:jc w:val="both"/>
        <w:rPr>
          <w:rFonts w:ascii="Arial" w:hAnsi="Arial" w:cs="Arial"/>
          <w:sz w:val="24"/>
        </w:rPr>
      </w:pPr>
      <w:r w:rsidRPr="00580EB1">
        <w:rPr>
          <w:rFonts w:ascii="Arial" w:hAnsi="Arial" w:cs="Arial"/>
          <w:sz w:val="24"/>
        </w:rPr>
        <w:t>Recomendaciones en Relación a la Gestión o Control Interno.</w:t>
      </w:r>
    </w:p>
    <w:p w:rsidR="00BE0FAF" w:rsidRDefault="00BE0FAF" w:rsidP="00580EB1">
      <w:pPr>
        <w:spacing w:after="0" w:line="360" w:lineRule="auto"/>
        <w:contextualSpacing/>
        <w:jc w:val="both"/>
        <w:rPr>
          <w:rFonts w:ascii="Arial" w:hAnsi="Arial" w:cs="Arial"/>
          <w:sz w:val="24"/>
        </w:rPr>
      </w:pPr>
    </w:p>
    <w:p w:rsidR="00580EB1" w:rsidRPr="00BE0FAF" w:rsidRDefault="00580EB1" w:rsidP="00580EB1">
      <w:pPr>
        <w:spacing w:after="0" w:line="360" w:lineRule="auto"/>
        <w:contextualSpacing/>
        <w:jc w:val="both"/>
        <w:rPr>
          <w:rFonts w:ascii="Arial" w:hAnsi="Arial" w:cs="Arial"/>
          <w:b/>
          <w:sz w:val="24"/>
        </w:rPr>
      </w:pPr>
      <w:r w:rsidRPr="00BE0FAF">
        <w:rPr>
          <w:rFonts w:ascii="Arial" w:hAnsi="Arial" w:cs="Arial"/>
          <w:b/>
          <w:sz w:val="24"/>
        </w:rPr>
        <w:t>ACTIVO</w:t>
      </w:r>
    </w:p>
    <w:p w:rsidR="00580EB1" w:rsidRPr="00BE0FAF" w:rsidRDefault="00580EB1" w:rsidP="00580EB1">
      <w:pPr>
        <w:spacing w:after="0" w:line="360" w:lineRule="auto"/>
        <w:contextualSpacing/>
        <w:jc w:val="both"/>
        <w:rPr>
          <w:rFonts w:ascii="Arial" w:hAnsi="Arial" w:cs="Arial"/>
          <w:b/>
          <w:sz w:val="24"/>
          <w:u w:val="single"/>
        </w:rPr>
      </w:pPr>
      <w:r w:rsidRPr="00BE0FAF">
        <w:rPr>
          <w:rFonts w:ascii="Arial" w:hAnsi="Arial" w:cs="Arial"/>
          <w:b/>
          <w:sz w:val="24"/>
          <w:u w:val="single"/>
        </w:rPr>
        <w:t>Activo circulante</w:t>
      </w:r>
    </w:p>
    <w:p w:rsidR="00580EB1" w:rsidRPr="00BE0FAF" w:rsidRDefault="00580EB1" w:rsidP="00580EB1">
      <w:pPr>
        <w:spacing w:after="0" w:line="360" w:lineRule="auto"/>
        <w:contextualSpacing/>
        <w:jc w:val="both"/>
        <w:rPr>
          <w:rFonts w:ascii="Arial" w:hAnsi="Arial" w:cs="Arial"/>
          <w:b/>
          <w:sz w:val="24"/>
          <w:u w:val="single"/>
        </w:rPr>
      </w:pPr>
      <w:r w:rsidRPr="00BE0FAF">
        <w:rPr>
          <w:rFonts w:ascii="Arial" w:hAnsi="Arial" w:cs="Arial"/>
          <w:b/>
          <w:sz w:val="24"/>
          <w:u w:val="single"/>
        </w:rPr>
        <w:t>Efectivo y equivalentes</w:t>
      </w:r>
    </w:p>
    <w:p w:rsidR="00580EB1" w:rsidRPr="00BE0FAF" w:rsidRDefault="00580EB1" w:rsidP="00580EB1">
      <w:pPr>
        <w:spacing w:after="0" w:line="360" w:lineRule="auto"/>
        <w:contextualSpacing/>
        <w:jc w:val="both"/>
        <w:rPr>
          <w:rFonts w:ascii="Arial" w:hAnsi="Arial" w:cs="Arial"/>
          <w:b/>
          <w:sz w:val="24"/>
          <w:u w:val="single"/>
        </w:rPr>
      </w:pPr>
      <w:r w:rsidRPr="00BE0FAF">
        <w:rPr>
          <w:rFonts w:ascii="Arial" w:hAnsi="Arial" w:cs="Arial"/>
          <w:b/>
          <w:sz w:val="24"/>
          <w:u w:val="single"/>
        </w:rPr>
        <w:t>Inversiones temporales</w:t>
      </w:r>
    </w:p>
    <w:p w:rsidR="00580EB1" w:rsidRPr="00580EB1" w:rsidRDefault="00580EB1" w:rsidP="00580EB1">
      <w:pPr>
        <w:spacing w:after="0" w:line="360" w:lineRule="auto"/>
        <w:contextualSpacing/>
        <w:jc w:val="both"/>
        <w:rPr>
          <w:rFonts w:ascii="Arial" w:hAnsi="Arial" w:cs="Arial"/>
          <w:sz w:val="24"/>
        </w:rPr>
      </w:pPr>
      <w:r w:rsidRPr="00BE0FAF">
        <w:rPr>
          <w:rFonts w:ascii="Arial" w:hAnsi="Arial" w:cs="Arial"/>
          <w:b/>
          <w:sz w:val="24"/>
        </w:rPr>
        <w:t>5.</w:t>
      </w:r>
      <w:r w:rsidRPr="00580EB1">
        <w:rPr>
          <w:rFonts w:ascii="Arial" w:hAnsi="Arial" w:cs="Arial"/>
          <w:sz w:val="24"/>
        </w:rPr>
        <w:t xml:space="preserve"> Durante la revisión a la conciliación bancaria del contrat</w:t>
      </w:r>
      <w:r w:rsidR="00BE0FAF">
        <w:rPr>
          <w:rFonts w:ascii="Arial" w:hAnsi="Arial" w:cs="Arial"/>
          <w:sz w:val="24"/>
        </w:rPr>
        <w:t xml:space="preserve">o de inversión y administración </w:t>
      </w:r>
      <w:r w:rsidRPr="00580EB1">
        <w:rPr>
          <w:rFonts w:ascii="Arial" w:hAnsi="Arial" w:cs="Arial"/>
          <w:sz w:val="24"/>
        </w:rPr>
        <w:t>F18902 7 (subcuenta 1) del Fideicomiso, se detect</w:t>
      </w:r>
      <w:r w:rsidR="00BE0FAF">
        <w:rPr>
          <w:rFonts w:ascii="Arial" w:hAnsi="Arial" w:cs="Arial"/>
          <w:sz w:val="24"/>
        </w:rPr>
        <w:t xml:space="preserve">aron movimientos en tránsito no </w:t>
      </w:r>
      <w:r w:rsidRPr="00580EB1">
        <w:rPr>
          <w:rFonts w:ascii="Arial" w:hAnsi="Arial" w:cs="Arial"/>
          <w:sz w:val="24"/>
        </w:rPr>
        <w:t>registrados en contabilidad con antigüedad mayor a u</w:t>
      </w:r>
      <w:r w:rsidR="00BE0FAF">
        <w:rPr>
          <w:rFonts w:ascii="Arial" w:hAnsi="Arial" w:cs="Arial"/>
          <w:sz w:val="24"/>
        </w:rPr>
        <w:t xml:space="preserve">n año, los cuales se detallan a </w:t>
      </w:r>
      <w:r w:rsidRPr="00580EB1">
        <w:rPr>
          <w:rFonts w:ascii="Arial" w:hAnsi="Arial" w:cs="Arial"/>
          <w:sz w:val="24"/>
        </w:rPr>
        <w:t>continuación:</w:t>
      </w:r>
    </w:p>
    <w:p w:rsidR="00580EB1" w:rsidRPr="00580EB1" w:rsidRDefault="00580EB1" w:rsidP="00580EB1">
      <w:pPr>
        <w:pStyle w:val="Prrafodelista"/>
        <w:numPr>
          <w:ilvl w:val="0"/>
          <w:numId w:val="45"/>
        </w:numPr>
        <w:spacing w:after="0" w:line="360" w:lineRule="auto"/>
        <w:contextualSpacing/>
        <w:jc w:val="both"/>
        <w:rPr>
          <w:rFonts w:ascii="Arial" w:hAnsi="Arial" w:cs="Arial"/>
          <w:sz w:val="24"/>
        </w:rPr>
      </w:pPr>
      <w:r w:rsidRPr="00580EB1">
        <w:rPr>
          <w:rFonts w:ascii="Arial" w:hAnsi="Arial" w:cs="Arial"/>
          <w:sz w:val="24"/>
        </w:rPr>
        <w:t>Cargos bancarios no registrados en libros:</w:t>
      </w:r>
    </w:p>
    <w:p w:rsidR="00580EB1" w:rsidRDefault="00580EB1" w:rsidP="00580EB1">
      <w:pPr>
        <w:spacing w:after="0" w:line="360" w:lineRule="auto"/>
        <w:contextualSpacing/>
        <w:jc w:val="both"/>
        <w:rPr>
          <w:rFonts w:ascii="Arial" w:hAnsi="Arial" w:cs="Arial"/>
          <w:sz w:val="24"/>
        </w:rPr>
      </w:pPr>
      <w:r>
        <w:rPr>
          <w:rFonts w:ascii="Arial" w:hAnsi="Arial" w:cs="Arial"/>
          <w:noProof/>
          <w:sz w:val="24"/>
          <w:lang w:val="es-MX" w:eastAsia="es-MX"/>
        </w:rPr>
        <w:drawing>
          <wp:inline distT="0" distB="0" distL="0" distR="0">
            <wp:extent cx="5253355" cy="149295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3355" cy="1492950"/>
                    </a:xfrm>
                    <a:prstGeom prst="rect">
                      <a:avLst/>
                    </a:prstGeom>
                    <a:noFill/>
                    <a:ln>
                      <a:noFill/>
                    </a:ln>
                  </pic:spPr>
                </pic:pic>
              </a:graphicData>
            </a:graphic>
          </wp:inline>
        </w:drawing>
      </w:r>
    </w:p>
    <w:p w:rsidR="00580EB1" w:rsidRDefault="00580EB1" w:rsidP="00580EB1">
      <w:pPr>
        <w:spacing w:after="0" w:line="360" w:lineRule="auto"/>
        <w:contextualSpacing/>
        <w:jc w:val="both"/>
        <w:rPr>
          <w:rFonts w:ascii="Arial" w:hAnsi="Arial" w:cs="Arial"/>
          <w:sz w:val="24"/>
        </w:rPr>
      </w:pPr>
    </w:p>
    <w:p w:rsidR="00580EB1" w:rsidRPr="00BE0FAF" w:rsidRDefault="00580EB1" w:rsidP="00BE0FAF">
      <w:pPr>
        <w:autoSpaceDE w:val="0"/>
        <w:autoSpaceDN w:val="0"/>
        <w:adjustRightInd w:val="0"/>
        <w:spacing w:after="0" w:line="360" w:lineRule="auto"/>
        <w:jc w:val="both"/>
        <w:rPr>
          <w:rFonts w:ascii="Arial" w:hAnsi="Arial" w:cs="Arial"/>
          <w:sz w:val="24"/>
          <w:szCs w:val="24"/>
          <w:lang w:val="es-MX" w:eastAsia="es-ES"/>
        </w:rPr>
      </w:pPr>
      <w:r w:rsidRPr="00BE0FAF">
        <w:rPr>
          <w:rFonts w:ascii="Arial" w:hAnsi="Arial" w:cs="Arial"/>
          <w:sz w:val="24"/>
          <w:szCs w:val="24"/>
          <w:lang w:val="es-MX" w:eastAsia="es-ES"/>
        </w:rPr>
        <w:t>Lo anterior en contravención a lo establecido en los artí</w:t>
      </w:r>
      <w:r w:rsidR="00BE0FAF" w:rsidRPr="00BE0FAF">
        <w:rPr>
          <w:rFonts w:ascii="Arial" w:hAnsi="Arial" w:cs="Arial"/>
          <w:sz w:val="24"/>
          <w:szCs w:val="24"/>
          <w:lang w:val="es-MX" w:eastAsia="es-ES"/>
        </w:rPr>
        <w:t xml:space="preserve">culos 47 primer </w:t>
      </w:r>
      <w:r w:rsidRPr="00BE0FAF">
        <w:rPr>
          <w:rFonts w:ascii="Arial" w:hAnsi="Arial" w:cs="Arial"/>
          <w:sz w:val="24"/>
          <w:szCs w:val="24"/>
          <w:lang w:val="es-MX" w:eastAsia="es-ES"/>
        </w:rPr>
        <w:t>pá</w:t>
      </w:r>
      <w:r w:rsidR="00BE0FAF" w:rsidRPr="00BE0FAF">
        <w:rPr>
          <w:rFonts w:ascii="Arial" w:hAnsi="Arial" w:cs="Arial"/>
          <w:sz w:val="24"/>
          <w:szCs w:val="24"/>
          <w:lang w:val="es-MX" w:eastAsia="es-ES"/>
        </w:rPr>
        <w:t xml:space="preserve">rrafo y 48 segundo </w:t>
      </w:r>
      <w:r w:rsidRPr="00BE0FAF">
        <w:rPr>
          <w:rFonts w:ascii="Arial" w:hAnsi="Arial" w:cs="Arial"/>
          <w:sz w:val="24"/>
          <w:szCs w:val="24"/>
          <w:lang w:val="es-MX" w:eastAsia="es-ES"/>
        </w:rPr>
        <w:t>párrafo de la Ley de Administració</w:t>
      </w:r>
      <w:r w:rsidR="00BE0FAF" w:rsidRPr="00BE0FAF">
        <w:rPr>
          <w:rFonts w:ascii="Arial" w:hAnsi="Arial" w:cs="Arial"/>
          <w:sz w:val="24"/>
          <w:szCs w:val="24"/>
          <w:lang w:val="es-MX" w:eastAsia="es-ES"/>
        </w:rPr>
        <w:t xml:space="preserve">n Financiera para el </w:t>
      </w:r>
      <w:r w:rsidRPr="00BE0FAF">
        <w:rPr>
          <w:rFonts w:ascii="Arial" w:hAnsi="Arial" w:cs="Arial"/>
          <w:sz w:val="24"/>
          <w:szCs w:val="24"/>
          <w:lang w:val="es-MX" w:eastAsia="es-ES"/>
        </w:rPr>
        <w:t xml:space="preserve">Estado de Nuevo León, 35 y 36 de </w:t>
      </w:r>
      <w:r w:rsidR="00BE0FAF" w:rsidRPr="00BE0FAF">
        <w:rPr>
          <w:rFonts w:ascii="Arial" w:hAnsi="Arial" w:cs="Arial"/>
          <w:sz w:val="24"/>
          <w:szCs w:val="24"/>
          <w:lang w:val="es-MX" w:eastAsia="es-ES"/>
        </w:rPr>
        <w:t xml:space="preserve">la Ley General de Contabilidad </w:t>
      </w:r>
      <w:r w:rsidRPr="00BE0FAF">
        <w:rPr>
          <w:rFonts w:ascii="Arial" w:hAnsi="Arial" w:cs="Arial"/>
          <w:sz w:val="24"/>
          <w:szCs w:val="24"/>
          <w:lang w:val="es-MX" w:eastAsia="es-ES"/>
        </w:rPr>
        <w:t>Gubernamental y 15 de la Ley de Fiscalización Superior del</w:t>
      </w:r>
      <w:r w:rsidR="00BE0FAF">
        <w:rPr>
          <w:rFonts w:ascii="Arial" w:hAnsi="Arial" w:cs="Arial"/>
          <w:sz w:val="24"/>
          <w:szCs w:val="24"/>
          <w:lang w:val="es-MX" w:eastAsia="es-ES"/>
        </w:rPr>
        <w:t xml:space="preserve"> </w:t>
      </w:r>
      <w:r w:rsidRPr="00BE0FAF">
        <w:rPr>
          <w:rFonts w:ascii="Arial" w:hAnsi="Arial" w:cs="Arial"/>
          <w:sz w:val="24"/>
          <w:szCs w:val="24"/>
          <w:lang w:val="es-MX" w:eastAsia="es-ES"/>
        </w:rPr>
        <w:t>Estado de Nuevo León.</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Esta observación ya ha sido señalada en repetidas ocasiones.</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Análisis de la Auditoría Superior del Estado</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Derivado del análisis de la respuesta y evidencia prese</w:t>
      </w:r>
      <w:r w:rsidR="00BE0FAF">
        <w:rPr>
          <w:rFonts w:ascii="Arial" w:hAnsi="Arial" w:cs="Arial"/>
          <w:sz w:val="24"/>
          <w:szCs w:val="24"/>
          <w:lang w:val="es-MX" w:eastAsia="es-ES"/>
        </w:rPr>
        <w:t xml:space="preserve">ntada por el Ente público, ésta </w:t>
      </w:r>
      <w:r w:rsidRPr="00BE0FAF">
        <w:rPr>
          <w:rFonts w:ascii="Arial" w:hAnsi="Arial" w:cs="Arial"/>
          <w:sz w:val="24"/>
          <w:szCs w:val="24"/>
          <w:lang w:val="es-MX" w:eastAsia="es-ES"/>
        </w:rPr>
        <w:t>observación se solventa parcialmente, debido a que anexó la</w:t>
      </w:r>
      <w:r w:rsidR="00BE0FAF">
        <w:rPr>
          <w:rFonts w:ascii="Arial" w:hAnsi="Arial" w:cs="Arial"/>
          <w:sz w:val="24"/>
          <w:szCs w:val="24"/>
          <w:lang w:val="es-MX" w:eastAsia="es-ES"/>
        </w:rPr>
        <w:t xml:space="preserve"> conciliación depurando saldos, </w:t>
      </w:r>
      <w:r w:rsidRPr="00BE0FAF">
        <w:rPr>
          <w:rFonts w:ascii="Arial" w:hAnsi="Arial" w:cs="Arial"/>
          <w:sz w:val="24"/>
          <w:szCs w:val="24"/>
          <w:lang w:val="es-MX" w:eastAsia="es-ES"/>
        </w:rPr>
        <w:t xml:space="preserve">sin embargo no envía el soporte documental del proceso </w:t>
      </w:r>
      <w:r w:rsidR="00BE0FAF">
        <w:rPr>
          <w:rFonts w:ascii="Arial" w:hAnsi="Arial" w:cs="Arial"/>
          <w:sz w:val="24"/>
          <w:szCs w:val="24"/>
          <w:lang w:val="es-MX" w:eastAsia="es-ES"/>
        </w:rPr>
        <w:t xml:space="preserve">mediante el cual se autorizó la </w:t>
      </w:r>
      <w:r w:rsidRPr="00BE0FAF">
        <w:rPr>
          <w:rFonts w:ascii="Arial" w:hAnsi="Arial" w:cs="Arial"/>
          <w:sz w:val="24"/>
          <w:szCs w:val="24"/>
          <w:lang w:val="es-MX" w:eastAsia="es-ES"/>
        </w:rPr>
        <w:t>cancelación de los movimientos en tránsito mencionados en la respuesta.</w:t>
      </w:r>
    </w:p>
    <w:p w:rsidR="00580EB1" w:rsidRPr="00BE0FAF" w:rsidRDefault="00BE0FAF" w:rsidP="00BE0FAF">
      <w:pPr>
        <w:spacing w:after="0" w:line="360" w:lineRule="auto"/>
        <w:contextualSpacing/>
        <w:jc w:val="both"/>
        <w:rPr>
          <w:rFonts w:ascii="Arial" w:hAnsi="Arial" w:cs="Arial"/>
          <w:sz w:val="24"/>
          <w:szCs w:val="24"/>
          <w:lang w:val="es-MX" w:eastAsia="es-ES"/>
        </w:rPr>
      </w:pPr>
      <w:r>
        <w:rPr>
          <w:rFonts w:ascii="Arial" w:hAnsi="Arial" w:cs="Arial"/>
          <w:sz w:val="24"/>
          <w:szCs w:val="24"/>
          <w:lang w:val="es-MX" w:eastAsia="es-ES"/>
        </w:rPr>
        <w:t>El</w:t>
      </w:r>
      <w:r w:rsidR="00580EB1" w:rsidRPr="00BE0FAF">
        <w:rPr>
          <w:rFonts w:ascii="Arial" w:hAnsi="Arial" w:cs="Arial"/>
          <w:sz w:val="24"/>
          <w:szCs w:val="24"/>
          <w:lang w:val="es-MX" w:eastAsia="es-ES"/>
        </w:rPr>
        <w:t xml:space="preserve"> Órgano de Fiscalización dará seguimiento en la revisión de la Cuenta Pública 2016</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Acción(es) o recomendación(es) emitida(s)</w:t>
      </w:r>
    </w:p>
    <w:p w:rsidR="00580EB1" w:rsidRPr="00BE0FAF" w:rsidRDefault="00580EB1" w:rsidP="00BE0FAF">
      <w:pPr>
        <w:spacing w:after="0" w:line="360" w:lineRule="auto"/>
        <w:contextualSpacing/>
        <w:jc w:val="both"/>
        <w:rPr>
          <w:rFonts w:ascii="Arial" w:hAnsi="Arial" w:cs="Arial"/>
          <w:i/>
          <w:sz w:val="24"/>
          <w:szCs w:val="24"/>
          <w:lang w:val="es-MX" w:eastAsia="es-ES"/>
        </w:rPr>
      </w:pPr>
      <w:r w:rsidRPr="00BE0FAF">
        <w:rPr>
          <w:rFonts w:ascii="Arial" w:hAnsi="Arial" w:cs="Arial"/>
          <w:i/>
          <w:sz w:val="24"/>
          <w:szCs w:val="24"/>
          <w:lang w:val="es-MX" w:eastAsia="es-ES"/>
        </w:rPr>
        <w:t>Promoción de Fincamiento de Responsabilidad Administrativa.</w:t>
      </w:r>
    </w:p>
    <w:p w:rsidR="00BE0FAF" w:rsidRDefault="00BE0FAF" w:rsidP="00BE0FAF">
      <w:pPr>
        <w:spacing w:after="0" w:line="360" w:lineRule="auto"/>
        <w:contextualSpacing/>
        <w:jc w:val="both"/>
        <w:rPr>
          <w:rFonts w:ascii="Arial" w:hAnsi="Arial" w:cs="Arial"/>
          <w:sz w:val="24"/>
          <w:szCs w:val="24"/>
          <w:lang w:val="es-MX" w:eastAsia="es-ES"/>
        </w:rPr>
      </w:pP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Derechos a recibir efectivo o equivalentes</w:t>
      </w: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Cuentas por cobrar a corto plazo</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b/>
          <w:sz w:val="24"/>
          <w:szCs w:val="24"/>
          <w:lang w:val="es-MX" w:eastAsia="es-ES"/>
        </w:rPr>
        <w:lastRenderedPageBreak/>
        <w:t>6.</w:t>
      </w:r>
      <w:r w:rsidRPr="00BE0FAF">
        <w:rPr>
          <w:rFonts w:ascii="Arial" w:hAnsi="Arial" w:cs="Arial"/>
          <w:sz w:val="24"/>
          <w:szCs w:val="24"/>
          <w:lang w:val="es-MX" w:eastAsia="es-ES"/>
        </w:rPr>
        <w:t xml:space="preserve"> Durante el proceso de auditoría se detectaron 39 casos en</w:t>
      </w:r>
      <w:r w:rsidR="00BE0FAF">
        <w:rPr>
          <w:rFonts w:ascii="Arial" w:hAnsi="Arial" w:cs="Arial"/>
          <w:sz w:val="24"/>
          <w:szCs w:val="24"/>
          <w:lang w:val="es-MX" w:eastAsia="es-ES"/>
        </w:rPr>
        <w:t xml:space="preserve"> los cuales el servidor público </w:t>
      </w:r>
      <w:r w:rsidRPr="00BE0FAF">
        <w:rPr>
          <w:rFonts w:ascii="Arial" w:hAnsi="Arial" w:cs="Arial"/>
          <w:sz w:val="24"/>
          <w:szCs w:val="24"/>
          <w:lang w:val="es-MX" w:eastAsia="es-ES"/>
        </w:rPr>
        <w:t>cuenta con dos saldos a cargo, originada por falta oport</w:t>
      </w:r>
      <w:r w:rsidR="00BE0FAF">
        <w:rPr>
          <w:rFonts w:ascii="Arial" w:hAnsi="Arial" w:cs="Arial"/>
          <w:sz w:val="24"/>
          <w:szCs w:val="24"/>
          <w:lang w:val="es-MX" w:eastAsia="es-ES"/>
        </w:rPr>
        <w:t xml:space="preserve">una de análisis y depuración de </w:t>
      </w:r>
      <w:r w:rsidRPr="00BE0FAF">
        <w:rPr>
          <w:rFonts w:ascii="Arial" w:hAnsi="Arial" w:cs="Arial"/>
          <w:sz w:val="24"/>
          <w:szCs w:val="24"/>
          <w:lang w:val="es-MX" w:eastAsia="es-ES"/>
        </w:rPr>
        <w:t>saldos, siendo éstos:</w:t>
      </w:r>
    </w:p>
    <w:p w:rsidR="00580EB1" w:rsidRPr="00BE0FAF" w:rsidRDefault="00580EB1" w:rsidP="00BE0FAF">
      <w:pPr>
        <w:pStyle w:val="Prrafodelista"/>
        <w:numPr>
          <w:ilvl w:val="0"/>
          <w:numId w:val="47"/>
        </w:num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9 casos con dos saldos a cargo con el mismo número de empleado:</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noProof/>
          <w:sz w:val="24"/>
          <w:szCs w:val="24"/>
          <w:lang w:val="es-MX" w:eastAsia="es-MX"/>
        </w:rPr>
        <w:drawing>
          <wp:inline distT="0" distB="0" distL="0" distR="0" wp14:anchorId="60261A79" wp14:editId="30D29030">
            <wp:extent cx="5253355" cy="880927"/>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3355" cy="880927"/>
                    </a:xfrm>
                    <a:prstGeom prst="rect">
                      <a:avLst/>
                    </a:prstGeom>
                    <a:noFill/>
                    <a:ln>
                      <a:noFill/>
                    </a:ln>
                  </pic:spPr>
                </pic:pic>
              </a:graphicData>
            </a:graphic>
          </wp:inline>
        </w:drawing>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noProof/>
          <w:sz w:val="24"/>
          <w:szCs w:val="24"/>
          <w:lang w:val="es-MX" w:eastAsia="es-MX"/>
        </w:rPr>
        <w:drawing>
          <wp:inline distT="0" distB="0" distL="0" distR="0" wp14:anchorId="18F2616C" wp14:editId="259039DD">
            <wp:extent cx="5253355" cy="2503027"/>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3355" cy="2503027"/>
                    </a:xfrm>
                    <a:prstGeom prst="rect">
                      <a:avLst/>
                    </a:prstGeom>
                    <a:noFill/>
                    <a:ln>
                      <a:noFill/>
                    </a:ln>
                  </pic:spPr>
                </pic:pic>
              </a:graphicData>
            </a:graphic>
          </wp:inline>
        </w:drawing>
      </w:r>
    </w:p>
    <w:p w:rsidR="00580EB1" w:rsidRPr="00BE0FAF" w:rsidRDefault="00580EB1" w:rsidP="00BE0FAF">
      <w:pPr>
        <w:autoSpaceDE w:val="0"/>
        <w:autoSpaceDN w:val="0"/>
        <w:adjustRightInd w:val="0"/>
        <w:spacing w:after="0" w:line="360" w:lineRule="auto"/>
        <w:jc w:val="both"/>
        <w:rPr>
          <w:rFonts w:ascii="Arial" w:hAnsi="Arial" w:cs="Arial"/>
          <w:sz w:val="24"/>
          <w:szCs w:val="24"/>
          <w:lang w:val="es-MX" w:eastAsia="es-ES"/>
        </w:rPr>
      </w:pPr>
      <w:r w:rsidRPr="00BE0FAF">
        <w:rPr>
          <w:rFonts w:ascii="Arial" w:hAnsi="Arial" w:cs="Arial"/>
          <w:sz w:val="24"/>
          <w:szCs w:val="24"/>
          <w:lang w:val="es-MX" w:eastAsia="es-ES"/>
        </w:rPr>
        <w:t>b) 30 casos con diferente número de empleado, la r</w:t>
      </w:r>
      <w:r w:rsidR="00BE0FAF">
        <w:rPr>
          <w:rFonts w:ascii="Arial" w:hAnsi="Arial" w:cs="Arial"/>
          <w:sz w:val="24"/>
          <w:szCs w:val="24"/>
          <w:lang w:val="es-MX" w:eastAsia="es-ES"/>
        </w:rPr>
        <w:t xml:space="preserve">elación se encuentra adjunta en </w:t>
      </w:r>
      <w:r w:rsidRPr="00BE0FAF">
        <w:rPr>
          <w:rFonts w:ascii="Arial" w:hAnsi="Arial" w:cs="Arial"/>
          <w:sz w:val="24"/>
          <w:szCs w:val="24"/>
          <w:lang w:val="es-MX" w:eastAsia="es-ES"/>
        </w:rPr>
        <w:t>CD "Anexos" en archivo electrónico "Anexo -A-"</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Análisis de la Auditoría Superior del Estado</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Derivado del análisis de la respuesta y evidencia prese</w:t>
      </w:r>
      <w:r w:rsidR="00BE0FAF">
        <w:rPr>
          <w:rFonts w:ascii="Arial" w:hAnsi="Arial" w:cs="Arial"/>
          <w:sz w:val="24"/>
          <w:szCs w:val="24"/>
          <w:lang w:val="es-MX" w:eastAsia="es-ES"/>
        </w:rPr>
        <w:t xml:space="preserve">ntada por el Ente Público, esta </w:t>
      </w:r>
      <w:r w:rsidRPr="00BE0FAF">
        <w:rPr>
          <w:rFonts w:ascii="Arial" w:hAnsi="Arial" w:cs="Arial"/>
          <w:sz w:val="24"/>
          <w:szCs w:val="24"/>
          <w:lang w:val="es-MX" w:eastAsia="es-ES"/>
        </w:rPr>
        <w:t>observación se solventa parcialmente debido a que el Fideicomiso anexa relació</w:t>
      </w:r>
      <w:r w:rsidR="00BE0FAF">
        <w:rPr>
          <w:rFonts w:ascii="Arial" w:hAnsi="Arial" w:cs="Arial"/>
          <w:sz w:val="24"/>
          <w:szCs w:val="24"/>
          <w:lang w:val="es-MX" w:eastAsia="es-ES"/>
        </w:rPr>
        <w:t xml:space="preserve">n con </w:t>
      </w:r>
      <w:r w:rsidRPr="00BE0FAF">
        <w:rPr>
          <w:rFonts w:ascii="Arial" w:hAnsi="Arial" w:cs="Arial"/>
          <w:sz w:val="24"/>
          <w:szCs w:val="24"/>
          <w:lang w:val="es-MX" w:eastAsia="es-ES"/>
        </w:rPr>
        <w:t xml:space="preserve">estudio de cada empleado, sin embargo no </w:t>
      </w:r>
      <w:r w:rsidRPr="00BE0FAF">
        <w:rPr>
          <w:rFonts w:ascii="Arial" w:hAnsi="Arial" w:cs="Arial"/>
          <w:sz w:val="24"/>
          <w:szCs w:val="24"/>
          <w:lang w:val="es-MX" w:eastAsia="es-ES"/>
        </w:rPr>
        <w:lastRenderedPageBreak/>
        <w:t>envía los regi</w:t>
      </w:r>
      <w:r w:rsidR="00BE0FAF">
        <w:rPr>
          <w:rFonts w:ascii="Arial" w:hAnsi="Arial" w:cs="Arial"/>
          <w:sz w:val="24"/>
          <w:szCs w:val="24"/>
          <w:lang w:val="es-MX" w:eastAsia="es-ES"/>
        </w:rPr>
        <w:t xml:space="preserve">stros contables que soporte las </w:t>
      </w:r>
      <w:r w:rsidRPr="00BE0FAF">
        <w:rPr>
          <w:rFonts w:ascii="Arial" w:hAnsi="Arial" w:cs="Arial"/>
          <w:sz w:val="24"/>
          <w:szCs w:val="24"/>
          <w:lang w:val="es-MX" w:eastAsia="es-ES"/>
        </w:rPr>
        <w:t>acciones emitidas en la respuesta.</w:t>
      </w: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Acción(es) o recomendación(es) emitida(s)</w:t>
      </w:r>
    </w:p>
    <w:p w:rsidR="00580EB1" w:rsidRPr="00BE0FAF" w:rsidRDefault="00580EB1" w:rsidP="00BE0FAF">
      <w:pPr>
        <w:spacing w:after="0" w:line="360" w:lineRule="auto"/>
        <w:contextualSpacing/>
        <w:jc w:val="both"/>
        <w:rPr>
          <w:rFonts w:ascii="Arial" w:hAnsi="Arial" w:cs="Arial"/>
          <w:i/>
          <w:sz w:val="24"/>
          <w:szCs w:val="24"/>
          <w:lang w:val="es-MX" w:eastAsia="es-ES"/>
        </w:rPr>
      </w:pPr>
      <w:r w:rsidRPr="00BE0FAF">
        <w:rPr>
          <w:rFonts w:ascii="Arial" w:hAnsi="Arial" w:cs="Arial"/>
          <w:i/>
          <w:sz w:val="24"/>
          <w:szCs w:val="24"/>
          <w:lang w:val="es-MX" w:eastAsia="es-ES"/>
        </w:rPr>
        <w:t>Recomendaciones en Relación a la Gestión o Control Interno.</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7. El Fideicomiso otorgó préstamos durante el ejercicio 2015</w:t>
      </w:r>
      <w:r w:rsidR="00BE0FAF">
        <w:rPr>
          <w:rFonts w:ascii="Arial" w:hAnsi="Arial" w:cs="Arial"/>
          <w:sz w:val="24"/>
          <w:szCs w:val="24"/>
          <w:lang w:val="es-MX" w:eastAsia="es-ES"/>
        </w:rPr>
        <w:t xml:space="preserve"> a personal que tiene saldo por </w:t>
      </w:r>
      <w:r w:rsidRPr="00BE0FAF">
        <w:rPr>
          <w:rFonts w:ascii="Arial" w:hAnsi="Arial" w:cs="Arial"/>
          <w:sz w:val="24"/>
          <w:szCs w:val="24"/>
          <w:lang w:val="es-MX" w:eastAsia="es-ES"/>
        </w:rPr>
        <w:t xml:space="preserve">pagar considerado como cuenta incobrable, incumpliendo </w:t>
      </w:r>
      <w:r w:rsidR="00BE0FAF">
        <w:rPr>
          <w:rFonts w:ascii="Arial" w:hAnsi="Arial" w:cs="Arial"/>
          <w:sz w:val="24"/>
          <w:szCs w:val="24"/>
          <w:lang w:val="es-MX" w:eastAsia="es-ES"/>
        </w:rPr>
        <w:t xml:space="preserve">la obligación establecida en el </w:t>
      </w:r>
      <w:r w:rsidRPr="00BE0FAF">
        <w:rPr>
          <w:rFonts w:ascii="Arial" w:hAnsi="Arial" w:cs="Arial"/>
          <w:sz w:val="24"/>
          <w:szCs w:val="24"/>
          <w:lang w:val="es-MX" w:eastAsia="es-ES"/>
        </w:rPr>
        <w:t>"Manual de Procedimientos 2015" que menciona en el t</w:t>
      </w:r>
      <w:r w:rsidR="00BE0FAF">
        <w:rPr>
          <w:rFonts w:ascii="Arial" w:hAnsi="Arial" w:cs="Arial"/>
          <w:sz w:val="24"/>
          <w:szCs w:val="24"/>
          <w:lang w:val="es-MX" w:eastAsia="es-ES"/>
        </w:rPr>
        <w:t xml:space="preserve">ítulo "Captura de préstamos" lo </w:t>
      </w:r>
      <w:r w:rsidRPr="00BE0FAF">
        <w:rPr>
          <w:rFonts w:ascii="Arial" w:hAnsi="Arial" w:cs="Arial"/>
          <w:sz w:val="24"/>
          <w:szCs w:val="24"/>
          <w:lang w:val="es-MX" w:eastAsia="es-ES"/>
        </w:rPr>
        <w:t>siguiente:</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BE0FAF" w:rsidP="00BE0FAF">
      <w:pPr>
        <w:spacing w:after="0" w:line="360" w:lineRule="auto"/>
        <w:contextualSpacing/>
        <w:jc w:val="both"/>
        <w:rPr>
          <w:rFonts w:ascii="Arial" w:hAnsi="Arial" w:cs="Arial"/>
          <w:sz w:val="24"/>
          <w:szCs w:val="24"/>
          <w:lang w:val="es-MX" w:eastAsia="es-ES"/>
        </w:rPr>
      </w:pPr>
      <w:r>
        <w:rPr>
          <w:rFonts w:ascii="Arial" w:hAnsi="Arial" w:cs="Arial"/>
          <w:sz w:val="24"/>
          <w:szCs w:val="24"/>
          <w:lang w:val="es-MX" w:eastAsia="es-ES"/>
        </w:rPr>
        <w:t xml:space="preserve">"3. Responsabilidad </w:t>
      </w:r>
      <w:r w:rsidR="00580EB1" w:rsidRPr="00BE0FAF">
        <w:rPr>
          <w:rFonts w:ascii="Arial" w:hAnsi="Arial" w:cs="Arial"/>
          <w:sz w:val="24"/>
          <w:szCs w:val="24"/>
          <w:lang w:val="es-MX" w:eastAsia="es-ES"/>
        </w:rPr>
        <w:t>-Es responsabilidad del coordinador general, rev</w:t>
      </w:r>
      <w:r>
        <w:rPr>
          <w:rFonts w:ascii="Arial" w:hAnsi="Arial" w:cs="Arial"/>
          <w:sz w:val="24"/>
          <w:szCs w:val="24"/>
          <w:lang w:val="es-MX" w:eastAsia="es-ES"/>
        </w:rPr>
        <w:t xml:space="preserve">isar y dar el visto bueno a los </w:t>
      </w:r>
      <w:r w:rsidR="00580EB1" w:rsidRPr="00BE0FAF">
        <w:rPr>
          <w:rFonts w:ascii="Arial" w:hAnsi="Arial" w:cs="Arial"/>
          <w:sz w:val="24"/>
          <w:szCs w:val="24"/>
          <w:lang w:val="es-MX" w:eastAsia="es-ES"/>
        </w:rPr>
        <w:t>procedimientos para la correcta aplicación de los mismos, par</w:t>
      </w:r>
      <w:r>
        <w:rPr>
          <w:rFonts w:ascii="Arial" w:hAnsi="Arial" w:cs="Arial"/>
          <w:sz w:val="24"/>
          <w:szCs w:val="24"/>
          <w:lang w:val="es-MX" w:eastAsia="es-ES"/>
        </w:rPr>
        <w:t xml:space="preserve">a su posterior autorización y </w:t>
      </w:r>
      <w:r w:rsidR="00580EB1" w:rsidRPr="00BE0FAF">
        <w:rPr>
          <w:rFonts w:ascii="Arial" w:hAnsi="Arial" w:cs="Arial"/>
          <w:sz w:val="24"/>
          <w:szCs w:val="24"/>
          <w:lang w:val="es-MX" w:eastAsia="es-ES"/>
        </w:rPr>
        <w:t>firma del director del fideicomiso.</w:t>
      </w:r>
    </w:p>
    <w:p w:rsidR="00580EB1" w:rsidRPr="00BE0FAF" w:rsidRDefault="00BE0FAF" w:rsidP="00BE0FAF">
      <w:pPr>
        <w:spacing w:after="0" w:line="360" w:lineRule="auto"/>
        <w:contextualSpacing/>
        <w:jc w:val="both"/>
        <w:rPr>
          <w:rFonts w:ascii="Arial" w:hAnsi="Arial" w:cs="Arial"/>
          <w:sz w:val="24"/>
          <w:szCs w:val="24"/>
          <w:lang w:val="es-MX" w:eastAsia="es-ES"/>
        </w:rPr>
      </w:pPr>
      <w:r>
        <w:rPr>
          <w:rFonts w:ascii="Arial" w:hAnsi="Arial" w:cs="Arial"/>
          <w:sz w:val="24"/>
          <w:szCs w:val="24"/>
          <w:lang w:val="es-MX" w:eastAsia="es-ES"/>
        </w:rPr>
        <w:t xml:space="preserve">5. Procedimiento: </w:t>
      </w:r>
      <w:r w:rsidR="00580EB1" w:rsidRPr="00BE0FAF">
        <w:rPr>
          <w:rFonts w:ascii="Arial" w:hAnsi="Arial" w:cs="Arial"/>
          <w:sz w:val="24"/>
          <w:szCs w:val="24"/>
          <w:lang w:val="es-MX" w:eastAsia="es-ES"/>
        </w:rPr>
        <w:t>Revisar si no cuenta con adeudo pendiente."</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Los casos detectados se muestran a continuación:</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center"/>
        <w:rPr>
          <w:rFonts w:ascii="Arial" w:hAnsi="Arial" w:cs="Arial"/>
          <w:sz w:val="24"/>
          <w:szCs w:val="24"/>
          <w:lang w:val="es-MX" w:eastAsia="es-ES"/>
        </w:rPr>
      </w:pPr>
      <w:r w:rsidRPr="00BE0FAF">
        <w:rPr>
          <w:rFonts w:ascii="Arial" w:hAnsi="Arial" w:cs="Arial"/>
          <w:noProof/>
          <w:sz w:val="24"/>
          <w:szCs w:val="24"/>
          <w:lang w:val="es-MX" w:eastAsia="es-MX"/>
        </w:rPr>
        <w:lastRenderedPageBreak/>
        <w:drawing>
          <wp:inline distT="0" distB="0" distL="0" distR="0" wp14:anchorId="29088DA8" wp14:editId="482F2C9D">
            <wp:extent cx="2576830" cy="34321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6830" cy="3432175"/>
                    </a:xfrm>
                    <a:prstGeom prst="rect">
                      <a:avLst/>
                    </a:prstGeom>
                    <a:noFill/>
                    <a:ln>
                      <a:noFill/>
                    </a:ln>
                  </pic:spPr>
                </pic:pic>
              </a:graphicData>
            </a:graphic>
          </wp:inline>
        </w:drawing>
      </w:r>
    </w:p>
    <w:p w:rsidR="00580EB1" w:rsidRPr="00BE0FAF" w:rsidRDefault="00580EB1" w:rsidP="00BE0FAF">
      <w:pPr>
        <w:autoSpaceDE w:val="0"/>
        <w:autoSpaceDN w:val="0"/>
        <w:adjustRightInd w:val="0"/>
        <w:spacing w:after="0" w:line="360" w:lineRule="auto"/>
        <w:jc w:val="both"/>
        <w:rPr>
          <w:rFonts w:ascii="Arial" w:hAnsi="Arial" w:cs="Arial"/>
          <w:b/>
          <w:bCs/>
          <w:sz w:val="24"/>
          <w:szCs w:val="24"/>
          <w:lang w:val="es-MX" w:eastAsia="es-ES"/>
        </w:rPr>
      </w:pPr>
      <w:r w:rsidRPr="00BE0FAF">
        <w:rPr>
          <w:rFonts w:ascii="Arial" w:hAnsi="Arial" w:cs="Arial"/>
          <w:b/>
          <w:bCs/>
          <w:sz w:val="24"/>
          <w:szCs w:val="24"/>
          <w:lang w:val="es-MX" w:eastAsia="es-ES"/>
        </w:rPr>
        <w:t>Acción(es) o recomendación(es) emitida(s)</w:t>
      </w:r>
    </w:p>
    <w:p w:rsidR="00580EB1" w:rsidRPr="00BE0FAF" w:rsidRDefault="00580EB1" w:rsidP="00BE0FAF">
      <w:pPr>
        <w:autoSpaceDE w:val="0"/>
        <w:autoSpaceDN w:val="0"/>
        <w:adjustRightInd w:val="0"/>
        <w:spacing w:after="0" w:line="360" w:lineRule="auto"/>
        <w:jc w:val="both"/>
        <w:rPr>
          <w:rFonts w:ascii="Arial" w:hAnsi="Arial" w:cs="Arial"/>
          <w:i/>
          <w:iCs/>
          <w:sz w:val="24"/>
          <w:szCs w:val="24"/>
          <w:lang w:val="es-MX" w:eastAsia="es-ES"/>
        </w:rPr>
      </w:pPr>
      <w:r w:rsidRPr="00BE0FAF">
        <w:rPr>
          <w:rFonts w:ascii="Arial" w:hAnsi="Arial" w:cs="Arial"/>
          <w:i/>
          <w:iCs/>
          <w:sz w:val="24"/>
          <w:szCs w:val="24"/>
          <w:lang w:val="es-MX" w:eastAsia="es-ES"/>
        </w:rPr>
        <w:t>Promoción de Fincamiento de Responsabilidad Administrativa.</w:t>
      </w:r>
    </w:p>
    <w:p w:rsidR="00BE0FAF" w:rsidRDefault="00BE0FAF" w:rsidP="00BE0FAF">
      <w:pPr>
        <w:autoSpaceDE w:val="0"/>
        <w:autoSpaceDN w:val="0"/>
        <w:adjustRightInd w:val="0"/>
        <w:spacing w:after="0" w:line="360" w:lineRule="auto"/>
        <w:jc w:val="both"/>
        <w:rPr>
          <w:rFonts w:ascii="Arial" w:hAnsi="Arial" w:cs="Arial"/>
          <w:sz w:val="24"/>
          <w:szCs w:val="24"/>
          <w:lang w:val="es-MX" w:eastAsia="es-ES"/>
        </w:rPr>
      </w:pPr>
    </w:p>
    <w:p w:rsidR="00580EB1" w:rsidRPr="00BE0FAF" w:rsidRDefault="00580EB1" w:rsidP="00BE0FAF">
      <w:pPr>
        <w:autoSpaceDE w:val="0"/>
        <w:autoSpaceDN w:val="0"/>
        <w:adjustRightInd w:val="0"/>
        <w:spacing w:after="0" w:line="360" w:lineRule="auto"/>
        <w:jc w:val="both"/>
        <w:rPr>
          <w:rFonts w:ascii="Arial" w:hAnsi="Arial" w:cs="Arial"/>
          <w:sz w:val="24"/>
          <w:szCs w:val="24"/>
          <w:lang w:val="es-MX" w:eastAsia="es-ES"/>
        </w:rPr>
      </w:pPr>
      <w:r w:rsidRPr="00BE0FAF">
        <w:rPr>
          <w:rFonts w:ascii="Arial" w:hAnsi="Arial" w:cs="Arial"/>
          <w:b/>
          <w:sz w:val="24"/>
          <w:szCs w:val="24"/>
          <w:lang w:val="es-MX" w:eastAsia="es-ES"/>
        </w:rPr>
        <w:t>8.</w:t>
      </w:r>
      <w:r w:rsidRPr="00BE0FAF">
        <w:rPr>
          <w:rFonts w:ascii="Arial" w:hAnsi="Arial" w:cs="Arial"/>
          <w:sz w:val="24"/>
          <w:szCs w:val="24"/>
          <w:lang w:val="es-MX" w:eastAsia="es-ES"/>
        </w:rPr>
        <w:t xml:space="preserve"> Como parte del seguimiento a observaciones del ejercici</w:t>
      </w:r>
      <w:r w:rsidR="00BE0FAF">
        <w:rPr>
          <w:rFonts w:ascii="Arial" w:hAnsi="Arial" w:cs="Arial"/>
          <w:sz w:val="24"/>
          <w:szCs w:val="24"/>
          <w:lang w:val="es-MX" w:eastAsia="es-ES"/>
        </w:rPr>
        <w:t xml:space="preserve">o 2014, se confrontó la base de </w:t>
      </w:r>
      <w:r w:rsidRPr="00BE0FAF">
        <w:rPr>
          <w:rFonts w:ascii="Arial" w:hAnsi="Arial" w:cs="Arial"/>
          <w:sz w:val="24"/>
          <w:szCs w:val="24"/>
          <w:lang w:val="es-MX" w:eastAsia="es-ES"/>
        </w:rPr>
        <w:t>datos de la cartera al cierre del ejercicio 2015 con la base</w:t>
      </w:r>
      <w:r w:rsidR="00BE0FAF">
        <w:rPr>
          <w:rFonts w:ascii="Arial" w:hAnsi="Arial" w:cs="Arial"/>
          <w:sz w:val="24"/>
          <w:szCs w:val="24"/>
          <w:lang w:val="es-MX" w:eastAsia="es-ES"/>
        </w:rPr>
        <w:t xml:space="preserve"> de datos de personal fallecido </w:t>
      </w:r>
      <w:r w:rsidRPr="00BE0FAF">
        <w:rPr>
          <w:rFonts w:ascii="Arial" w:hAnsi="Arial" w:cs="Arial"/>
          <w:sz w:val="24"/>
          <w:szCs w:val="24"/>
          <w:lang w:val="es-MX" w:eastAsia="es-ES"/>
        </w:rPr>
        <w:t>proporcionado por el Instituto de Seguridad y Servicios S</w:t>
      </w:r>
      <w:r w:rsidR="00BE0FAF">
        <w:rPr>
          <w:rFonts w:ascii="Arial" w:hAnsi="Arial" w:cs="Arial"/>
          <w:sz w:val="24"/>
          <w:szCs w:val="24"/>
          <w:lang w:val="es-MX" w:eastAsia="es-ES"/>
        </w:rPr>
        <w:t xml:space="preserve">ociales de los Trabajadores del </w:t>
      </w:r>
      <w:r w:rsidRPr="00BE0FAF">
        <w:rPr>
          <w:rFonts w:ascii="Arial" w:hAnsi="Arial" w:cs="Arial"/>
          <w:sz w:val="24"/>
          <w:szCs w:val="24"/>
          <w:lang w:val="es-MX" w:eastAsia="es-ES"/>
        </w:rPr>
        <w:t xml:space="preserve">Estado de Nuevo León, mediante oficio ISS-1741/2015 para </w:t>
      </w:r>
      <w:r w:rsidR="00BE0FAF">
        <w:rPr>
          <w:rFonts w:ascii="Arial" w:hAnsi="Arial" w:cs="Arial"/>
          <w:sz w:val="24"/>
          <w:szCs w:val="24"/>
          <w:lang w:val="es-MX" w:eastAsia="es-ES"/>
        </w:rPr>
        <w:t xml:space="preserve">la revisión del ejercicio 2014, </w:t>
      </w:r>
      <w:r w:rsidRPr="00BE0FAF">
        <w:rPr>
          <w:rFonts w:ascii="Arial" w:hAnsi="Arial" w:cs="Arial"/>
          <w:sz w:val="24"/>
          <w:szCs w:val="24"/>
          <w:lang w:val="es-MX" w:eastAsia="es-ES"/>
        </w:rPr>
        <w:t>observando que en 19 casos aún presentan saldo, relación</w:t>
      </w:r>
      <w:r w:rsidR="00BE0FAF">
        <w:rPr>
          <w:rFonts w:ascii="Arial" w:hAnsi="Arial" w:cs="Arial"/>
          <w:sz w:val="24"/>
          <w:szCs w:val="24"/>
          <w:lang w:val="es-MX" w:eastAsia="es-ES"/>
        </w:rPr>
        <w:t xml:space="preserve"> que se encuentra en el archivo </w:t>
      </w:r>
      <w:r w:rsidRPr="00BE0FAF">
        <w:rPr>
          <w:rFonts w:ascii="Arial" w:hAnsi="Arial" w:cs="Arial"/>
          <w:sz w:val="24"/>
          <w:szCs w:val="24"/>
          <w:lang w:val="es-MX" w:eastAsia="es-ES"/>
        </w:rPr>
        <w:t>denominado "Anexo -B-", contenido en el CD adjunto ro</w:t>
      </w:r>
      <w:r w:rsidR="00BE0FAF">
        <w:rPr>
          <w:rFonts w:ascii="Arial" w:hAnsi="Arial" w:cs="Arial"/>
          <w:sz w:val="24"/>
          <w:szCs w:val="24"/>
          <w:lang w:val="es-MX" w:eastAsia="es-ES"/>
        </w:rPr>
        <w:t xml:space="preserve">tulado con el nombre "Anexos de </w:t>
      </w:r>
      <w:r w:rsidRPr="00BE0FAF">
        <w:rPr>
          <w:rFonts w:ascii="Arial" w:hAnsi="Arial" w:cs="Arial"/>
          <w:sz w:val="24"/>
          <w:szCs w:val="24"/>
          <w:lang w:val="es-MX" w:eastAsia="es-ES"/>
        </w:rPr>
        <w:t>Observaciones Preliminares".</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lastRenderedPageBreak/>
        <w:t xml:space="preserve">Derivado del análisis de la respuesta y la evidencia presentada, esta observación </w:t>
      </w:r>
      <w:r w:rsidR="00BE0FAF">
        <w:rPr>
          <w:rFonts w:ascii="Arial" w:hAnsi="Arial" w:cs="Arial"/>
          <w:sz w:val="24"/>
          <w:szCs w:val="24"/>
          <w:lang w:val="es-MX" w:eastAsia="es-ES"/>
        </w:rPr>
        <w:t xml:space="preserve">se </w:t>
      </w:r>
      <w:r w:rsidRPr="00BE0FAF">
        <w:rPr>
          <w:rFonts w:ascii="Arial" w:hAnsi="Arial" w:cs="Arial"/>
          <w:sz w:val="24"/>
          <w:szCs w:val="24"/>
          <w:lang w:val="es-MX" w:eastAsia="es-ES"/>
        </w:rPr>
        <w:t>solventa parcialmente, debido a que el Fideicomiso e</w:t>
      </w:r>
      <w:r w:rsidR="00BE0FAF">
        <w:rPr>
          <w:rFonts w:ascii="Arial" w:hAnsi="Arial" w:cs="Arial"/>
          <w:sz w:val="24"/>
          <w:szCs w:val="24"/>
          <w:lang w:val="es-MX" w:eastAsia="es-ES"/>
        </w:rPr>
        <w:t xml:space="preserve">nvía oficio de traspaso para la </w:t>
      </w:r>
      <w:r w:rsidRPr="00BE0FAF">
        <w:rPr>
          <w:rFonts w:ascii="Arial" w:hAnsi="Arial" w:cs="Arial"/>
          <w:sz w:val="24"/>
          <w:szCs w:val="24"/>
          <w:lang w:val="es-MX" w:eastAsia="es-ES"/>
        </w:rPr>
        <w:t xml:space="preserve">aplicación de seguros por defunción así como integración </w:t>
      </w:r>
      <w:r w:rsidR="00BE0FAF">
        <w:rPr>
          <w:rFonts w:ascii="Arial" w:hAnsi="Arial" w:cs="Arial"/>
          <w:sz w:val="24"/>
          <w:szCs w:val="24"/>
          <w:lang w:val="es-MX" w:eastAsia="es-ES"/>
        </w:rPr>
        <w:t xml:space="preserve">de los empleados afectados, sin </w:t>
      </w:r>
      <w:r w:rsidRPr="00BE0FAF">
        <w:rPr>
          <w:rFonts w:ascii="Arial" w:hAnsi="Arial" w:cs="Arial"/>
          <w:sz w:val="24"/>
          <w:szCs w:val="24"/>
          <w:lang w:val="es-MX" w:eastAsia="es-ES"/>
        </w:rPr>
        <w:t>embargo, no se anexa soporte de registro contable efectuado.</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Acción(es) o recomendación(es) emitida(s)</w:t>
      </w:r>
    </w:p>
    <w:p w:rsidR="00580EB1" w:rsidRPr="00BE0FAF" w:rsidRDefault="00580EB1" w:rsidP="00BE0FAF">
      <w:pPr>
        <w:spacing w:after="0" w:line="360" w:lineRule="auto"/>
        <w:contextualSpacing/>
        <w:jc w:val="both"/>
        <w:rPr>
          <w:rFonts w:ascii="Arial" w:hAnsi="Arial" w:cs="Arial"/>
          <w:i/>
          <w:sz w:val="24"/>
          <w:szCs w:val="24"/>
          <w:lang w:val="es-MX" w:eastAsia="es-ES"/>
        </w:rPr>
      </w:pPr>
      <w:r w:rsidRPr="00BE0FAF">
        <w:rPr>
          <w:rFonts w:ascii="Arial" w:hAnsi="Arial" w:cs="Arial"/>
          <w:i/>
          <w:sz w:val="24"/>
          <w:szCs w:val="24"/>
          <w:lang w:val="es-MX" w:eastAsia="es-ES"/>
        </w:rPr>
        <w:t>Recomendaciones en Relación a la Gestión o Control Interno.</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Derechos a Recibir Efectivo o Equivalentes</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b/>
          <w:sz w:val="24"/>
          <w:szCs w:val="24"/>
          <w:lang w:val="es-MX" w:eastAsia="es-ES"/>
        </w:rPr>
        <w:t>9.</w:t>
      </w:r>
      <w:r w:rsidRPr="00BE0FAF">
        <w:rPr>
          <w:rFonts w:ascii="Arial" w:hAnsi="Arial" w:cs="Arial"/>
          <w:sz w:val="24"/>
          <w:szCs w:val="24"/>
          <w:lang w:val="es-MX" w:eastAsia="es-ES"/>
        </w:rPr>
        <w:t xml:space="preserve"> Se observaron seis pólizas contables registradas en l</w:t>
      </w:r>
      <w:r w:rsidR="00BE0FAF">
        <w:rPr>
          <w:rFonts w:ascii="Arial" w:hAnsi="Arial" w:cs="Arial"/>
          <w:sz w:val="24"/>
          <w:szCs w:val="24"/>
          <w:lang w:val="es-MX" w:eastAsia="es-ES"/>
        </w:rPr>
        <w:t xml:space="preserve">as cuentas de deudores diversos </w:t>
      </w:r>
      <w:r w:rsidRPr="00BE0FAF">
        <w:rPr>
          <w:rFonts w:ascii="Arial" w:hAnsi="Arial" w:cs="Arial"/>
          <w:sz w:val="24"/>
          <w:szCs w:val="24"/>
          <w:lang w:val="es-MX" w:eastAsia="es-ES"/>
        </w:rPr>
        <w:t>y préstamos a empleados principalmente, sin el sopor</w:t>
      </w:r>
      <w:r w:rsidR="00BE0FAF">
        <w:rPr>
          <w:rFonts w:ascii="Arial" w:hAnsi="Arial" w:cs="Arial"/>
          <w:sz w:val="24"/>
          <w:szCs w:val="24"/>
          <w:lang w:val="es-MX" w:eastAsia="es-ES"/>
        </w:rPr>
        <w:t xml:space="preserve">te documental que compruebe ni </w:t>
      </w:r>
      <w:r w:rsidRPr="00BE0FAF">
        <w:rPr>
          <w:rFonts w:ascii="Arial" w:hAnsi="Arial" w:cs="Arial"/>
          <w:sz w:val="24"/>
          <w:szCs w:val="24"/>
          <w:lang w:val="es-MX" w:eastAsia="es-ES"/>
        </w:rPr>
        <w:t>justifique los registros efectuados, incumpliendo con lo esta</w:t>
      </w:r>
      <w:r w:rsidR="00BE0FAF">
        <w:rPr>
          <w:rFonts w:ascii="Arial" w:hAnsi="Arial" w:cs="Arial"/>
          <w:sz w:val="24"/>
          <w:szCs w:val="24"/>
          <w:lang w:val="es-MX" w:eastAsia="es-ES"/>
        </w:rPr>
        <w:t xml:space="preserve">blecido en el artículo 42 de la </w:t>
      </w:r>
      <w:r w:rsidRPr="00BE0FAF">
        <w:rPr>
          <w:rFonts w:ascii="Arial" w:hAnsi="Arial" w:cs="Arial"/>
          <w:sz w:val="24"/>
          <w:szCs w:val="24"/>
          <w:lang w:val="es-MX" w:eastAsia="es-ES"/>
        </w:rPr>
        <w:t>Ley General de Contabilidad Gubernamental y 15 de la Ley de Fiscalización Superior del</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Estado de Nuevo león, lo anterior conforme al resumen por cuenta detallado a continuación:</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noProof/>
          <w:sz w:val="24"/>
          <w:szCs w:val="24"/>
          <w:lang w:val="es-MX" w:eastAsia="es-MX"/>
        </w:rPr>
        <w:drawing>
          <wp:inline distT="0" distB="0" distL="0" distR="0" wp14:anchorId="54CF60EB" wp14:editId="32C60810">
            <wp:extent cx="2161540" cy="13417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1540" cy="1341755"/>
                    </a:xfrm>
                    <a:prstGeom prst="rect">
                      <a:avLst/>
                    </a:prstGeom>
                    <a:noFill/>
                    <a:ln>
                      <a:noFill/>
                    </a:ln>
                  </pic:spPr>
                </pic:pic>
              </a:graphicData>
            </a:graphic>
          </wp:inline>
        </w:drawing>
      </w: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Análisis de la Auditoría Superior del Estado</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 xml:space="preserve">Derivado del análisis de la respuesta y evidencia </w:t>
      </w:r>
      <w:r w:rsidR="00BE0FAF">
        <w:rPr>
          <w:rFonts w:ascii="Arial" w:hAnsi="Arial" w:cs="Arial"/>
          <w:sz w:val="24"/>
          <w:szCs w:val="24"/>
          <w:lang w:val="es-MX" w:eastAsia="es-ES"/>
        </w:rPr>
        <w:t xml:space="preserve">presentada, esta observación se </w:t>
      </w:r>
      <w:r w:rsidRPr="00BE0FAF">
        <w:rPr>
          <w:rFonts w:ascii="Arial" w:hAnsi="Arial" w:cs="Arial"/>
          <w:sz w:val="24"/>
          <w:szCs w:val="24"/>
          <w:lang w:val="es-MX" w:eastAsia="es-ES"/>
        </w:rPr>
        <w:t>solventa parcialmente, ya que se entregó informa</w:t>
      </w:r>
      <w:r w:rsidR="00BE0FAF">
        <w:rPr>
          <w:rFonts w:ascii="Arial" w:hAnsi="Arial" w:cs="Arial"/>
          <w:sz w:val="24"/>
          <w:szCs w:val="24"/>
          <w:lang w:val="es-MX" w:eastAsia="es-ES"/>
        </w:rPr>
        <w:t xml:space="preserve">ción de las </w:t>
      </w:r>
      <w:r w:rsidR="00BE0FAF">
        <w:rPr>
          <w:rFonts w:ascii="Arial" w:hAnsi="Arial" w:cs="Arial"/>
          <w:sz w:val="24"/>
          <w:szCs w:val="24"/>
          <w:lang w:val="es-MX" w:eastAsia="es-ES"/>
        </w:rPr>
        <w:lastRenderedPageBreak/>
        <w:t xml:space="preserve">siguientes pólizas: </w:t>
      </w:r>
      <w:r w:rsidRPr="00BE0FAF">
        <w:rPr>
          <w:rFonts w:ascii="Arial" w:hAnsi="Arial" w:cs="Arial"/>
          <w:sz w:val="24"/>
          <w:szCs w:val="24"/>
          <w:lang w:val="es-MX" w:eastAsia="es-ES"/>
        </w:rPr>
        <w:t>D00224,I00125,D00448,D00518 D00524; sin embargo, no</w:t>
      </w:r>
      <w:r w:rsidR="00BE0FAF">
        <w:rPr>
          <w:rFonts w:ascii="Arial" w:hAnsi="Arial" w:cs="Arial"/>
          <w:sz w:val="24"/>
          <w:szCs w:val="24"/>
          <w:lang w:val="es-MX" w:eastAsia="es-ES"/>
        </w:rPr>
        <w:t xml:space="preserve"> se anexa el soporte documental </w:t>
      </w:r>
      <w:r w:rsidRPr="00BE0FAF">
        <w:rPr>
          <w:rFonts w:ascii="Arial" w:hAnsi="Arial" w:cs="Arial"/>
          <w:sz w:val="24"/>
          <w:szCs w:val="24"/>
          <w:lang w:val="es-MX" w:eastAsia="es-ES"/>
        </w:rPr>
        <w:t>de la póliza D00519.</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Acción(es) o recomendación(es) emitida(s)</w:t>
      </w:r>
    </w:p>
    <w:p w:rsidR="00580EB1" w:rsidRPr="00BE0FAF" w:rsidRDefault="00580EB1" w:rsidP="00BE0FAF">
      <w:pPr>
        <w:spacing w:after="0" w:line="360" w:lineRule="auto"/>
        <w:contextualSpacing/>
        <w:jc w:val="both"/>
        <w:rPr>
          <w:rFonts w:ascii="Arial" w:hAnsi="Arial" w:cs="Arial"/>
          <w:i/>
          <w:sz w:val="24"/>
          <w:szCs w:val="24"/>
          <w:lang w:val="es-MX" w:eastAsia="es-ES"/>
        </w:rPr>
      </w:pPr>
      <w:r w:rsidRPr="00BE0FAF">
        <w:rPr>
          <w:rFonts w:ascii="Arial" w:hAnsi="Arial" w:cs="Arial"/>
          <w:i/>
          <w:sz w:val="24"/>
          <w:szCs w:val="24"/>
          <w:lang w:val="es-MX" w:eastAsia="es-ES"/>
        </w:rPr>
        <w:t>Promoción de Fincamiento de Responsabilidad Administrativa.</w:t>
      </w:r>
    </w:p>
    <w:p w:rsidR="00580EB1" w:rsidRPr="00BE0FAF" w:rsidRDefault="00580EB1" w:rsidP="00BE0FAF">
      <w:pPr>
        <w:spacing w:after="0" w:line="360" w:lineRule="auto"/>
        <w:contextualSpacing/>
        <w:jc w:val="both"/>
        <w:rPr>
          <w:rFonts w:ascii="Arial" w:hAnsi="Arial" w:cs="Arial"/>
          <w:i/>
          <w:sz w:val="24"/>
          <w:szCs w:val="24"/>
          <w:lang w:val="es-MX" w:eastAsia="es-ES"/>
        </w:rPr>
      </w:pPr>
      <w:r w:rsidRPr="00BE0FAF">
        <w:rPr>
          <w:rFonts w:ascii="Arial" w:hAnsi="Arial" w:cs="Arial"/>
          <w:i/>
          <w:sz w:val="24"/>
          <w:szCs w:val="24"/>
          <w:lang w:val="es-MX" w:eastAsia="es-ES"/>
        </w:rPr>
        <w:t>Recomendaciones en Relación a la Gestión o Control Interno.</w:t>
      </w:r>
    </w:p>
    <w:p w:rsidR="00580EB1" w:rsidRPr="00BE0FAF" w:rsidRDefault="00580EB1" w:rsidP="00BE0FAF">
      <w:pPr>
        <w:spacing w:after="0" w:line="360" w:lineRule="auto"/>
        <w:contextualSpacing/>
        <w:jc w:val="both"/>
        <w:rPr>
          <w:rFonts w:ascii="Arial" w:hAnsi="Arial" w:cs="Arial"/>
          <w:i/>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Activo no circulante</w:t>
      </w: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Depreciación, deterioro y amortización acumulada de bienes</w:t>
      </w: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u w:val="single"/>
          <w:lang w:val="es-MX" w:eastAsia="es-ES"/>
        </w:rPr>
        <w:t>Depreciación acumulada de bienes muebles</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b/>
          <w:sz w:val="24"/>
          <w:szCs w:val="24"/>
          <w:lang w:val="es-MX" w:eastAsia="es-ES"/>
        </w:rPr>
        <w:t>10</w:t>
      </w:r>
      <w:r w:rsidRPr="00BE0FAF">
        <w:rPr>
          <w:rFonts w:ascii="Arial" w:hAnsi="Arial" w:cs="Arial"/>
          <w:sz w:val="24"/>
          <w:szCs w:val="24"/>
          <w:lang w:val="es-MX" w:eastAsia="es-ES"/>
        </w:rPr>
        <w:t>. No se proporcionó ni fue exhibida por el Ente Públ</w:t>
      </w:r>
      <w:r w:rsidR="00BE0FAF">
        <w:rPr>
          <w:rFonts w:ascii="Arial" w:hAnsi="Arial" w:cs="Arial"/>
          <w:sz w:val="24"/>
          <w:szCs w:val="24"/>
          <w:lang w:val="es-MX" w:eastAsia="es-ES"/>
        </w:rPr>
        <w:t xml:space="preserve">ico evidencia del cálculo de la </w:t>
      </w:r>
      <w:r w:rsidRPr="00BE0FAF">
        <w:rPr>
          <w:rFonts w:ascii="Arial" w:hAnsi="Arial" w:cs="Arial"/>
          <w:sz w:val="24"/>
          <w:szCs w:val="24"/>
          <w:lang w:val="es-MX" w:eastAsia="es-ES"/>
        </w:rPr>
        <w:t xml:space="preserve">depreciación conforme a lo establecido en el Acuerdo </w:t>
      </w:r>
      <w:r w:rsidR="00BE0FAF">
        <w:rPr>
          <w:rFonts w:ascii="Arial" w:hAnsi="Arial" w:cs="Arial"/>
          <w:sz w:val="24"/>
          <w:szCs w:val="24"/>
          <w:lang w:val="es-MX" w:eastAsia="es-ES"/>
        </w:rPr>
        <w:t xml:space="preserve">por el que se emiten las reglas </w:t>
      </w:r>
      <w:r w:rsidRPr="00BE0FAF">
        <w:rPr>
          <w:rFonts w:ascii="Arial" w:hAnsi="Arial" w:cs="Arial"/>
          <w:sz w:val="24"/>
          <w:szCs w:val="24"/>
          <w:lang w:val="es-MX" w:eastAsia="es-ES"/>
        </w:rPr>
        <w:t>específicas del registro y valoración del patrimonio (inc</w:t>
      </w:r>
      <w:r w:rsidR="00BE0FAF">
        <w:rPr>
          <w:rFonts w:ascii="Arial" w:hAnsi="Arial" w:cs="Arial"/>
          <w:sz w:val="24"/>
          <w:szCs w:val="24"/>
          <w:lang w:val="es-MX" w:eastAsia="es-ES"/>
        </w:rPr>
        <w:t xml:space="preserve">iso B - punto 6 - Depreciación, </w:t>
      </w:r>
      <w:r w:rsidRPr="00BE0FAF">
        <w:rPr>
          <w:rFonts w:ascii="Arial" w:hAnsi="Arial" w:cs="Arial"/>
          <w:sz w:val="24"/>
          <w:szCs w:val="24"/>
          <w:lang w:val="es-MX" w:eastAsia="es-ES"/>
        </w:rPr>
        <w:t>deterioro y amortización, del ejercicio y acumulada de bienes</w:t>
      </w:r>
      <w:r w:rsidR="00BE0FAF">
        <w:rPr>
          <w:rFonts w:ascii="Arial" w:hAnsi="Arial" w:cs="Arial"/>
          <w:sz w:val="24"/>
          <w:szCs w:val="24"/>
          <w:lang w:val="es-MX" w:eastAsia="es-ES"/>
        </w:rPr>
        <w:t xml:space="preserve">), estableciendo su observancia </w:t>
      </w:r>
      <w:r w:rsidRPr="00BE0FAF">
        <w:rPr>
          <w:rFonts w:ascii="Arial" w:hAnsi="Arial" w:cs="Arial"/>
          <w:sz w:val="24"/>
          <w:szCs w:val="24"/>
          <w:lang w:val="es-MX" w:eastAsia="es-ES"/>
        </w:rPr>
        <w:t>obligatoria, de conformidad con el artículo 7 de</w:t>
      </w:r>
      <w:r w:rsidR="00BE0FAF">
        <w:rPr>
          <w:rFonts w:ascii="Arial" w:hAnsi="Arial" w:cs="Arial"/>
          <w:sz w:val="24"/>
          <w:szCs w:val="24"/>
          <w:lang w:val="es-MX" w:eastAsia="es-ES"/>
        </w:rPr>
        <w:t xml:space="preserve"> la Ley General de Contabilidad </w:t>
      </w:r>
      <w:r w:rsidRPr="00BE0FAF">
        <w:rPr>
          <w:rFonts w:ascii="Arial" w:hAnsi="Arial" w:cs="Arial"/>
          <w:sz w:val="24"/>
          <w:szCs w:val="24"/>
          <w:lang w:val="es-MX" w:eastAsia="es-ES"/>
        </w:rPr>
        <w:t>Gubernamental.</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Acción(es) o recomendación(es) emitida(s)</w:t>
      </w:r>
    </w:p>
    <w:p w:rsidR="00580EB1" w:rsidRPr="00BE0FAF" w:rsidRDefault="00580EB1" w:rsidP="00BE0FAF">
      <w:pPr>
        <w:spacing w:after="0" w:line="360" w:lineRule="auto"/>
        <w:contextualSpacing/>
        <w:jc w:val="both"/>
        <w:rPr>
          <w:rFonts w:ascii="Arial" w:hAnsi="Arial" w:cs="Arial"/>
          <w:i/>
          <w:sz w:val="24"/>
          <w:szCs w:val="24"/>
          <w:lang w:val="es-MX" w:eastAsia="es-ES"/>
        </w:rPr>
      </w:pPr>
      <w:r w:rsidRPr="00BE0FAF">
        <w:rPr>
          <w:rFonts w:ascii="Arial" w:hAnsi="Arial" w:cs="Arial"/>
          <w:i/>
          <w:sz w:val="24"/>
          <w:szCs w:val="24"/>
          <w:lang w:val="es-MX" w:eastAsia="es-ES"/>
        </w:rPr>
        <w:t>Promoción de Fincamiento de Responsabilidad Administrativa.</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Estimación por pérdida o deterioro de activos no circulantes</w:t>
      </w: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Estimaciones para cuentas incobrables por derechos a recibir efectivo o equivalentes</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b/>
          <w:sz w:val="24"/>
          <w:szCs w:val="24"/>
          <w:lang w:val="es-MX" w:eastAsia="es-ES"/>
        </w:rPr>
        <w:lastRenderedPageBreak/>
        <w:t>11.</w:t>
      </w:r>
      <w:r w:rsidRPr="00BE0FAF">
        <w:rPr>
          <w:rFonts w:ascii="Arial" w:hAnsi="Arial" w:cs="Arial"/>
          <w:sz w:val="24"/>
          <w:szCs w:val="24"/>
          <w:lang w:val="es-MX" w:eastAsia="es-ES"/>
        </w:rPr>
        <w:t xml:space="preserve"> De la revisión a la cuenta Estimación para cuentas inc</w:t>
      </w:r>
      <w:r w:rsidR="00BE0FAF">
        <w:rPr>
          <w:rFonts w:ascii="Arial" w:hAnsi="Arial" w:cs="Arial"/>
          <w:sz w:val="24"/>
          <w:szCs w:val="24"/>
          <w:lang w:val="es-MX" w:eastAsia="es-ES"/>
        </w:rPr>
        <w:t xml:space="preserve">obrables por derechos a recibir </w:t>
      </w:r>
      <w:r w:rsidRPr="00BE0FAF">
        <w:rPr>
          <w:rFonts w:ascii="Arial" w:hAnsi="Arial" w:cs="Arial"/>
          <w:sz w:val="24"/>
          <w:szCs w:val="24"/>
          <w:lang w:val="es-MX" w:eastAsia="es-ES"/>
        </w:rPr>
        <w:t>efectivo y equivalentes se determinaron las siguientes observaciones:</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1) El Fideicomiso determinó la estimación de cuen</w:t>
      </w:r>
      <w:r w:rsidR="00BE0FAF">
        <w:rPr>
          <w:rFonts w:ascii="Arial" w:hAnsi="Arial" w:cs="Arial"/>
          <w:sz w:val="24"/>
          <w:szCs w:val="24"/>
          <w:lang w:val="es-MX" w:eastAsia="es-ES"/>
        </w:rPr>
        <w:t xml:space="preserve">tas incobrables por $14,486,067 </w:t>
      </w:r>
      <w:r w:rsidRPr="00BE0FAF">
        <w:rPr>
          <w:rFonts w:ascii="Arial" w:hAnsi="Arial" w:cs="Arial"/>
          <w:sz w:val="24"/>
          <w:szCs w:val="24"/>
          <w:lang w:val="es-MX" w:eastAsia="es-ES"/>
        </w:rPr>
        <w:t xml:space="preserve">considerando las cuentas individuales con 1 año sin </w:t>
      </w:r>
      <w:r w:rsidR="00BE0FAF">
        <w:rPr>
          <w:rFonts w:ascii="Arial" w:hAnsi="Arial" w:cs="Arial"/>
          <w:sz w:val="24"/>
          <w:szCs w:val="24"/>
          <w:lang w:val="es-MX" w:eastAsia="es-ES"/>
        </w:rPr>
        <w:t xml:space="preserve">aplicar descuento, omitiendo el </w:t>
      </w:r>
      <w:r w:rsidRPr="00BE0FAF">
        <w:rPr>
          <w:rFonts w:ascii="Arial" w:hAnsi="Arial" w:cs="Arial"/>
          <w:sz w:val="24"/>
          <w:szCs w:val="24"/>
          <w:lang w:val="es-MX" w:eastAsia="es-ES"/>
        </w:rPr>
        <w:t>procedimiento aprobado por el Comité Técnico del F</w:t>
      </w:r>
      <w:r w:rsidR="00BE0FAF">
        <w:rPr>
          <w:rFonts w:ascii="Arial" w:hAnsi="Arial" w:cs="Arial"/>
          <w:sz w:val="24"/>
          <w:szCs w:val="24"/>
          <w:lang w:val="es-MX" w:eastAsia="es-ES"/>
        </w:rPr>
        <w:t xml:space="preserve">ideicomiso en acta 44 de sesión </w:t>
      </w:r>
      <w:r w:rsidRPr="00BE0FAF">
        <w:rPr>
          <w:rFonts w:ascii="Arial" w:hAnsi="Arial" w:cs="Arial"/>
          <w:sz w:val="24"/>
          <w:szCs w:val="24"/>
          <w:lang w:val="es-MX" w:eastAsia="es-ES"/>
        </w:rPr>
        <w:t>ordinaria que menciona lo siguiente:</w:t>
      </w:r>
    </w:p>
    <w:p w:rsid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 xml:space="preserve">"Las condiciones para considerar que un adeudo </w:t>
      </w:r>
      <w:r w:rsidR="00BE0FAF">
        <w:rPr>
          <w:rFonts w:ascii="Arial" w:hAnsi="Arial" w:cs="Arial"/>
          <w:sz w:val="24"/>
          <w:szCs w:val="24"/>
          <w:lang w:val="es-MX" w:eastAsia="es-ES"/>
        </w:rPr>
        <w:t xml:space="preserve">es de difícil recuperación son: </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 xml:space="preserve">El personal educativo que hubiese causado baja o renuncia </w:t>
      </w:r>
      <w:r w:rsidR="00BE0FAF">
        <w:rPr>
          <w:rFonts w:ascii="Arial" w:hAnsi="Arial" w:cs="Arial"/>
          <w:sz w:val="24"/>
          <w:szCs w:val="24"/>
          <w:lang w:val="es-MX" w:eastAsia="es-ES"/>
        </w:rPr>
        <w:t xml:space="preserve">y que con su liquidación no </w:t>
      </w:r>
      <w:r w:rsidRPr="00BE0FAF">
        <w:rPr>
          <w:rFonts w:ascii="Arial" w:hAnsi="Arial" w:cs="Arial"/>
          <w:sz w:val="24"/>
          <w:szCs w:val="24"/>
          <w:lang w:val="es-MX" w:eastAsia="es-ES"/>
        </w:rPr>
        <w:t>cubra el monto del adeudo y que una vez verificado e</w:t>
      </w:r>
      <w:r w:rsidR="00BE0FAF">
        <w:rPr>
          <w:rFonts w:ascii="Arial" w:hAnsi="Arial" w:cs="Arial"/>
          <w:sz w:val="24"/>
          <w:szCs w:val="24"/>
          <w:lang w:val="es-MX" w:eastAsia="es-ES"/>
        </w:rPr>
        <w:t xml:space="preserve">n el sistema de aportaciones de </w:t>
      </w:r>
      <w:r w:rsidRPr="00BE0FAF">
        <w:rPr>
          <w:rFonts w:ascii="Arial" w:hAnsi="Arial" w:cs="Arial"/>
          <w:sz w:val="24"/>
          <w:szCs w:val="24"/>
          <w:lang w:val="es-MX" w:eastAsia="es-ES"/>
        </w:rPr>
        <w:t>ISSSTELEÓN, el titular no se haya reubicado en otro organismo del Gobierno del Estado.</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En este supuesto la cobranza se hará de la siguiente manera:</w:t>
      </w:r>
    </w:p>
    <w:p w:rsidR="00580EB1" w:rsidRPr="00BE0FAF" w:rsidRDefault="00BE0FAF" w:rsidP="00BE0FAF">
      <w:pPr>
        <w:spacing w:after="0" w:line="360" w:lineRule="auto"/>
        <w:contextualSpacing/>
        <w:jc w:val="both"/>
        <w:rPr>
          <w:rFonts w:ascii="Arial" w:hAnsi="Arial" w:cs="Arial"/>
          <w:sz w:val="24"/>
          <w:szCs w:val="24"/>
          <w:lang w:val="es-MX" w:eastAsia="es-ES"/>
        </w:rPr>
      </w:pPr>
      <w:r>
        <w:rPr>
          <w:rFonts w:ascii="Arial" w:hAnsi="Arial" w:cs="Arial"/>
          <w:sz w:val="24"/>
          <w:szCs w:val="24"/>
          <w:lang w:val="es-MX" w:eastAsia="es-ES"/>
        </w:rPr>
        <w:t xml:space="preserve">Durante el primer año: </w:t>
      </w:r>
      <w:r w:rsidR="00580EB1" w:rsidRPr="00BE0FAF">
        <w:rPr>
          <w:rFonts w:ascii="Arial" w:hAnsi="Arial" w:cs="Arial"/>
          <w:sz w:val="24"/>
          <w:szCs w:val="24"/>
          <w:lang w:val="es-MX" w:eastAsia="es-ES"/>
        </w:rPr>
        <w:t>Se procederá a realizar cobranza por medios extrajudici</w:t>
      </w:r>
      <w:r>
        <w:rPr>
          <w:rFonts w:ascii="Arial" w:hAnsi="Arial" w:cs="Arial"/>
          <w:sz w:val="24"/>
          <w:szCs w:val="24"/>
          <w:lang w:val="es-MX" w:eastAsia="es-ES"/>
        </w:rPr>
        <w:t xml:space="preserve">ales, directamente por FOVILEON </w:t>
      </w:r>
      <w:r w:rsidR="00580EB1" w:rsidRPr="00BE0FAF">
        <w:rPr>
          <w:rFonts w:ascii="Arial" w:hAnsi="Arial" w:cs="Arial"/>
          <w:sz w:val="24"/>
          <w:szCs w:val="24"/>
          <w:lang w:val="es-MX" w:eastAsia="es-ES"/>
        </w:rPr>
        <w:t>con apoyo del Sindicato, a fin de localizar al deudor, quien po</w:t>
      </w:r>
      <w:r>
        <w:rPr>
          <w:rFonts w:ascii="Arial" w:hAnsi="Arial" w:cs="Arial"/>
          <w:sz w:val="24"/>
          <w:szCs w:val="24"/>
          <w:lang w:val="es-MX" w:eastAsia="es-ES"/>
        </w:rPr>
        <w:t xml:space="preserve">drá liquidar a través de caja o </w:t>
      </w:r>
      <w:r w:rsidR="00580EB1" w:rsidRPr="00BE0FAF">
        <w:rPr>
          <w:rFonts w:ascii="Arial" w:hAnsi="Arial" w:cs="Arial"/>
          <w:sz w:val="24"/>
          <w:szCs w:val="24"/>
          <w:lang w:val="es-MX" w:eastAsia="es-ES"/>
        </w:rPr>
        <w:t>presentar un aval que sea afiliado al SNTE secc</w:t>
      </w:r>
      <w:r>
        <w:rPr>
          <w:rFonts w:ascii="Arial" w:hAnsi="Arial" w:cs="Arial"/>
          <w:sz w:val="24"/>
          <w:szCs w:val="24"/>
          <w:lang w:val="es-MX" w:eastAsia="es-ES"/>
        </w:rPr>
        <w:t xml:space="preserve">ión 50 y con capacidad de pago. </w:t>
      </w:r>
      <w:r w:rsidR="00580EB1" w:rsidRPr="00BE0FAF">
        <w:rPr>
          <w:rFonts w:ascii="Arial" w:hAnsi="Arial" w:cs="Arial"/>
          <w:sz w:val="24"/>
          <w:szCs w:val="24"/>
          <w:lang w:val="es-MX" w:eastAsia="es-ES"/>
        </w:rPr>
        <w:t>Los adeudos, que no fuesen cubiertos después de un año, serán reservados a una cuenta</w:t>
      </w:r>
      <w:r>
        <w:rPr>
          <w:rFonts w:ascii="Arial" w:hAnsi="Arial" w:cs="Arial"/>
          <w:sz w:val="24"/>
          <w:szCs w:val="24"/>
          <w:lang w:val="es-MX" w:eastAsia="es-ES"/>
        </w:rPr>
        <w:t xml:space="preserve"> </w:t>
      </w:r>
      <w:r w:rsidR="00580EB1" w:rsidRPr="00BE0FAF">
        <w:rPr>
          <w:rFonts w:ascii="Arial" w:hAnsi="Arial" w:cs="Arial"/>
          <w:sz w:val="24"/>
          <w:szCs w:val="24"/>
          <w:lang w:val="es-MX" w:eastAsia="es-ES"/>
        </w:rPr>
        <w:t xml:space="preserve">de estimación de difícil recuperación. Sin embargo subsistirá </w:t>
      </w:r>
      <w:r>
        <w:rPr>
          <w:rFonts w:ascii="Arial" w:hAnsi="Arial" w:cs="Arial"/>
          <w:sz w:val="24"/>
          <w:szCs w:val="24"/>
          <w:lang w:val="es-MX" w:eastAsia="es-ES"/>
        </w:rPr>
        <w:t xml:space="preserve">el crédito contra el deudor por </w:t>
      </w:r>
      <w:r w:rsidR="00580EB1" w:rsidRPr="00BE0FAF">
        <w:rPr>
          <w:rFonts w:ascii="Arial" w:hAnsi="Arial" w:cs="Arial"/>
          <w:sz w:val="24"/>
          <w:szCs w:val="24"/>
          <w:lang w:val="es-MX" w:eastAsia="es-ES"/>
        </w:rPr>
        <w:t>los siguientes dos años.</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lastRenderedPageBreak/>
        <w:t>Durante este periodo de dos años se podrá continuar</w:t>
      </w:r>
      <w:r w:rsidR="00BE0FAF">
        <w:rPr>
          <w:rFonts w:ascii="Arial" w:hAnsi="Arial" w:cs="Arial"/>
          <w:sz w:val="24"/>
          <w:szCs w:val="24"/>
          <w:lang w:val="es-MX" w:eastAsia="es-ES"/>
        </w:rPr>
        <w:t xml:space="preserve"> con la cobranza extrajudicial. </w:t>
      </w:r>
      <w:r w:rsidRPr="00BE0FAF">
        <w:rPr>
          <w:rFonts w:ascii="Arial" w:hAnsi="Arial" w:cs="Arial"/>
          <w:sz w:val="24"/>
          <w:szCs w:val="24"/>
          <w:lang w:val="es-MX" w:eastAsia="es-ES"/>
        </w:rPr>
        <w:t>Al término de 3 años y agotadas las posibilidades de cob</w:t>
      </w:r>
      <w:r w:rsidR="00BE0FAF">
        <w:rPr>
          <w:rFonts w:ascii="Arial" w:hAnsi="Arial" w:cs="Arial"/>
          <w:sz w:val="24"/>
          <w:szCs w:val="24"/>
          <w:lang w:val="es-MX" w:eastAsia="es-ES"/>
        </w:rPr>
        <w:t xml:space="preserve">ro, se procederá a cancelar los </w:t>
      </w:r>
      <w:r w:rsidRPr="00BE0FAF">
        <w:rPr>
          <w:rFonts w:ascii="Arial" w:hAnsi="Arial" w:cs="Arial"/>
          <w:sz w:val="24"/>
          <w:szCs w:val="24"/>
          <w:lang w:val="es-MX" w:eastAsia="es-ES"/>
        </w:rPr>
        <w:t xml:space="preserve">adeudos contra la subcuenta de siniestralidad, previamente </w:t>
      </w:r>
      <w:r w:rsidR="00BE0FAF">
        <w:rPr>
          <w:rFonts w:ascii="Arial" w:hAnsi="Arial" w:cs="Arial"/>
          <w:sz w:val="24"/>
          <w:szCs w:val="24"/>
          <w:lang w:val="es-MX" w:eastAsia="es-ES"/>
        </w:rPr>
        <w:t xml:space="preserve">presentado el Informe al Comité </w:t>
      </w:r>
      <w:r w:rsidRPr="00BE0FAF">
        <w:rPr>
          <w:rFonts w:ascii="Arial" w:hAnsi="Arial" w:cs="Arial"/>
          <w:sz w:val="24"/>
          <w:szCs w:val="24"/>
          <w:lang w:val="es-MX" w:eastAsia="es-ES"/>
        </w:rPr>
        <w:t xml:space="preserve">Técnico para su aprobación. Pasado este periodo </w:t>
      </w:r>
      <w:r w:rsidR="00BE0FAF">
        <w:rPr>
          <w:rFonts w:ascii="Arial" w:hAnsi="Arial" w:cs="Arial"/>
          <w:sz w:val="24"/>
          <w:szCs w:val="24"/>
          <w:lang w:val="es-MX" w:eastAsia="es-ES"/>
        </w:rPr>
        <w:t xml:space="preserve">no se ejercerá cobranza alguna. </w:t>
      </w:r>
      <w:r w:rsidRPr="00BE0FAF">
        <w:rPr>
          <w:rFonts w:ascii="Arial" w:hAnsi="Arial" w:cs="Arial"/>
          <w:sz w:val="24"/>
          <w:szCs w:val="24"/>
          <w:lang w:val="es-MX" w:eastAsia="es-ES"/>
        </w:rPr>
        <w:t>Semestralmente deberá presentarse un informe al Comité T</w:t>
      </w:r>
      <w:r w:rsidR="00BE0FAF">
        <w:rPr>
          <w:rFonts w:ascii="Arial" w:hAnsi="Arial" w:cs="Arial"/>
          <w:sz w:val="24"/>
          <w:szCs w:val="24"/>
          <w:lang w:val="es-MX" w:eastAsia="es-ES"/>
        </w:rPr>
        <w:t xml:space="preserve">écnico de las cuentas que estén </w:t>
      </w:r>
      <w:r w:rsidRPr="00BE0FAF">
        <w:rPr>
          <w:rFonts w:ascii="Arial" w:hAnsi="Arial" w:cs="Arial"/>
          <w:sz w:val="24"/>
          <w:szCs w:val="24"/>
          <w:lang w:val="es-MX" w:eastAsia="es-ES"/>
        </w:rPr>
        <w:t>en alguno de los tres supuestos anteriormente especificados.</w:t>
      </w:r>
    </w:p>
    <w:p w:rsidR="00BE0FAF" w:rsidRDefault="00BE0FAF" w:rsidP="00BE0FAF">
      <w:pPr>
        <w:spacing w:after="0" w:line="360" w:lineRule="auto"/>
        <w:contextualSpacing/>
        <w:jc w:val="both"/>
        <w:rPr>
          <w:rFonts w:ascii="Arial" w:hAnsi="Arial" w:cs="Arial"/>
          <w:sz w:val="24"/>
          <w:szCs w:val="24"/>
          <w:lang w:val="es-MX" w:eastAsia="es-ES"/>
        </w:rPr>
      </w:pPr>
    </w:p>
    <w:p w:rsidR="00812FC6"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 xml:space="preserve">Lo anterior permitirá un control eficaz de la cartera y </w:t>
      </w:r>
      <w:r w:rsidR="00BE0FAF">
        <w:rPr>
          <w:rFonts w:ascii="Arial" w:hAnsi="Arial" w:cs="Arial"/>
          <w:sz w:val="24"/>
          <w:szCs w:val="24"/>
          <w:lang w:val="es-MX" w:eastAsia="es-ES"/>
        </w:rPr>
        <w:t xml:space="preserve">una certera toma de decisiones" </w:t>
      </w:r>
    </w:p>
    <w:p w:rsidR="00812FC6" w:rsidRDefault="00812FC6"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 xml:space="preserve">2) Durante el ejercicio sólo se incrementó la estimación </w:t>
      </w:r>
      <w:r w:rsidR="00BE0FAF">
        <w:rPr>
          <w:rFonts w:ascii="Arial" w:hAnsi="Arial" w:cs="Arial"/>
          <w:sz w:val="24"/>
          <w:szCs w:val="24"/>
          <w:lang w:val="es-MX" w:eastAsia="es-ES"/>
        </w:rPr>
        <w:t xml:space="preserve">de cuentas incobrables en julio </w:t>
      </w:r>
      <w:r w:rsidRPr="00BE0FAF">
        <w:rPr>
          <w:rFonts w:ascii="Arial" w:hAnsi="Arial" w:cs="Arial"/>
          <w:sz w:val="24"/>
          <w:szCs w:val="24"/>
          <w:lang w:val="es-MX" w:eastAsia="es-ES"/>
        </w:rPr>
        <w:t>y diciembre, sin embargo deben actualizarse me</w:t>
      </w:r>
      <w:r w:rsidR="00BE0FAF">
        <w:rPr>
          <w:rFonts w:ascii="Arial" w:hAnsi="Arial" w:cs="Arial"/>
          <w:sz w:val="24"/>
          <w:szCs w:val="24"/>
          <w:lang w:val="es-MX" w:eastAsia="es-ES"/>
        </w:rPr>
        <w:t xml:space="preserve">nsualmente como se establece en </w:t>
      </w:r>
      <w:r w:rsidRPr="00BE0FAF">
        <w:rPr>
          <w:rFonts w:ascii="Arial" w:hAnsi="Arial" w:cs="Arial"/>
          <w:sz w:val="24"/>
          <w:szCs w:val="24"/>
          <w:lang w:val="es-MX" w:eastAsia="es-ES"/>
        </w:rPr>
        <w:t>el punto 5 de las Reglas Específicas del Registro</w:t>
      </w:r>
      <w:r w:rsidR="00BE0FAF">
        <w:rPr>
          <w:rFonts w:ascii="Arial" w:hAnsi="Arial" w:cs="Arial"/>
          <w:sz w:val="24"/>
          <w:szCs w:val="24"/>
          <w:lang w:val="es-MX" w:eastAsia="es-ES"/>
        </w:rPr>
        <w:t xml:space="preserve"> y Valoración del Patrimonio de </w:t>
      </w:r>
      <w:r w:rsidRPr="00BE0FAF">
        <w:rPr>
          <w:rFonts w:ascii="Arial" w:hAnsi="Arial" w:cs="Arial"/>
          <w:sz w:val="24"/>
          <w:szCs w:val="24"/>
          <w:lang w:val="es-MX" w:eastAsia="es-ES"/>
        </w:rPr>
        <w:t>observancia obligatoria conforme al artículo 7 de</w:t>
      </w:r>
      <w:r w:rsidR="00BE0FAF">
        <w:rPr>
          <w:rFonts w:ascii="Arial" w:hAnsi="Arial" w:cs="Arial"/>
          <w:sz w:val="24"/>
          <w:szCs w:val="24"/>
          <w:lang w:val="es-MX" w:eastAsia="es-ES"/>
        </w:rPr>
        <w:t xml:space="preserve"> la Ley General de Contabilidad </w:t>
      </w:r>
      <w:r w:rsidRPr="00BE0FAF">
        <w:rPr>
          <w:rFonts w:ascii="Arial" w:hAnsi="Arial" w:cs="Arial"/>
          <w:sz w:val="24"/>
          <w:szCs w:val="24"/>
          <w:lang w:val="es-MX" w:eastAsia="es-ES"/>
        </w:rPr>
        <w:t>Gubernamental.</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Acción(es) o recomendación(es) emitida(s)</w:t>
      </w:r>
    </w:p>
    <w:p w:rsidR="00580EB1" w:rsidRPr="00BE0FAF" w:rsidRDefault="00580EB1" w:rsidP="00BE0FAF">
      <w:pPr>
        <w:spacing w:after="0" w:line="360" w:lineRule="auto"/>
        <w:contextualSpacing/>
        <w:jc w:val="both"/>
        <w:rPr>
          <w:rFonts w:ascii="Arial" w:hAnsi="Arial" w:cs="Arial"/>
          <w:i/>
          <w:sz w:val="24"/>
          <w:szCs w:val="24"/>
          <w:lang w:val="es-MX" w:eastAsia="es-ES"/>
        </w:rPr>
      </w:pPr>
      <w:r w:rsidRPr="00BE0FAF">
        <w:rPr>
          <w:rFonts w:ascii="Arial" w:hAnsi="Arial" w:cs="Arial"/>
          <w:i/>
          <w:sz w:val="24"/>
          <w:szCs w:val="24"/>
          <w:lang w:val="es-MX" w:eastAsia="es-ES"/>
        </w:rPr>
        <w:t>Promoción de Fincamiento de Responsabilidad Administrativa.</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PASIVO</w:t>
      </w: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Pasivo circulante</w:t>
      </w: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Provisiones a corto plazo</w:t>
      </w:r>
    </w:p>
    <w:p w:rsidR="00580EB1" w:rsidRPr="00BE0FAF" w:rsidRDefault="00580EB1" w:rsidP="00BE0FAF">
      <w:pPr>
        <w:spacing w:after="0" w:line="360" w:lineRule="auto"/>
        <w:contextualSpacing/>
        <w:jc w:val="both"/>
        <w:rPr>
          <w:rFonts w:ascii="Arial" w:hAnsi="Arial" w:cs="Arial"/>
          <w:b/>
          <w:sz w:val="24"/>
          <w:szCs w:val="24"/>
          <w:u w:val="single"/>
          <w:lang w:val="es-MX" w:eastAsia="es-ES"/>
        </w:rPr>
      </w:pPr>
      <w:r w:rsidRPr="00BE0FAF">
        <w:rPr>
          <w:rFonts w:ascii="Arial" w:hAnsi="Arial" w:cs="Arial"/>
          <w:b/>
          <w:sz w:val="24"/>
          <w:szCs w:val="24"/>
          <w:u w:val="single"/>
          <w:lang w:val="es-MX" w:eastAsia="es-ES"/>
        </w:rPr>
        <w:t>(01)Otras cuentas por pagar a corto plazo</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b/>
          <w:sz w:val="24"/>
          <w:szCs w:val="24"/>
          <w:lang w:val="es-MX" w:eastAsia="es-ES"/>
        </w:rPr>
        <w:lastRenderedPageBreak/>
        <w:t>12.</w:t>
      </w:r>
      <w:r w:rsidRPr="00BE0FAF">
        <w:rPr>
          <w:rFonts w:ascii="Arial" w:hAnsi="Arial" w:cs="Arial"/>
          <w:sz w:val="24"/>
          <w:szCs w:val="24"/>
          <w:lang w:val="es-MX" w:eastAsia="es-ES"/>
        </w:rPr>
        <w:t xml:space="preserve"> Observamos que el Fideicomiso registró los saldos a favor de los beneficiarios en la cuenta</w:t>
      </w:r>
      <w:r w:rsidR="00BE0FAF">
        <w:rPr>
          <w:rFonts w:ascii="Arial" w:hAnsi="Arial" w:cs="Arial"/>
          <w:sz w:val="24"/>
          <w:szCs w:val="24"/>
          <w:lang w:val="es-MX" w:eastAsia="es-ES"/>
        </w:rPr>
        <w:t xml:space="preserve"> </w:t>
      </w:r>
      <w:r w:rsidRPr="00BE0FAF">
        <w:rPr>
          <w:rFonts w:ascii="Arial" w:hAnsi="Arial" w:cs="Arial"/>
          <w:sz w:val="24"/>
          <w:szCs w:val="24"/>
          <w:lang w:val="es-MX" w:eastAsia="es-ES"/>
        </w:rPr>
        <w:t>"saldo por pagar a clientes" sin realizar el análisis correspondiente, conforme a lo siguiente:</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a) En 42 casos omitió unificar el saldo a favor y el saldo a car</w:t>
      </w:r>
      <w:r w:rsidR="00BE0FAF">
        <w:rPr>
          <w:rFonts w:ascii="Arial" w:hAnsi="Arial" w:cs="Arial"/>
          <w:sz w:val="24"/>
          <w:szCs w:val="24"/>
          <w:lang w:val="es-MX" w:eastAsia="es-ES"/>
        </w:rPr>
        <w:t xml:space="preserve">go en dos expedientes </w:t>
      </w:r>
      <w:r w:rsidRPr="00BE0FAF">
        <w:rPr>
          <w:rFonts w:ascii="Arial" w:hAnsi="Arial" w:cs="Arial"/>
          <w:sz w:val="24"/>
          <w:szCs w:val="24"/>
          <w:lang w:val="es-MX" w:eastAsia="es-ES"/>
        </w:rPr>
        <w:t>del mismo beneficiario; relación en el archivo deno</w:t>
      </w:r>
      <w:r w:rsidR="00BE0FAF">
        <w:rPr>
          <w:rFonts w:ascii="Arial" w:hAnsi="Arial" w:cs="Arial"/>
          <w:sz w:val="24"/>
          <w:szCs w:val="24"/>
          <w:lang w:val="es-MX" w:eastAsia="es-ES"/>
        </w:rPr>
        <w:t xml:space="preserve">minado "Anexo -C-, contenido en </w:t>
      </w:r>
      <w:r w:rsidRPr="00BE0FAF">
        <w:rPr>
          <w:rFonts w:ascii="Arial" w:hAnsi="Arial" w:cs="Arial"/>
          <w:sz w:val="24"/>
          <w:szCs w:val="24"/>
          <w:lang w:val="es-MX" w:eastAsia="es-ES"/>
        </w:rPr>
        <w:t>el CD adjunto rotulado con el nombre "Anexos de Observaciones Preliminares".</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b) En 78 casos omitió traspasar el saldo del préstamo al número de emplead</w:t>
      </w:r>
      <w:r w:rsidR="00BE0FAF">
        <w:rPr>
          <w:rFonts w:ascii="Arial" w:hAnsi="Arial" w:cs="Arial"/>
          <w:sz w:val="24"/>
          <w:szCs w:val="24"/>
          <w:lang w:val="es-MX" w:eastAsia="es-ES"/>
        </w:rPr>
        <w:t xml:space="preserve">o activo, </w:t>
      </w:r>
      <w:r w:rsidRPr="00BE0FAF">
        <w:rPr>
          <w:rFonts w:ascii="Arial" w:hAnsi="Arial" w:cs="Arial"/>
          <w:sz w:val="24"/>
          <w:szCs w:val="24"/>
          <w:lang w:val="es-MX" w:eastAsia="es-ES"/>
        </w:rPr>
        <w:t>en los casos que el beneficiario ingresó a otra dependen</w:t>
      </w:r>
      <w:r w:rsidR="00BE0FAF">
        <w:rPr>
          <w:rFonts w:ascii="Arial" w:hAnsi="Arial" w:cs="Arial"/>
          <w:sz w:val="24"/>
          <w:szCs w:val="24"/>
          <w:lang w:val="es-MX" w:eastAsia="es-ES"/>
        </w:rPr>
        <w:t xml:space="preserve">cia o se jubiló; relación en el </w:t>
      </w:r>
      <w:r w:rsidRPr="00BE0FAF">
        <w:rPr>
          <w:rFonts w:ascii="Arial" w:hAnsi="Arial" w:cs="Arial"/>
          <w:sz w:val="24"/>
          <w:szCs w:val="24"/>
          <w:lang w:val="es-MX" w:eastAsia="es-ES"/>
        </w:rPr>
        <w:t>archivo denominado "Anexo -D-, contenido en el CD</w:t>
      </w:r>
      <w:r w:rsidR="00BE0FAF">
        <w:rPr>
          <w:rFonts w:ascii="Arial" w:hAnsi="Arial" w:cs="Arial"/>
          <w:sz w:val="24"/>
          <w:szCs w:val="24"/>
          <w:lang w:val="es-MX" w:eastAsia="es-ES"/>
        </w:rPr>
        <w:t xml:space="preserve"> adjunto rotulado con el nombre </w:t>
      </w:r>
      <w:r w:rsidRPr="00BE0FAF">
        <w:rPr>
          <w:rFonts w:ascii="Arial" w:hAnsi="Arial" w:cs="Arial"/>
          <w:sz w:val="24"/>
          <w:szCs w:val="24"/>
          <w:lang w:val="es-MX" w:eastAsia="es-ES"/>
        </w:rPr>
        <w:t>"Anexos de Observaciones Preliminares".</w:t>
      </w:r>
    </w:p>
    <w:p w:rsidR="00BE0FAF" w:rsidRDefault="00BE0FAF"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b/>
          <w:sz w:val="24"/>
          <w:szCs w:val="24"/>
          <w:lang w:val="es-MX" w:eastAsia="es-ES"/>
        </w:rPr>
      </w:pPr>
      <w:r w:rsidRPr="00BE0FAF">
        <w:rPr>
          <w:rFonts w:ascii="Arial" w:hAnsi="Arial" w:cs="Arial"/>
          <w:b/>
          <w:sz w:val="24"/>
          <w:szCs w:val="24"/>
          <w:lang w:val="es-MX" w:eastAsia="es-ES"/>
        </w:rPr>
        <w:t>Análisis de la Auditoría Superior del Estado</w:t>
      </w:r>
    </w:p>
    <w:p w:rsidR="00580EB1"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Derivado del análisis de la respuesta y la evidencia prese</w:t>
      </w:r>
      <w:r w:rsidR="00BE0FAF">
        <w:rPr>
          <w:rFonts w:ascii="Arial" w:hAnsi="Arial" w:cs="Arial"/>
          <w:sz w:val="24"/>
          <w:szCs w:val="24"/>
          <w:lang w:val="es-MX" w:eastAsia="es-ES"/>
        </w:rPr>
        <w:t xml:space="preserve">ntada por el Ente Público, esta </w:t>
      </w:r>
      <w:r w:rsidRPr="00BE0FAF">
        <w:rPr>
          <w:rFonts w:ascii="Arial" w:hAnsi="Arial" w:cs="Arial"/>
          <w:sz w:val="24"/>
          <w:szCs w:val="24"/>
          <w:lang w:val="es-MX" w:eastAsia="es-ES"/>
        </w:rPr>
        <w:t>observación se solventa parcialmente, ya que únicame</w:t>
      </w:r>
      <w:r w:rsidR="00BE0FAF">
        <w:rPr>
          <w:rFonts w:ascii="Arial" w:hAnsi="Arial" w:cs="Arial"/>
          <w:sz w:val="24"/>
          <w:szCs w:val="24"/>
          <w:lang w:val="es-MX" w:eastAsia="es-ES"/>
        </w:rPr>
        <w:t xml:space="preserve">nte se envían el estatus de los </w:t>
      </w:r>
      <w:r w:rsidRPr="00BE0FAF">
        <w:rPr>
          <w:rFonts w:ascii="Arial" w:hAnsi="Arial" w:cs="Arial"/>
          <w:sz w:val="24"/>
          <w:szCs w:val="24"/>
          <w:lang w:val="es-MX" w:eastAsia="es-ES"/>
        </w:rPr>
        <w:t>casos observados, sin embargo no agregan registros conta</w:t>
      </w:r>
      <w:r w:rsidR="00BE0FAF">
        <w:rPr>
          <w:rFonts w:ascii="Arial" w:hAnsi="Arial" w:cs="Arial"/>
          <w:sz w:val="24"/>
          <w:szCs w:val="24"/>
          <w:lang w:val="es-MX" w:eastAsia="es-ES"/>
        </w:rPr>
        <w:t xml:space="preserve">bles que respalden las acciones </w:t>
      </w:r>
      <w:r w:rsidRPr="00BE0FAF">
        <w:rPr>
          <w:rFonts w:ascii="Arial" w:hAnsi="Arial" w:cs="Arial"/>
          <w:sz w:val="24"/>
          <w:szCs w:val="24"/>
          <w:lang w:val="es-MX" w:eastAsia="es-ES"/>
        </w:rPr>
        <w:t>realizadas según la información presentada.</w:t>
      </w:r>
    </w:p>
    <w:p w:rsidR="00274F35" w:rsidRPr="00BE0FAF" w:rsidRDefault="00274F35" w:rsidP="00BE0FAF">
      <w:pPr>
        <w:spacing w:after="0" w:line="360" w:lineRule="auto"/>
        <w:contextualSpacing/>
        <w:jc w:val="both"/>
        <w:rPr>
          <w:rFonts w:ascii="Arial" w:hAnsi="Arial" w:cs="Arial"/>
          <w:sz w:val="24"/>
          <w:szCs w:val="24"/>
          <w:lang w:val="es-MX" w:eastAsia="es-ES"/>
        </w:rPr>
      </w:pPr>
    </w:p>
    <w:p w:rsidR="00580EB1" w:rsidRPr="00274F35" w:rsidRDefault="00580EB1"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Acción(es) o recomendación(es) emitida(s)</w:t>
      </w:r>
    </w:p>
    <w:p w:rsidR="00580EB1" w:rsidRPr="00274F35" w:rsidRDefault="00580EB1" w:rsidP="00BE0FAF">
      <w:pPr>
        <w:spacing w:after="0" w:line="360" w:lineRule="auto"/>
        <w:contextualSpacing/>
        <w:jc w:val="both"/>
        <w:rPr>
          <w:rFonts w:ascii="Arial" w:hAnsi="Arial" w:cs="Arial"/>
          <w:i/>
          <w:sz w:val="24"/>
          <w:szCs w:val="24"/>
          <w:lang w:val="es-MX" w:eastAsia="es-ES"/>
        </w:rPr>
      </w:pPr>
      <w:r w:rsidRPr="00274F35">
        <w:rPr>
          <w:rFonts w:ascii="Arial" w:hAnsi="Arial" w:cs="Arial"/>
          <w:i/>
          <w:sz w:val="24"/>
          <w:szCs w:val="24"/>
          <w:lang w:val="es-MX" w:eastAsia="es-ES"/>
        </w:rPr>
        <w:t>Recomendaciones en Relación a la Gestión o Control Interno.</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274F35" w:rsidRDefault="00580EB1"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Otras cuentas por pagar a corto plazo</w:t>
      </w:r>
    </w:p>
    <w:p w:rsidR="00274F35" w:rsidRDefault="00580EB1" w:rsidP="00BE0FAF">
      <w:pPr>
        <w:spacing w:after="0" w:line="360" w:lineRule="auto"/>
        <w:contextualSpacing/>
        <w:jc w:val="both"/>
        <w:rPr>
          <w:rFonts w:ascii="Arial" w:hAnsi="Arial" w:cs="Arial"/>
          <w:sz w:val="24"/>
          <w:szCs w:val="24"/>
          <w:lang w:val="es-MX" w:eastAsia="es-ES"/>
        </w:rPr>
      </w:pPr>
      <w:r w:rsidRPr="00274F35">
        <w:rPr>
          <w:rFonts w:ascii="Arial" w:hAnsi="Arial" w:cs="Arial"/>
          <w:b/>
          <w:sz w:val="24"/>
          <w:szCs w:val="24"/>
          <w:lang w:val="es-MX" w:eastAsia="es-ES"/>
        </w:rPr>
        <w:t>13.</w:t>
      </w:r>
      <w:r w:rsidRPr="00BE0FAF">
        <w:rPr>
          <w:rFonts w:ascii="Arial" w:hAnsi="Arial" w:cs="Arial"/>
          <w:sz w:val="24"/>
          <w:szCs w:val="24"/>
          <w:lang w:val="es-MX" w:eastAsia="es-ES"/>
        </w:rPr>
        <w:t xml:space="preserve"> En el reporte de cartera se detectaron 1,559 casos que</w:t>
      </w:r>
      <w:r w:rsidR="00274F35">
        <w:rPr>
          <w:rFonts w:ascii="Arial" w:hAnsi="Arial" w:cs="Arial"/>
          <w:sz w:val="24"/>
          <w:szCs w:val="24"/>
          <w:lang w:val="es-MX" w:eastAsia="es-ES"/>
        </w:rPr>
        <w:t xml:space="preserve"> presentaron saldos a favor del </w:t>
      </w:r>
      <w:r w:rsidR="00274F35" w:rsidRPr="00BE0FAF">
        <w:rPr>
          <w:rFonts w:ascii="Arial" w:hAnsi="Arial" w:cs="Arial"/>
          <w:sz w:val="24"/>
          <w:szCs w:val="24"/>
          <w:lang w:val="es-MX" w:eastAsia="es-ES"/>
        </w:rPr>
        <w:t xml:space="preserve">beneficiario originado por falta de análisis y depuración, </w:t>
      </w:r>
      <w:r w:rsidR="00274F35" w:rsidRPr="00BE0FAF">
        <w:rPr>
          <w:rFonts w:ascii="Arial" w:hAnsi="Arial" w:cs="Arial"/>
          <w:sz w:val="24"/>
          <w:szCs w:val="24"/>
          <w:lang w:val="es-MX" w:eastAsia="es-ES"/>
        </w:rPr>
        <w:lastRenderedPageBreak/>
        <w:t>mismo que se relacionan en el archivo electrónico “Anexo E” que se encuentra adjunto al comunicado en el CD “Anexos de Observaciones Preliminares</w:t>
      </w:r>
      <w:r w:rsidR="00274F35">
        <w:rPr>
          <w:rFonts w:ascii="Arial" w:hAnsi="Arial" w:cs="Arial"/>
          <w:sz w:val="24"/>
          <w:szCs w:val="24"/>
          <w:lang w:val="es-MX" w:eastAsia="es-ES"/>
        </w:rPr>
        <w:t xml:space="preserve">. </w:t>
      </w:r>
    </w:p>
    <w:p w:rsidR="00274F35" w:rsidRDefault="00274F35" w:rsidP="00BE0FAF">
      <w:pPr>
        <w:spacing w:after="0" w:line="360" w:lineRule="auto"/>
        <w:contextualSpacing/>
        <w:jc w:val="both"/>
        <w:rPr>
          <w:rFonts w:ascii="Arial" w:hAnsi="Arial" w:cs="Arial"/>
          <w:sz w:val="24"/>
          <w:szCs w:val="24"/>
          <w:lang w:val="es-MX" w:eastAsia="es-ES"/>
        </w:rPr>
      </w:pP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La antigüedad de los saldos mayores a un año es la siguiente:</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noProof/>
          <w:sz w:val="24"/>
          <w:szCs w:val="24"/>
          <w:lang w:val="es-MX" w:eastAsia="es-MX"/>
        </w:rPr>
        <w:drawing>
          <wp:inline distT="0" distB="0" distL="0" distR="0" wp14:anchorId="72302ED8" wp14:editId="3D81F6ED">
            <wp:extent cx="2434590" cy="3253740"/>
            <wp:effectExtent l="0" t="0" r="381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4590" cy="3253740"/>
                    </a:xfrm>
                    <a:prstGeom prst="rect">
                      <a:avLst/>
                    </a:prstGeom>
                    <a:noFill/>
                    <a:ln>
                      <a:noFill/>
                    </a:ln>
                  </pic:spPr>
                </pic:pic>
              </a:graphicData>
            </a:graphic>
          </wp:inline>
        </w:drawing>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274F35" w:rsidRDefault="00580EB1"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Análisis de la Auditoría Superior del Estado</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Derivado del análisis de la respuesta y la evidencia pres</w:t>
      </w:r>
      <w:r w:rsidR="00274F35">
        <w:rPr>
          <w:rFonts w:ascii="Arial" w:hAnsi="Arial" w:cs="Arial"/>
          <w:sz w:val="24"/>
          <w:szCs w:val="24"/>
          <w:lang w:val="es-MX" w:eastAsia="es-ES"/>
        </w:rPr>
        <w:t xml:space="preserve">entada por el Fideicomiso, esta </w:t>
      </w:r>
      <w:r w:rsidRPr="00BE0FAF">
        <w:rPr>
          <w:rFonts w:ascii="Arial" w:hAnsi="Arial" w:cs="Arial"/>
          <w:sz w:val="24"/>
          <w:szCs w:val="24"/>
          <w:lang w:val="es-MX" w:eastAsia="es-ES"/>
        </w:rPr>
        <w:t>observación se solventa parcialmente, ya que si bien a</w:t>
      </w:r>
      <w:r w:rsidR="00274F35">
        <w:rPr>
          <w:rFonts w:ascii="Arial" w:hAnsi="Arial" w:cs="Arial"/>
          <w:sz w:val="24"/>
          <w:szCs w:val="24"/>
          <w:lang w:val="es-MX" w:eastAsia="es-ES"/>
        </w:rPr>
        <w:t xml:space="preserve">nexan listado de integración de </w:t>
      </w:r>
      <w:r w:rsidRPr="00BE0FAF">
        <w:rPr>
          <w:rFonts w:ascii="Arial" w:hAnsi="Arial" w:cs="Arial"/>
          <w:sz w:val="24"/>
          <w:szCs w:val="24"/>
          <w:lang w:val="es-MX" w:eastAsia="es-ES"/>
        </w:rPr>
        <w:t>depuración de cuentas y corrección del estatus, no se</w:t>
      </w:r>
      <w:r w:rsidR="00274F35">
        <w:rPr>
          <w:rFonts w:ascii="Arial" w:hAnsi="Arial" w:cs="Arial"/>
          <w:sz w:val="24"/>
          <w:szCs w:val="24"/>
          <w:lang w:val="es-MX" w:eastAsia="es-ES"/>
        </w:rPr>
        <w:t xml:space="preserve"> anexó evidencia documental que </w:t>
      </w:r>
      <w:r w:rsidRPr="00BE0FAF">
        <w:rPr>
          <w:rFonts w:ascii="Arial" w:hAnsi="Arial" w:cs="Arial"/>
          <w:sz w:val="24"/>
          <w:szCs w:val="24"/>
          <w:lang w:val="es-MX" w:eastAsia="es-ES"/>
        </w:rPr>
        <w:t>demuestre su adecuado registro contable.</w:t>
      </w:r>
    </w:p>
    <w:p w:rsidR="00274F35" w:rsidRDefault="00274F35" w:rsidP="00BE0FAF">
      <w:pPr>
        <w:spacing w:after="0" w:line="360" w:lineRule="auto"/>
        <w:contextualSpacing/>
        <w:jc w:val="both"/>
        <w:rPr>
          <w:rFonts w:ascii="Arial" w:hAnsi="Arial" w:cs="Arial"/>
          <w:sz w:val="24"/>
          <w:szCs w:val="24"/>
          <w:lang w:val="es-MX" w:eastAsia="es-ES"/>
        </w:rPr>
      </w:pPr>
    </w:p>
    <w:p w:rsidR="00580EB1" w:rsidRPr="00274F35" w:rsidRDefault="00580EB1"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lastRenderedPageBreak/>
        <w:t>Acción(es) o recomendación(es) emitida(s)</w:t>
      </w:r>
    </w:p>
    <w:p w:rsidR="00580EB1" w:rsidRPr="00274F35" w:rsidRDefault="00580EB1" w:rsidP="00BE0FAF">
      <w:pPr>
        <w:spacing w:after="0" w:line="360" w:lineRule="auto"/>
        <w:contextualSpacing/>
        <w:jc w:val="both"/>
        <w:rPr>
          <w:rFonts w:ascii="Arial" w:hAnsi="Arial" w:cs="Arial"/>
          <w:i/>
          <w:sz w:val="24"/>
          <w:szCs w:val="24"/>
          <w:lang w:val="es-MX" w:eastAsia="es-ES"/>
        </w:rPr>
      </w:pPr>
      <w:r w:rsidRPr="00274F35">
        <w:rPr>
          <w:rFonts w:ascii="Arial" w:hAnsi="Arial" w:cs="Arial"/>
          <w:i/>
          <w:sz w:val="24"/>
          <w:szCs w:val="24"/>
          <w:lang w:val="es-MX" w:eastAsia="es-ES"/>
        </w:rPr>
        <w:t>Recomendaciones en Relación a la Gestión o Control Interno.</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274F35" w:rsidRDefault="00580EB1"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Otros pasivos a corto plazo</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274F35">
        <w:rPr>
          <w:rFonts w:ascii="Arial" w:hAnsi="Arial" w:cs="Arial"/>
          <w:b/>
          <w:sz w:val="24"/>
          <w:szCs w:val="24"/>
          <w:lang w:val="es-MX" w:eastAsia="es-ES"/>
        </w:rPr>
        <w:t>14.</w:t>
      </w:r>
      <w:r w:rsidRPr="00BE0FAF">
        <w:rPr>
          <w:rFonts w:ascii="Arial" w:hAnsi="Arial" w:cs="Arial"/>
          <w:sz w:val="24"/>
          <w:szCs w:val="24"/>
          <w:lang w:val="es-MX" w:eastAsia="es-ES"/>
        </w:rPr>
        <w:t xml:space="preserve"> Se observó que el Fideicomiso determinó el "cálculo de la </w:t>
      </w:r>
      <w:r w:rsidR="00274F35">
        <w:rPr>
          <w:rFonts w:ascii="Arial" w:hAnsi="Arial" w:cs="Arial"/>
          <w:sz w:val="24"/>
          <w:szCs w:val="24"/>
          <w:lang w:val="es-MX" w:eastAsia="es-ES"/>
        </w:rPr>
        <w:t xml:space="preserve">reserva para pasivos laborales" </w:t>
      </w:r>
      <w:r w:rsidRPr="00BE0FAF">
        <w:rPr>
          <w:rFonts w:ascii="Arial" w:hAnsi="Arial" w:cs="Arial"/>
          <w:sz w:val="24"/>
          <w:szCs w:val="24"/>
          <w:lang w:val="es-MX" w:eastAsia="es-ES"/>
        </w:rPr>
        <w:t>calculando indemnización y finiquito de cada trabajador al 31 de diciembre de 2015</w:t>
      </w:r>
      <w:r w:rsidR="00274F35">
        <w:rPr>
          <w:rFonts w:ascii="Arial" w:hAnsi="Arial" w:cs="Arial"/>
          <w:sz w:val="24"/>
          <w:szCs w:val="24"/>
          <w:lang w:val="es-MX" w:eastAsia="es-ES"/>
        </w:rPr>
        <w:t xml:space="preserve"> </w:t>
      </w:r>
      <w:r w:rsidRPr="00BE0FAF">
        <w:rPr>
          <w:rFonts w:ascii="Arial" w:hAnsi="Arial" w:cs="Arial"/>
          <w:sz w:val="24"/>
          <w:szCs w:val="24"/>
          <w:lang w:val="es-MX" w:eastAsia="es-ES"/>
        </w:rPr>
        <w:t>incumpliendo lo establecido en la Norma de Información Financiera NIF D-3 "Beneficios a</w:t>
      </w:r>
      <w:r w:rsidR="00274F35">
        <w:rPr>
          <w:rFonts w:ascii="Arial" w:hAnsi="Arial" w:cs="Arial"/>
          <w:sz w:val="24"/>
          <w:szCs w:val="24"/>
          <w:lang w:val="es-MX" w:eastAsia="es-ES"/>
        </w:rPr>
        <w:t xml:space="preserve"> </w:t>
      </w:r>
      <w:r w:rsidRPr="00BE0FAF">
        <w:rPr>
          <w:rFonts w:ascii="Arial" w:hAnsi="Arial" w:cs="Arial"/>
          <w:sz w:val="24"/>
          <w:szCs w:val="24"/>
          <w:lang w:val="es-MX" w:eastAsia="es-ES"/>
        </w:rPr>
        <w:t>los empleados", la cual requiere el reconocimiento periódico</w:t>
      </w:r>
      <w:r w:rsidR="00274F35">
        <w:rPr>
          <w:rFonts w:ascii="Arial" w:hAnsi="Arial" w:cs="Arial"/>
          <w:sz w:val="24"/>
          <w:szCs w:val="24"/>
          <w:lang w:val="es-MX" w:eastAsia="es-ES"/>
        </w:rPr>
        <w:t xml:space="preserve"> de estas obligaciones con base </w:t>
      </w:r>
      <w:r w:rsidRPr="00BE0FAF">
        <w:rPr>
          <w:rFonts w:ascii="Arial" w:hAnsi="Arial" w:cs="Arial"/>
          <w:sz w:val="24"/>
          <w:szCs w:val="24"/>
          <w:lang w:val="es-MX" w:eastAsia="es-ES"/>
        </w:rPr>
        <w:t>en cálculos efectuados por actuarios independientes mediant</w:t>
      </w:r>
      <w:r w:rsidR="00274F35">
        <w:rPr>
          <w:rFonts w:ascii="Arial" w:hAnsi="Arial" w:cs="Arial"/>
          <w:sz w:val="24"/>
          <w:szCs w:val="24"/>
          <w:lang w:val="es-MX" w:eastAsia="es-ES"/>
        </w:rPr>
        <w:t xml:space="preserve">e el método de crédito unitario </w:t>
      </w:r>
      <w:r w:rsidRPr="00BE0FAF">
        <w:rPr>
          <w:rFonts w:ascii="Arial" w:hAnsi="Arial" w:cs="Arial"/>
          <w:sz w:val="24"/>
          <w:szCs w:val="24"/>
          <w:lang w:val="es-MX" w:eastAsia="es-ES"/>
        </w:rPr>
        <w:t>proyectado, utilizando hipótesis financieras de inflación.</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274F35" w:rsidRDefault="00580EB1"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Acción(es) o recomendación(es) emitida(s)</w:t>
      </w:r>
    </w:p>
    <w:p w:rsidR="00580EB1" w:rsidRPr="00274F35" w:rsidRDefault="00580EB1" w:rsidP="00BE0FAF">
      <w:pPr>
        <w:spacing w:after="0" w:line="360" w:lineRule="auto"/>
        <w:contextualSpacing/>
        <w:jc w:val="both"/>
        <w:rPr>
          <w:rFonts w:ascii="Arial" w:hAnsi="Arial" w:cs="Arial"/>
          <w:i/>
          <w:sz w:val="24"/>
          <w:szCs w:val="24"/>
          <w:lang w:val="es-MX" w:eastAsia="es-ES"/>
        </w:rPr>
      </w:pPr>
      <w:r w:rsidRPr="00274F35">
        <w:rPr>
          <w:rFonts w:ascii="Arial" w:hAnsi="Arial" w:cs="Arial"/>
          <w:i/>
          <w:sz w:val="24"/>
          <w:szCs w:val="24"/>
          <w:lang w:val="es-MX" w:eastAsia="es-ES"/>
        </w:rPr>
        <w:t>Recomendaciones en Relación a la Gestión o Control Interno.</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274F35" w:rsidRDefault="00580EB1"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HACIENDA PÚBLICA/PATRIMONIO</w:t>
      </w:r>
    </w:p>
    <w:p w:rsidR="00580EB1" w:rsidRPr="00274F35" w:rsidRDefault="00580EB1"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Hacienda pública/patrimonio generado</w:t>
      </w:r>
    </w:p>
    <w:p w:rsidR="00580EB1" w:rsidRPr="00274F35" w:rsidRDefault="00580EB1"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Resultado de ejercicios anteriores</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274F35">
        <w:rPr>
          <w:rFonts w:ascii="Arial" w:hAnsi="Arial" w:cs="Arial"/>
          <w:b/>
          <w:sz w:val="24"/>
          <w:szCs w:val="24"/>
          <w:lang w:val="es-MX" w:eastAsia="es-ES"/>
        </w:rPr>
        <w:t>15.</w:t>
      </w:r>
      <w:r w:rsidRPr="00BE0FAF">
        <w:rPr>
          <w:rFonts w:ascii="Arial" w:hAnsi="Arial" w:cs="Arial"/>
          <w:sz w:val="24"/>
          <w:szCs w:val="24"/>
          <w:lang w:val="es-MX" w:eastAsia="es-ES"/>
        </w:rPr>
        <w:t xml:space="preserve"> Se observó que la póliza D00212 del 19/06/2015 regis</w:t>
      </w:r>
      <w:r w:rsidR="00274F35">
        <w:rPr>
          <w:rFonts w:ascii="Arial" w:hAnsi="Arial" w:cs="Arial"/>
          <w:sz w:val="24"/>
          <w:szCs w:val="24"/>
          <w:lang w:val="es-MX" w:eastAsia="es-ES"/>
        </w:rPr>
        <w:t xml:space="preserve">trada en la cuenta de Resultado </w:t>
      </w:r>
      <w:r w:rsidRPr="00BE0FAF">
        <w:rPr>
          <w:rFonts w:ascii="Arial" w:hAnsi="Arial" w:cs="Arial"/>
          <w:sz w:val="24"/>
          <w:szCs w:val="24"/>
          <w:lang w:val="es-MX" w:eastAsia="es-ES"/>
        </w:rPr>
        <w:t>de ejercicios anteriores por $11,868, no incluye el sop</w:t>
      </w:r>
      <w:r w:rsidR="00274F35">
        <w:rPr>
          <w:rFonts w:ascii="Arial" w:hAnsi="Arial" w:cs="Arial"/>
          <w:sz w:val="24"/>
          <w:szCs w:val="24"/>
          <w:lang w:val="es-MX" w:eastAsia="es-ES"/>
        </w:rPr>
        <w:t xml:space="preserve">orte documental que compruebe y </w:t>
      </w:r>
      <w:r w:rsidRPr="00BE0FAF">
        <w:rPr>
          <w:rFonts w:ascii="Arial" w:hAnsi="Arial" w:cs="Arial"/>
          <w:sz w:val="24"/>
          <w:szCs w:val="24"/>
          <w:lang w:val="es-MX" w:eastAsia="es-ES"/>
        </w:rPr>
        <w:t>justifique el registro efectuado, incumpliendo con lo establec</w:t>
      </w:r>
      <w:r w:rsidR="00274F35">
        <w:rPr>
          <w:rFonts w:ascii="Arial" w:hAnsi="Arial" w:cs="Arial"/>
          <w:sz w:val="24"/>
          <w:szCs w:val="24"/>
          <w:lang w:val="es-MX" w:eastAsia="es-ES"/>
        </w:rPr>
        <w:t xml:space="preserve">ido en el artículo 42 de la Ley </w:t>
      </w:r>
      <w:r w:rsidRPr="00BE0FAF">
        <w:rPr>
          <w:rFonts w:ascii="Arial" w:hAnsi="Arial" w:cs="Arial"/>
          <w:sz w:val="24"/>
          <w:szCs w:val="24"/>
          <w:lang w:val="es-MX" w:eastAsia="es-ES"/>
        </w:rPr>
        <w:t>General de Contabilidad Gubernamental y 15 de la Ley de Fi</w:t>
      </w:r>
      <w:r w:rsidR="00274F35">
        <w:rPr>
          <w:rFonts w:ascii="Arial" w:hAnsi="Arial" w:cs="Arial"/>
          <w:sz w:val="24"/>
          <w:szCs w:val="24"/>
          <w:lang w:val="es-MX" w:eastAsia="es-ES"/>
        </w:rPr>
        <w:t xml:space="preserve">scalización Superior del Estado </w:t>
      </w:r>
      <w:r w:rsidRPr="00BE0FAF">
        <w:rPr>
          <w:rFonts w:ascii="Arial" w:hAnsi="Arial" w:cs="Arial"/>
          <w:sz w:val="24"/>
          <w:szCs w:val="24"/>
          <w:lang w:val="es-MX" w:eastAsia="es-ES"/>
        </w:rPr>
        <w:t>de Nuevo León.</w:t>
      </w:r>
    </w:p>
    <w:p w:rsidR="00580EB1" w:rsidRPr="00BE0FAF" w:rsidRDefault="00580EB1" w:rsidP="00BE0FAF">
      <w:pPr>
        <w:spacing w:after="0" w:line="360" w:lineRule="auto"/>
        <w:contextualSpacing/>
        <w:jc w:val="both"/>
        <w:rPr>
          <w:rFonts w:ascii="Arial" w:hAnsi="Arial" w:cs="Arial"/>
          <w:sz w:val="24"/>
          <w:szCs w:val="24"/>
          <w:lang w:val="es-MX" w:eastAsia="es-ES"/>
        </w:rPr>
      </w:pPr>
    </w:p>
    <w:p w:rsidR="00580EB1" w:rsidRPr="00274F35" w:rsidRDefault="00580EB1"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lastRenderedPageBreak/>
        <w:t>Acción(es) o recomendación(es) emitida(s)</w:t>
      </w:r>
    </w:p>
    <w:p w:rsidR="00580EB1" w:rsidRPr="00274F35" w:rsidRDefault="00580EB1" w:rsidP="00BE0FAF">
      <w:pPr>
        <w:spacing w:after="0" w:line="360" w:lineRule="auto"/>
        <w:contextualSpacing/>
        <w:jc w:val="both"/>
        <w:rPr>
          <w:rFonts w:ascii="Arial" w:hAnsi="Arial" w:cs="Arial"/>
          <w:i/>
          <w:sz w:val="24"/>
          <w:szCs w:val="24"/>
          <w:lang w:val="es-MX" w:eastAsia="es-ES"/>
        </w:rPr>
      </w:pPr>
      <w:r w:rsidRPr="00274F35">
        <w:rPr>
          <w:rFonts w:ascii="Arial" w:hAnsi="Arial" w:cs="Arial"/>
          <w:i/>
          <w:sz w:val="24"/>
          <w:szCs w:val="24"/>
          <w:lang w:val="es-MX" w:eastAsia="es-ES"/>
        </w:rPr>
        <w:t>Promoción de Fincamiento de Responsabilidad Administrativa.</w:t>
      </w:r>
    </w:p>
    <w:p w:rsidR="00274F35" w:rsidRDefault="00274F35" w:rsidP="00BE0FAF">
      <w:pPr>
        <w:spacing w:after="0" w:line="360" w:lineRule="auto"/>
        <w:contextualSpacing/>
        <w:jc w:val="both"/>
        <w:rPr>
          <w:rFonts w:ascii="Arial" w:hAnsi="Arial" w:cs="Arial"/>
          <w:sz w:val="24"/>
          <w:szCs w:val="24"/>
          <w:lang w:val="es-MX" w:eastAsia="es-ES"/>
        </w:rPr>
      </w:pPr>
    </w:p>
    <w:p w:rsidR="00580EB1" w:rsidRPr="00274F35" w:rsidRDefault="00580EB1"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Exceso o insuficiencia en la actualización de la hacienda pública/patrimonio</w:t>
      </w:r>
    </w:p>
    <w:p w:rsidR="00580EB1" w:rsidRPr="00274F35" w:rsidRDefault="00580EB1"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Resultado por posición monetaria</w:t>
      </w:r>
    </w:p>
    <w:p w:rsidR="00580EB1" w:rsidRPr="00BE0FAF" w:rsidRDefault="00580EB1" w:rsidP="00BE0FAF">
      <w:pPr>
        <w:spacing w:after="0" w:line="360" w:lineRule="auto"/>
        <w:contextualSpacing/>
        <w:jc w:val="both"/>
        <w:rPr>
          <w:rFonts w:ascii="Arial" w:hAnsi="Arial" w:cs="Arial"/>
          <w:sz w:val="24"/>
          <w:szCs w:val="24"/>
          <w:lang w:val="es-MX" w:eastAsia="es-ES"/>
        </w:rPr>
      </w:pPr>
      <w:r w:rsidRPr="00274F35">
        <w:rPr>
          <w:rFonts w:ascii="Arial" w:hAnsi="Arial" w:cs="Arial"/>
          <w:b/>
          <w:sz w:val="24"/>
          <w:szCs w:val="24"/>
          <w:lang w:val="es-MX" w:eastAsia="es-ES"/>
        </w:rPr>
        <w:t>16.</w:t>
      </w:r>
      <w:r w:rsidRPr="00BE0FAF">
        <w:rPr>
          <w:rFonts w:ascii="Arial" w:hAnsi="Arial" w:cs="Arial"/>
          <w:sz w:val="24"/>
          <w:szCs w:val="24"/>
          <w:lang w:val="es-MX" w:eastAsia="es-ES"/>
        </w:rPr>
        <w:t xml:space="preserve"> El Fideicomiso registró un depósito por $13,714 correspondie</w:t>
      </w:r>
      <w:r w:rsidR="00274F35">
        <w:rPr>
          <w:rFonts w:ascii="Arial" w:hAnsi="Arial" w:cs="Arial"/>
          <w:sz w:val="24"/>
          <w:szCs w:val="24"/>
          <w:lang w:val="es-MX" w:eastAsia="es-ES"/>
        </w:rPr>
        <w:t xml:space="preserve">nte al ejercicio 2012 afectando </w:t>
      </w:r>
      <w:r w:rsidRPr="00BE0FAF">
        <w:rPr>
          <w:rFonts w:ascii="Arial" w:hAnsi="Arial" w:cs="Arial"/>
          <w:sz w:val="24"/>
          <w:szCs w:val="24"/>
          <w:lang w:val="es-MX" w:eastAsia="es-ES"/>
        </w:rPr>
        <w:t>las cuentas "3220-1 Resultados de ejercicios anteriores" y "3300-1 Exceso o insuficiencia en la actualización de la hacienda pública/patrimonio", observando que en el ejercicio 2014</w:t>
      </w:r>
      <w:r w:rsidR="00274F35">
        <w:rPr>
          <w:rFonts w:ascii="Arial" w:hAnsi="Arial" w:cs="Arial"/>
          <w:sz w:val="24"/>
          <w:szCs w:val="24"/>
          <w:lang w:val="es-MX" w:eastAsia="es-ES"/>
        </w:rPr>
        <w:t xml:space="preserve"> </w:t>
      </w:r>
      <w:r w:rsidRPr="00BE0FAF">
        <w:rPr>
          <w:rFonts w:ascii="Arial" w:hAnsi="Arial" w:cs="Arial"/>
          <w:sz w:val="24"/>
          <w:szCs w:val="24"/>
          <w:lang w:val="es-MX" w:eastAsia="es-ES"/>
        </w:rPr>
        <w:t>ya había sido registrado en el rubro "Ingresos financieros",</w:t>
      </w:r>
      <w:r w:rsidR="00274F35">
        <w:rPr>
          <w:rFonts w:ascii="Arial" w:hAnsi="Arial" w:cs="Arial"/>
          <w:sz w:val="24"/>
          <w:szCs w:val="24"/>
          <w:lang w:val="es-MX" w:eastAsia="es-ES"/>
        </w:rPr>
        <w:t xml:space="preserve"> incumpliendo lo establecido en </w:t>
      </w:r>
      <w:r w:rsidRPr="00BE0FAF">
        <w:rPr>
          <w:rFonts w:ascii="Arial" w:hAnsi="Arial" w:cs="Arial"/>
          <w:sz w:val="24"/>
          <w:szCs w:val="24"/>
          <w:lang w:val="es-MX" w:eastAsia="es-ES"/>
        </w:rPr>
        <w:t>los artículos 40 y 42 de la Ley General de Contabilidad Gubernamental.</w:t>
      </w:r>
    </w:p>
    <w:p w:rsidR="00BD6E87" w:rsidRPr="00BE0FAF" w:rsidRDefault="00BD6E87" w:rsidP="00BE0FAF">
      <w:pPr>
        <w:spacing w:after="0" w:line="360" w:lineRule="auto"/>
        <w:contextualSpacing/>
        <w:jc w:val="both"/>
        <w:rPr>
          <w:rFonts w:ascii="Arial" w:hAnsi="Arial" w:cs="Arial"/>
          <w:sz w:val="24"/>
          <w:szCs w:val="24"/>
          <w:lang w:val="es-MX" w:eastAsia="es-ES"/>
        </w:rPr>
      </w:pPr>
    </w:p>
    <w:p w:rsidR="00BD6E87" w:rsidRPr="00274F35" w:rsidRDefault="00BD6E87"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Acción(es) o recomendación(es) emitida(s)</w:t>
      </w:r>
    </w:p>
    <w:p w:rsidR="00BD6E87" w:rsidRPr="00274F35" w:rsidRDefault="00BD6E87" w:rsidP="00BE0FAF">
      <w:pPr>
        <w:spacing w:after="0" w:line="360" w:lineRule="auto"/>
        <w:contextualSpacing/>
        <w:jc w:val="both"/>
        <w:rPr>
          <w:rFonts w:ascii="Arial" w:hAnsi="Arial" w:cs="Arial"/>
          <w:i/>
          <w:sz w:val="24"/>
          <w:szCs w:val="24"/>
          <w:lang w:val="es-MX" w:eastAsia="es-ES"/>
        </w:rPr>
      </w:pPr>
      <w:r w:rsidRPr="00274F35">
        <w:rPr>
          <w:rFonts w:ascii="Arial" w:hAnsi="Arial" w:cs="Arial"/>
          <w:i/>
          <w:sz w:val="24"/>
          <w:szCs w:val="24"/>
          <w:lang w:val="es-MX" w:eastAsia="es-ES"/>
        </w:rPr>
        <w:t>Promoción de Fincamiento de Responsabilidad Administrativa.</w:t>
      </w:r>
    </w:p>
    <w:p w:rsidR="00274F35" w:rsidRDefault="00274F35" w:rsidP="00BE0FAF">
      <w:pPr>
        <w:spacing w:after="0" w:line="360" w:lineRule="auto"/>
        <w:contextualSpacing/>
        <w:jc w:val="both"/>
        <w:rPr>
          <w:rFonts w:ascii="Arial" w:hAnsi="Arial" w:cs="Arial"/>
          <w:sz w:val="24"/>
          <w:szCs w:val="24"/>
          <w:lang w:val="es-MX" w:eastAsia="es-ES"/>
        </w:rPr>
      </w:pPr>
    </w:p>
    <w:p w:rsidR="00BD6E87" w:rsidRPr="00274F35" w:rsidRDefault="00BD6E87"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INGRESOS Y OTROS BENEFICIOS</w:t>
      </w:r>
    </w:p>
    <w:p w:rsidR="00BD6E87" w:rsidRPr="00274F35" w:rsidRDefault="00BD6E87"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Otros ingresos y beneficios</w:t>
      </w:r>
    </w:p>
    <w:p w:rsidR="00BD6E87" w:rsidRPr="00274F35" w:rsidRDefault="00BD6E87"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Ingresos financieros</w:t>
      </w:r>
    </w:p>
    <w:p w:rsidR="00BD6E87" w:rsidRPr="00274F35" w:rsidRDefault="00BD6E87"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Intereses del Fideicomiso</w:t>
      </w:r>
    </w:p>
    <w:p w:rsidR="00BD6E87" w:rsidRPr="00BE0FAF" w:rsidRDefault="00BD6E87" w:rsidP="00BE0FAF">
      <w:pPr>
        <w:spacing w:after="0" w:line="360" w:lineRule="auto"/>
        <w:contextualSpacing/>
        <w:jc w:val="both"/>
        <w:rPr>
          <w:rFonts w:ascii="Arial" w:hAnsi="Arial" w:cs="Arial"/>
          <w:sz w:val="24"/>
          <w:szCs w:val="24"/>
          <w:lang w:val="es-MX" w:eastAsia="es-ES"/>
        </w:rPr>
      </w:pPr>
      <w:r w:rsidRPr="00274F35">
        <w:rPr>
          <w:rFonts w:ascii="Arial" w:hAnsi="Arial" w:cs="Arial"/>
          <w:b/>
          <w:sz w:val="24"/>
          <w:szCs w:val="24"/>
          <w:lang w:val="es-MX" w:eastAsia="es-ES"/>
        </w:rPr>
        <w:t>17.</w:t>
      </w:r>
      <w:r w:rsidRPr="00BE0FAF">
        <w:rPr>
          <w:rFonts w:ascii="Arial" w:hAnsi="Arial" w:cs="Arial"/>
          <w:sz w:val="24"/>
          <w:szCs w:val="24"/>
          <w:lang w:val="es-MX" w:eastAsia="es-ES"/>
        </w:rPr>
        <w:t xml:space="preserve"> La póliza D00359 del 30 de septiembre de 2015, ampara </w:t>
      </w:r>
      <w:r w:rsidR="00274F35">
        <w:rPr>
          <w:rFonts w:ascii="Arial" w:hAnsi="Arial" w:cs="Arial"/>
          <w:sz w:val="24"/>
          <w:szCs w:val="24"/>
          <w:lang w:val="es-MX" w:eastAsia="es-ES"/>
        </w:rPr>
        <w:t xml:space="preserve">el registro de los intereses de </w:t>
      </w:r>
      <w:r w:rsidRPr="00BE0FAF">
        <w:rPr>
          <w:rFonts w:ascii="Arial" w:hAnsi="Arial" w:cs="Arial"/>
          <w:sz w:val="24"/>
          <w:szCs w:val="24"/>
          <w:lang w:val="es-MX" w:eastAsia="es-ES"/>
        </w:rPr>
        <w:t>inversiones del mes de noviembre de 2012, observando que</w:t>
      </w:r>
      <w:r w:rsidR="00274F35">
        <w:rPr>
          <w:rFonts w:ascii="Arial" w:hAnsi="Arial" w:cs="Arial"/>
          <w:sz w:val="24"/>
          <w:szCs w:val="24"/>
          <w:lang w:val="es-MX" w:eastAsia="es-ES"/>
        </w:rPr>
        <w:t xml:space="preserve"> éstos ya fueron registrados en </w:t>
      </w:r>
      <w:r w:rsidRPr="00BE0FAF">
        <w:rPr>
          <w:rFonts w:ascii="Arial" w:hAnsi="Arial" w:cs="Arial"/>
          <w:sz w:val="24"/>
          <w:szCs w:val="24"/>
          <w:lang w:val="es-MX" w:eastAsia="es-ES"/>
        </w:rPr>
        <w:t>las pólizas 2545 del 2 de mayo de 2014 y 2329 del 01 de</w:t>
      </w:r>
      <w:r w:rsidR="00274F35">
        <w:rPr>
          <w:rFonts w:ascii="Arial" w:hAnsi="Arial" w:cs="Arial"/>
          <w:sz w:val="24"/>
          <w:szCs w:val="24"/>
          <w:lang w:val="es-MX" w:eastAsia="es-ES"/>
        </w:rPr>
        <w:t xml:space="preserve"> julio de 2013, incumpliendo lo </w:t>
      </w:r>
      <w:r w:rsidRPr="00BE0FAF">
        <w:rPr>
          <w:rFonts w:ascii="Arial" w:hAnsi="Arial" w:cs="Arial"/>
          <w:sz w:val="24"/>
          <w:szCs w:val="24"/>
          <w:lang w:val="es-MX" w:eastAsia="es-ES"/>
        </w:rPr>
        <w:t>establecido en los artículos 40 y 42 de la Ley General de Contabilidad Gubernamental.</w:t>
      </w:r>
    </w:p>
    <w:p w:rsidR="00BD6E87" w:rsidRPr="00BE0FAF" w:rsidRDefault="00BD6E87" w:rsidP="00BE0FAF">
      <w:pPr>
        <w:spacing w:after="0" w:line="360" w:lineRule="auto"/>
        <w:contextualSpacing/>
        <w:jc w:val="both"/>
        <w:rPr>
          <w:rFonts w:ascii="Arial" w:hAnsi="Arial" w:cs="Arial"/>
          <w:sz w:val="24"/>
          <w:szCs w:val="24"/>
          <w:lang w:val="es-MX" w:eastAsia="es-ES"/>
        </w:rPr>
      </w:pPr>
    </w:p>
    <w:p w:rsidR="00BD6E87" w:rsidRPr="00274F35" w:rsidRDefault="00BD6E87"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Acción(es) o recomendación(es) emitida(s)</w:t>
      </w:r>
    </w:p>
    <w:p w:rsidR="00BD6E87" w:rsidRPr="00274F35" w:rsidRDefault="00BD6E87" w:rsidP="00BE0FAF">
      <w:pPr>
        <w:spacing w:after="0" w:line="360" w:lineRule="auto"/>
        <w:contextualSpacing/>
        <w:jc w:val="both"/>
        <w:rPr>
          <w:rFonts w:ascii="Arial" w:hAnsi="Arial" w:cs="Arial"/>
          <w:i/>
          <w:sz w:val="24"/>
          <w:szCs w:val="24"/>
          <w:lang w:val="es-MX" w:eastAsia="es-ES"/>
        </w:rPr>
      </w:pPr>
      <w:r w:rsidRPr="00274F35">
        <w:rPr>
          <w:rFonts w:ascii="Arial" w:hAnsi="Arial" w:cs="Arial"/>
          <w:i/>
          <w:sz w:val="24"/>
          <w:szCs w:val="24"/>
          <w:lang w:val="es-MX" w:eastAsia="es-ES"/>
        </w:rPr>
        <w:t>Promoción de Fincamiento de Responsabilidad Administrativa.</w:t>
      </w:r>
    </w:p>
    <w:p w:rsidR="00274F35" w:rsidRDefault="00274F35" w:rsidP="00BE0FAF">
      <w:pPr>
        <w:spacing w:after="0" w:line="360" w:lineRule="auto"/>
        <w:contextualSpacing/>
        <w:jc w:val="both"/>
        <w:rPr>
          <w:rFonts w:ascii="Arial" w:hAnsi="Arial" w:cs="Arial"/>
          <w:sz w:val="24"/>
          <w:szCs w:val="24"/>
          <w:lang w:val="es-MX" w:eastAsia="es-ES"/>
        </w:rPr>
      </w:pPr>
    </w:p>
    <w:p w:rsidR="00BD6E87" w:rsidRPr="00274F35" w:rsidRDefault="00BD6E87"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GASTOS Y OTRAS PÉRDIDAS</w:t>
      </w:r>
    </w:p>
    <w:p w:rsidR="00BD6E87" w:rsidRPr="00274F35" w:rsidRDefault="00BD6E87"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Gastos de funcionamiento</w:t>
      </w:r>
    </w:p>
    <w:p w:rsidR="00BD6E87" w:rsidRPr="00274F35" w:rsidRDefault="00BD6E87"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Servicios personales</w:t>
      </w:r>
    </w:p>
    <w:p w:rsidR="00BD6E87" w:rsidRPr="00274F35" w:rsidRDefault="00BD6E87" w:rsidP="00BE0FAF">
      <w:pPr>
        <w:spacing w:after="0" w:line="360" w:lineRule="auto"/>
        <w:contextualSpacing/>
        <w:jc w:val="both"/>
        <w:rPr>
          <w:rFonts w:ascii="Arial" w:hAnsi="Arial" w:cs="Arial"/>
          <w:b/>
          <w:sz w:val="24"/>
          <w:szCs w:val="24"/>
          <w:u w:val="single"/>
          <w:lang w:val="es-MX" w:eastAsia="es-ES"/>
        </w:rPr>
      </w:pPr>
      <w:r w:rsidRPr="00274F35">
        <w:rPr>
          <w:rFonts w:ascii="Arial" w:hAnsi="Arial" w:cs="Arial"/>
          <w:b/>
          <w:sz w:val="24"/>
          <w:szCs w:val="24"/>
          <w:u w:val="single"/>
          <w:lang w:val="es-MX" w:eastAsia="es-ES"/>
        </w:rPr>
        <w:t>Sueldos base al personal permanente</w:t>
      </w:r>
    </w:p>
    <w:p w:rsidR="00BD6E87" w:rsidRPr="00BE0FAF" w:rsidRDefault="00BD6E87" w:rsidP="00BE0FAF">
      <w:pPr>
        <w:spacing w:after="0" w:line="360" w:lineRule="auto"/>
        <w:contextualSpacing/>
        <w:jc w:val="both"/>
        <w:rPr>
          <w:rFonts w:ascii="Arial" w:hAnsi="Arial" w:cs="Arial"/>
          <w:sz w:val="24"/>
          <w:szCs w:val="24"/>
          <w:lang w:val="es-MX" w:eastAsia="es-ES"/>
        </w:rPr>
      </w:pPr>
      <w:r w:rsidRPr="00274F35">
        <w:rPr>
          <w:rFonts w:ascii="Arial" w:hAnsi="Arial" w:cs="Arial"/>
          <w:b/>
          <w:sz w:val="24"/>
          <w:szCs w:val="24"/>
          <w:lang w:val="es-MX" w:eastAsia="es-ES"/>
        </w:rPr>
        <w:t>18</w:t>
      </w:r>
      <w:r w:rsidRPr="00BE0FAF">
        <w:rPr>
          <w:rFonts w:ascii="Arial" w:hAnsi="Arial" w:cs="Arial"/>
          <w:sz w:val="24"/>
          <w:szCs w:val="24"/>
          <w:lang w:val="es-MX" w:eastAsia="es-ES"/>
        </w:rPr>
        <w:t>. El Fideicomiso realizó descuentos a sus empleados vía</w:t>
      </w:r>
      <w:r w:rsidR="00274F35">
        <w:rPr>
          <w:rFonts w:ascii="Arial" w:hAnsi="Arial" w:cs="Arial"/>
          <w:sz w:val="24"/>
          <w:szCs w:val="24"/>
          <w:lang w:val="es-MX" w:eastAsia="es-ES"/>
        </w:rPr>
        <w:t xml:space="preserve"> nómina por $317,146 durante el </w:t>
      </w:r>
      <w:r w:rsidRPr="00BE0FAF">
        <w:rPr>
          <w:rFonts w:ascii="Arial" w:hAnsi="Arial" w:cs="Arial"/>
          <w:sz w:val="24"/>
          <w:szCs w:val="24"/>
          <w:lang w:val="es-MX" w:eastAsia="es-ES"/>
        </w:rPr>
        <w:t>ejercicio 2015, correspondiente a préstamos especiales otorga</w:t>
      </w:r>
      <w:r w:rsidR="00274F35">
        <w:rPr>
          <w:rFonts w:ascii="Arial" w:hAnsi="Arial" w:cs="Arial"/>
          <w:sz w:val="24"/>
          <w:szCs w:val="24"/>
          <w:lang w:val="es-MX" w:eastAsia="es-ES"/>
        </w:rPr>
        <w:t xml:space="preserve">dos por Fovileón Estado, </w:t>
      </w:r>
      <w:r w:rsidRPr="00BE0FAF">
        <w:rPr>
          <w:rFonts w:ascii="Arial" w:hAnsi="Arial" w:cs="Arial"/>
          <w:sz w:val="24"/>
          <w:szCs w:val="24"/>
          <w:lang w:val="es-MX" w:eastAsia="es-ES"/>
        </w:rPr>
        <w:t>observando lo siguiente:</w:t>
      </w:r>
    </w:p>
    <w:p w:rsidR="00274F35" w:rsidRDefault="00274F35" w:rsidP="00BE0FAF">
      <w:pPr>
        <w:spacing w:after="0" w:line="360" w:lineRule="auto"/>
        <w:contextualSpacing/>
        <w:jc w:val="both"/>
        <w:rPr>
          <w:rFonts w:ascii="Arial" w:hAnsi="Arial" w:cs="Arial"/>
          <w:sz w:val="24"/>
          <w:szCs w:val="24"/>
          <w:lang w:val="es-MX" w:eastAsia="es-ES"/>
        </w:rPr>
      </w:pPr>
    </w:p>
    <w:p w:rsidR="00BD6E87" w:rsidRPr="00BE0FAF" w:rsidRDefault="00BD6E87"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1) Las retenciones por este concepto afectaron el registro contable originando una</w:t>
      </w:r>
      <w:r w:rsidR="00274F35">
        <w:rPr>
          <w:rFonts w:ascii="Arial" w:hAnsi="Arial" w:cs="Arial"/>
          <w:sz w:val="24"/>
          <w:szCs w:val="24"/>
          <w:lang w:val="es-MX" w:eastAsia="es-ES"/>
        </w:rPr>
        <w:t xml:space="preserve"> </w:t>
      </w:r>
      <w:r w:rsidRPr="00BE0FAF">
        <w:rPr>
          <w:rFonts w:ascii="Arial" w:hAnsi="Arial" w:cs="Arial"/>
          <w:sz w:val="24"/>
          <w:szCs w:val="24"/>
          <w:lang w:val="es-MX" w:eastAsia="es-ES"/>
        </w:rPr>
        <w:t>diferencia de $634,116 entre el saldo de la cue</w:t>
      </w:r>
      <w:r w:rsidR="00274F35">
        <w:rPr>
          <w:rFonts w:ascii="Arial" w:hAnsi="Arial" w:cs="Arial"/>
          <w:sz w:val="24"/>
          <w:szCs w:val="24"/>
          <w:lang w:val="es-MX" w:eastAsia="es-ES"/>
        </w:rPr>
        <w:t xml:space="preserve">nta "5111-11301 Sueldos base al </w:t>
      </w:r>
      <w:r w:rsidRPr="00BE0FAF">
        <w:rPr>
          <w:rFonts w:ascii="Arial" w:hAnsi="Arial" w:cs="Arial"/>
          <w:sz w:val="24"/>
          <w:szCs w:val="24"/>
          <w:lang w:val="es-MX" w:eastAsia="es-ES"/>
        </w:rPr>
        <w:t>personal permanente" y los resúmenes de nómina, d</w:t>
      </w:r>
      <w:r w:rsidR="00274F35">
        <w:rPr>
          <w:rFonts w:ascii="Arial" w:hAnsi="Arial" w:cs="Arial"/>
          <w:sz w:val="24"/>
          <w:szCs w:val="24"/>
          <w:lang w:val="es-MX" w:eastAsia="es-ES"/>
        </w:rPr>
        <w:t xml:space="preserve">e la manera siguiente: $317,146 </w:t>
      </w:r>
      <w:r w:rsidRPr="00BE0FAF">
        <w:rPr>
          <w:rFonts w:ascii="Arial" w:hAnsi="Arial" w:cs="Arial"/>
          <w:sz w:val="24"/>
          <w:szCs w:val="24"/>
          <w:lang w:val="es-MX" w:eastAsia="es-ES"/>
        </w:rPr>
        <w:t>correspondiente al registro quincenal de la ret</w:t>
      </w:r>
      <w:r w:rsidR="00274F35">
        <w:rPr>
          <w:rFonts w:ascii="Arial" w:hAnsi="Arial" w:cs="Arial"/>
          <w:sz w:val="24"/>
          <w:szCs w:val="24"/>
          <w:lang w:val="es-MX" w:eastAsia="es-ES"/>
        </w:rPr>
        <w:t xml:space="preserve">ención vía nómina; $317,146 por </w:t>
      </w:r>
      <w:r w:rsidRPr="00BE0FAF">
        <w:rPr>
          <w:rFonts w:ascii="Arial" w:hAnsi="Arial" w:cs="Arial"/>
          <w:sz w:val="24"/>
          <w:szCs w:val="24"/>
          <w:lang w:val="es-MX" w:eastAsia="es-ES"/>
        </w:rPr>
        <w:t>"ajuste" registrado el 31 de diciembre de 2015 y ($176) de diferencia no aclarada.</w:t>
      </w:r>
    </w:p>
    <w:p w:rsidR="00BD6E87" w:rsidRPr="00BE0FAF" w:rsidRDefault="00BD6E87"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2) Las retenciones correspondientes al ejercicio 2015 por</w:t>
      </w:r>
      <w:r w:rsidR="00274F35">
        <w:rPr>
          <w:rFonts w:ascii="Arial" w:hAnsi="Arial" w:cs="Arial"/>
          <w:sz w:val="24"/>
          <w:szCs w:val="24"/>
          <w:lang w:val="es-MX" w:eastAsia="es-ES"/>
        </w:rPr>
        <w:t xml:space="preserve"> $317,146 y $388,300 del </w:t>
      </w:r>
      <w:r w:rsidRPr="00BE0FAF">
        <w:rPr>
          <w:rFonts w:ascii="Arial" w:hAnsi="Arial" w:cs="Arial"/>
          <w:sz w:val="24"/>
          <w:szCs w:val="24"/>
          <w:lang w:val="es-MX" w:eastAsia="es-ES"/>
        </w:rPr>
        <w:t>ejercicio 2014 se registraron en el rubro "Derechos a r</w:t>
      </w:r>
      <w:r w:rsidR="00274F35">
        <w:rPr>
          <w:rFonts w:ascii="Arial" w:hAnsi="Arial" w:cs="Arial"/>
          <w:sz w:val="24"/>
          <w:szCs w:val="24"/>
          <w:lang w:val="es-MX" w:eastAsia="es-ES"/>
        </w:rPr>
        <w:t xml:space="preserve">ecibir efectivo y equivalentes" </w:t>
      </w:r>
      <w:r w:rsidRPr="00BE0FAF">
        <w:rPr>
          <w:rFonts w:ascii="Arial" w:hAnsi="Arial" w:cs="Arial"/>
          <w:sz w:val="24"/>
          <w:szCs w:val="24"/>
          <w:lang w:val="es-MX" w:eastAsia="es-ES"/>
        </w:rPr>
        <w:t>en la cuenta "1123-3 Préstamos empleados Fovileó</w:t>
      </w:r>
      <w:r w:rsidR="00274F35">
        <w:rPr>
          <w:rFonts w:ascii="Arial" w:hAnsi="Arial" w:cs="Arial"/>
          <w:sz w:val="24"/>
          <w:szCs w:val="24"/>
          <w:lang w:val="es-MX" w:eastAsia="es-ES"/>
        </w:rPr>
        <w:t xml:space="preserve">n" y no en una cuenta por pagar </w:t>
      </w:r>
      <w:r w:rsidRPr="00BE0FAF">
        <w:rPr>
          <w:rFonts w:ascii="Arial" w:hAnsi="Arial" w:cs="Arial"/>
          <w:sz w:val="24"/>
          <w:szCs w:val="24"/>
          <w:lang w:val="es-MX" w:eastAsia="es-ES"/>
        </w:rPr>
        <w:t>atendiendo a su naturaleza acreedora.</w:t>
      </w:r>
    </w:p>
    <w:p w:rsidR="00BD6E87" w:rsidRPr="00BE0FAF" w:rsidRDefault="00BD6E87"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3) No han sido enteradas dichas retenciones a Fovileón Estado.</w:t>
      </w:r>
    </w:p>
    <w:p w:rsidR="00274F35" w:rsidRDefault="00274F35" w:rsidP="00BE0FAF">
      <w:pPr>
        <w:spacing w:after="0" w:line="360" w:lineRule="auto"/>
        <w:contextualSpacing/>
        <w:jc w:val="both"/>
        <w:rPr>
          <w:rFonts w:ascii="Arial" w:hAnsi="Arial" w:cs="Arial"/>
          <w:sz w:val="24"/>
          <w:szCs w:val="24"/>
          <w:lang w:val="es-MX" w:eastAsia="es-ES"/>
        </w:rPr>
      </w:pPr>
    </w:p>
    <w:p w:rsidR="00BD6E87" w:rsidRPr="00BE0FAF" w:rsidRDefault="00BD6E87"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lastRenderedPageBreak/>
        <w:t>Lo anterior incumple con el artículo 37 de la Ley General de Contabilidad Gubernamental.</w:t>
      </w:r>
    </w:p>
    <w:p w:rsidR="00274F35" w:rsidRDefault="00274F35" w:rsidP="00BE0FAF">
      <w:pPr>
        <w:spacing w:after="0" w:line="360" w:lineRule="auto"/>
        <w:contextualSpacing/>
        <w:jc w:val="both"/>
        <w:rPr>
          <w:rFonts w:ascii="Arial" w:hAnsi="Arial" w:cs="Arial"/>
          <w:sz w:val="24"/>
          <w:szCs w:val="24"/>
          <w:lang w:val="es-MX" w:eastAsia="es-ES"/>
        </w:rPr>
      </w:pPr>
    </w:p>
    <w:p w:rsidR="00BD6E87" w:rsidRPr="00274F35" w:rsidRDefault="00BD6E87"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Análisis de la Auditoría Superior del Estado</w:t>
      </w:r>
    </w:p>
    <w:p w:rsidR="00BD6E87" w:rsidRPr="00BE0FAF" w:rsidRDefault="00BD6E87" w:rsidP="00BE0FAF">
      <w:pPr>
        <w:spacing w:after="0" w:line="360" w:lineRule="auto"/>
        <w:contextualSpacing/>
        <w:jc w:val="both"/>
        <w:rPr>
          <w:rFonts w:ascii="Arial" w:hAnsi="Arial" w:cs="Arial"/>
          <w:sz w:val="24"/>
          <w:szCs w:val="24"/>
          <w:lang w:val="es-MX" w:eastAsia="es-ES"/>
        </w:rPr>
      </w:pPr>
      <w:r w:rsidRPr="00BE0FAF">
        <w:rPr>
          <w:rFonts w:ascii="Arial" w:hAnsi="Arial" w:cs="Arial"/>
          <w:sz w:val="24"/>
          <w:szCs w:val="24"/>
          <w:lang w:val="es-MX" w:eastAsia="es-ES"/>
        </w:rPr>
        <w:t>Derivado del análisis de la respuesta y la evidencia pr</w:t>
      </w:r>
      <w:r w:rsidR="00274F35">
        <w:rPr>
          <w:rFonts w:ascii="Arial" w:hAnsi="Arial" w:cs="Arial"/>
          <w:sz w:val="24"/>
          <w:szCs w:val="24"/>
          <w:lang w:val="es-MX" w:eastAsia="es-ES"/>
        </w:rPr>
        <w:t xml:space="preserve">esentada por el Ente Público se </w:t>
      </w:r>
      <w:r w:rsidRPr="00BE0FAF">
        <w:rPr>
          <w:rFonts w:ascii="Arial" w:hAnsi="Arial" w:cs="Arial"/>
          <w:sz w:val="24"/>
          <w:szCs w:val="24"/>
          <w:lang w:val="es-MX" w:eastAsia="es-ES"/>
        </w:rPr>
        <w:t>solventa parcialmente, si bien se realizaron los asientos cont</w:t>
      </w:r>
      <w:r w:rsidR="00274F35">
        <w:rPr>
          <w:rFonts w:ascii="Arial" w:hAnsi="Arial" w:cs="Arial"/>
          <w:sz w:val="24"/>
          <w:szCs w:val="24"/>
          <w:lang w:val="es-MX" w:eastAsia="es-ES"/>
        </w:rPr>
        <w:t xml:space="preserve">ables corrigiendo las anomalías </w:t>
      </w:r>
      <w:r w:rsidRPr="00BE0FAF">
        <w:rPr>
          <w:rFonts w:ascii="Arial" w:hAnsi="Arial" w:cs="Arial"/>
          <w:sz w:val="24"/>
          <w:szCs w:val="24"/>
          <w:lang w:val="es-MX" w:eastAsia="es-ES"/>
        </w:rPr>
        <w:t>observadas en el punto 1 y 2 aún no se cuenta con el Con</w:t>
      </w:r>
      <w:r w:rsidR="00274F35">
        <w:rPr>
          <w:rFonts w:ascii="Arial" w:hAnsi="Arial" w:cs="Arial"/>
          <w:sz w:val="24"/>
          <w:szCs w:val="24"/>
          <w:lang w:val="es-MX" w:eastAsia="es-ES"/>
        </w:rPr>
        <w:t xml:space="preserve">venio modificatorio formalizado </w:t>
      </w:r>
      <w:r w:rsidRPr="00BE0FAF">
        <w:rPr>
          <w:rFonts w:ascii="Arial" w:hAnsi="Arial" w:cs="Arial"/>
          <w:sz w:val="24"/>
          <w:szCs w:val="24"/>
          <w:lang w:val="es-MX" w:eastAsia="es-ES"/>
        </w:rPr>
        <w:t>para poder reconocer dichas aportaciones a Fovileón Estado.</w:t>
      </w:r>
    </w:p>
    <w:p w:rsidR="00274F35" w:rsidRDefault="00274F35" w:rsidP="00BE0FAF">
      <w:pPr>
        <w:spacing w:after="0" w:line="360" w:lineRule="auto"/>
        <w:contextualSpacing/>
        <w:jc w:val="both"/>
        <w:rPr>
          <w:rFonts w:ascii="Arial" w:hAnsi="Arial" w:cs="Arial"/>
          <w:sz w:val="24"/>
          <w:szCs w:val="24"/>
          <w:lang w:val="es-MX" w:eastAsia="es-ES"/>
        </w:rPr>
      </w:pPr>
    </w:p>
    <w:p w:rsidR="00BD6E87" w:rsidRPr="00274F35" w:rsidRDefault="00BD6E87" w:rsidP="00BE0FAF">
      <w:pPr>
        <w:spacing w:after="0" w:line="360" w:lineRule="auto"/>
        <w:contextualSpacing/>
        <w:jc w:val="both"/>
        <w:rPr>
          <w:rFonts w:ascii="Arial" w:hAnsi="Arial" w:cs="Arial"/>
          <w:b/>
          <w:sz w:val="24"/>
          <w:szCs w:val="24"/>
          <w:lang w:val="es-MX" w:eastAsia="es-ES"/>
        </w:rPr>
      </w:pPr>
      <w:r w:rsidRPr="00274F35">
        <w:rPr>
          <w:rFonts w:ascii="Arial" w:hAnsi="Arial" w:cs="Arial"/>
          <w:b/>
          <w:sz w:val="24"/>
          <w:szCs w:val="24"/>
          <w:lang w:val="es-MX" w:eastAsia="es-ES"/>
        </w:rPr>
        <w:t>Acción(es) o recomendación(es) emitida(s)</w:t>
      </w:r>
    </w:p>
    <w:p w:rsidR="00F90318" w:rsidRPr="00274F35" w:rsidRDefault="00BD6E87" w:rsidP="00BE0FAF">
      <w:pPr>
        <w:spacing w:after="0" w:line="360" w:lineRule="auto"/>
        <w:contextualSpacing/>
        <w:jc w:val="both"/>
        <w:rPr>
          <w:rFonts w:ascii="Arial" w:hAnsi="Arial" w:cs="Arial"/>
          <w:i/>
          <w:sz w:val="24"/>
          <w:szCs w:val="24"/>
          <w:lang w:val="es-MX" w:eastAsia="es-ES"/>
        </w:rPr>
      </w:pPr>
      <w:r w:rsidRPr="00274F35">
        <w:rPr>
          <w:rFonts w:ascii="Arial" w:hAnsi="Arial" w:cs="Arial"/>
          <w:i/>
          <w:sz w:val="24"/>
          <w:szCs w:val="24"/>
          <w:lang w:val="es-MX" w:eastAsia="es-ES"/>
        </w:rPr>
        <w:t>Promoción de Fincamiento de Responsabilidad Administrativa.</w:t>
      </w:r>
    </w:p>
    <w:p w:rsidR="00F90318" w:rsidRDefault="00F90318" w:rsidP="009A7A82">
      <w:pPr>
        <w:spacing w:after="0" w:line="360" w:lineRule="auto"/>
        <w:contextualSpacing/>
        <w:jc w:val="both"/>
        <w:rPr>
          <w:rFonts w:ascii="Arial" w:hAnsi="Arial" w:cs="Arial"/>
          <w:b/>
          <w:sz w:val="24"/>
        </w:rPr>
      </w:pPr>
    </w:p>
    <w:p w:rsidR="009C0345" w:rsidRPr="00B67BEE" w:rsidRDefault="009C0345" w:rsidP="009C0345">
      <w:pPr>
        <w:pStyle w:val="Prrafodelista"/>
        <w:numPr>
          <w:ilvl w:val="0"/>
          <w:numId w:val="3"/>
        </w:numPr>
        <w:spacing w:after="0"/>
        <w:ind w:left="426" w:hanging="426"/>
        <w:contextualSpacing/>
        <w:jc w:val="both"/>
        <w:rPr>
          <w:rFonts w:ascii="Arial" w:hAnsi="Arial" w:cs="Arial"/>
          <w:b/>
          <w:sz w:val="24"/>
        </w:rPr>
      </w:pPr>
      <w:r w:rsidRPr="00B67BEE">
        <w:rPr>
          <w:rFonts w:ascii="Arial" w:hAnsi="Arial" w:cs="Arial"/>
          <w:b/>
          <w:bCs/>
          <w:sz w:val="24"/>
        </w:rPr>
        <w:t>Trámite y resultados obtenidos, derivados de las solicitudes formuladas por</w:t>
      </w:r>
      <w:r w:rsidR="00EF3C47">
        <w:rPr>
          <w:rFonts w:ascii="Arial" w:hAnsi="Arial" w:cs="Arial"/>
          <w:b/>
          <w:bCs/>
          <w:sz w:val="24"/>
        </w:rPr>
        <w:t xml:space="preserve"> este</w:t>
      </w:r>
      <w:r w:rsidRPr="00B67BEE">
        <w:rPr>
          <w:rFonts w:ascii="Arial" w:hAnsi="Arial" w:cs="Arial"/>
          <w:b/>
          <w:bCs/>
          <w:sz w:val="24"/>
        </w:rPr>
        <w:t xml:space="preserve"> H. Congreso del Estado.</w:t>
      </w:r>
    </w:p>
    <w:p w:rsidR="009C0345" w:rsidRPr="00B67BEE" w:rsidRDefault="009C0345" w:rsidP="009C0345">
      <w:pPr>
        <w:spacing w:after="0"/>
        <w:rPr>
          <w:rFonts w:ascii="Arial" w:hAnsi="Arial" w:cs="Arial"/>
          <w:b/>
          <w:sz w:val="24"/>
        </w:rPr>
      </w:pPr>
    </w:p>
    <w:p w:rsidR="00BD6E87" w:rsidRPr="00274F35" w:rsidRDefault="00BD6E87" w:rsidP="00274F35">
      <w:pPr>
        <w:pStyle w:val="Textoindependiente"/>
        <w:spacing w:line="360" w:lineRule="auto"/>
        <w:rPr>
          <w:rFonts w:ascii="Arial" w:hAnsi="Arial" w:cs="Arial"/>
          <w:b/>
          <w:sz w:val="24"/>
          <w:szCs w:val="24"/>
          <w:lang w:val="es-MX"/>
        </w:rPr>
      </w:pPr>
      <w:r w:rsidRPr="00274F35">
        <w:rPr>
          <w:rFonts w:ascii="Arial" w:hAnsi="Arial" w:cs="Arial"/>
          <w:b/>
          <w:sz w:val="24"/>
          <w:szCs w:val="24"/>
          <w:lang w:val="es-MX"/>
        </w:rPr>
        <w:t>Solicitud.-</w:t>
      </w:r>
    </w:p>
    <w:p w:rsidR="00BD6E87" w:rsidRPr="00274F35" w:rsidRDefault="00BD6E87" w:rsidP="00274F35">
      <w:pPr>
        <w:pStyle w:val="Textoindependiente"/>
        <w:spacing w:line="360" w:lineRule="auto"/>
        <w:rPr>
          <w:rFonts w:ascii="Arial" w:hAnsi="Arial" w:cs="Arial"/>
          <w:sz w:val="24"/>
          <w:szCs w:val="24"/>
          <w:lang w:val="es-MX"/>
        </w:rPr>
      </w:pPr>
      <w:r w:rsidRPr="00274F35">
        <w:rPr>
          <w:rFonts w:ascii="Arial" w:hAnsi="Arial" w:cs="Arial"/>
          <w:sz w:val="24"/>
          <w:szCs w:val="24"/>
          <w:lang w:val="es-MX"/>
        </w:rPr>
        <w:t>Contenida en el acuerdo Legislativo número 308, tomado por el Pleno en la sesión del  24 de septiembre de 2013, publicado en el Periódico Oficial del Estado de fecha 2 de</w:t>
      </w:r>
      <w:r w:rsidR="00274D57">
        <w:rPr>
          <w:rFonts w:ascii="Arial" w:hAnsi="Arial" w:cs="Arial"/>
          <w:sz w:val="24"/>
          <w:szCs w:val="24"/>
          <w:lang w:val="es-MX"/>
        </w:rPr>
        <w:t xml:space="preserve"> octubre de 2013, remitido a l</w:t>
      </w:r>
      <w:r w:rsidRPr="00274F35">
        <w:rPr>
          <w:rFonts w:ascii="Arial" w:hAnsi="Arial" w:cs="Arial"/>
          <w:sz w:val="24"/>
          <w:szCs w:val="24"/>
          <w:lang w:val="es-MX"/>
        </w:rPr>
        <w:t xml:space="preserve">a Auditoría Superior del Estado, en fecha 10 de octubre de 2013 mediante el oficio número 387/2013, emitido por los CC. Presidenta y Secretario de la Comisión de Vigilancia del H. Congreso del Estado, en virtud del cual se instruye a este Órgano Superior de Fiscalización, para que en cumplimiento a lo preceptuado por la Ley de Fiscalización Superior del Estado de Nuevo León, verifique la aplicación por parte del ente fiscalizado, de la Ley General de Contabilidad Gubernamental </w:t>
      </w:r>
      <w:r w:rsidRPr="00274F35">
        <w:rPr>
          <w:rFonts w:ascii="Arial" w:hAnsi="Arial" w:cs="Arial"/>
          <w:sz w:val="24"/>
          <w:szCs w:val="24"/>
          <w:lang w:val="es-MX"/>
        </w:rPr>
        <w:lastRenderedPageBreak/>
        <w:t>(LGCG), así como las disposiciones normativas emitidas por el Consejo Nacional de Armonización Contable (Conac).</w:t>
      </w:r>
    </w:p>
    <w:p w:rsidR="00BD6E87" w:rsidRPr="00274F35" w:rsidRDefault="00BD6E87" w:rsidP="00274F35">
      <w:pPr>
        <w:pStyle w:val="Textoindependiente"/>
        <w:spacing w:line="360" w:lineRule="auto"/>
        <w:rPr>
          <w:rFonts w:ascii="Arial" w:hAnsi="Arial" w:cs="Arial"/>
          <w:sz w:val="24"/>
          <w:szCs w:val="24"/>
          <w:lang w:val="es-MX"/>
        </w:rPr>
      </w:pPr>
    </w:p>
    <w:p w:rsidR="00BD6E87" w:rsidRPr="00274F35" w:rsidRDefault="00BD6E87" w:rsidP="00274F35">
      <w:pPr>
        <w:pStyle w:val="Textoindependiente"/>
        <w:spacing w:line="360" w:lineRule="auto"/>
        <w:rPr>
          <w:rFonts w:ascii="Arial" w:hAnsi="Arial" w:cs="Arial"/>
          <w:b/>
          <w:sz w:val="24"/>
          <w:szCs w:val="24"/>
          <w:lang w:val="es-MX"/>
        </w:rPr>
      </w:pPr>
      <w:r w:rsidRPr="00274F35">
        <w:rPr>
          <w:rFonts w:ascii="Arial" w:hAnsi="Arial" w:cs="Arial"/>
          <w:b/>
          <w:sz w:val="24"/>
          <w:szCs w:val="24"/>
          <w:lang w:val="es-MX"/>
        </w:rPr>
        <w:t>Objeto de la revisión.-</w:t>
      </w:r>
    </w:p>
    <w:p w:rsidR="00BD6E87" w:rsidRPr="00274F35" w:rsidRDefault="00BD6E87" w:rsidP="00274F35">
      <w:pPr>
        <w:pStyle w:val="Textoindependiente"/>
        <w:spacing w:line="360" w:lineRule="auto"/>
        <w:rPr>
          <w:rFonts w:ascii="Arial" w:hAnsi="Arial" w:cs="Arial"/>
          <w:sz w:val="24"/>
          <w:szCs w:val="24"/>
          <w:lang w:val="es-MX"/>
        </w:rPr>
      </w:pPr>
      <w:r w:rsidRPr="00274F35">
        <w:rPr>
          <w:rFonts w:ascii="Arial" w:hAnsi="Arial" w:cs="Arial"/>
          <w:sz w:val="24"/>
          <w:szCs w:val="24"/>
          <w:lang w:val="es-MX"/>
        </w:rPr>
        <w:t>Para</w:t>
      </w:r>
      <w:r w:rsidR="00274D57">
        <w:rPr>
          <w:rFonts w:ascii="Arial" w:hAnsi="Arial" w:cs="Arial"/>
          <w:sz w:val="24"/>
          <w:szCs w:val="24"/>
          <w:lang w:val="es-MX"/>
        </w:rPr>
        <w:t xml:space="preserve"> cumplir con lo solicitado, la</w:t>
      </w:r>
      <w:r w:rsidRPr="00274F35">
        <w:rPr>
          <w:rFonts w:ascii="Arial" w:hAnsi="Arial" w:cs="Arial"/>
          <w:sz w:val="24"/>
          <w:szCs w:val="24"/>
          <w:lang w:val="es-MX"/>
        </w:rPr>
        <w:t xml:space="preserve"> Auditoría Superior del Estado, programó una revisión específica con el objeto de verificar el cumplimiento de la LGCG y normativa emitida por el Conac, así como la operación de los sistemas de registro y contabilidad del Ente Público.</w:t>
      </w:r>
    </w:p>
    <w:p w:rsidR="00BD6E87" w:rsidRPr="00274F35" w:rsidRDefault="00BD6E87" w:rsidP="00274F35">
      <w:pPr>
        <w:pStyle w:val="Textoindependiente"/>
        <w:spacing w:line="360" w:lineRule="auto"/>
        <w:rPr>
          <w:rFonts w:ascii="Arial" w:hAnsi="Arial" w:cs="Arial"/>
          <w:sz w:val="24"/>
          <w:szCs w:val="24"/>
          <w:lang w:val="es-MX"/>
        </w:rPr>
      </w:pPr>
    </w:p>
    <w:p w:rsidR="00BD6E87" w:rsidRPr="00274F35" w:rsidRDefault="00BD6E87" w:rsidP="00274F35">
      <w:pPr>
        <w:pStyle w:val="Textoindependiente"/>
        <w:spacing w:line="360" w:lineRule="auto"/>
        <w:rPr>
          <w:rFonts w:ascii="Arial" w:hAnsi="Arial" w:cs="Arial"/>
          <w:b/>
          <w:sz w:val="24"/>
          <w:szCs w:val="24"/>
          <w:lang w:val="es-MX"/>
        </w:rPr>
      </w:pPr>
      <w:r w:rsidRPr="00274F35">
        <w:rPr>
          <w:rFonts w:ascii="Arial" w:hAnsi="Arial" w:cs="Arial"/>
          <w:b/>
          <w:sz w:val="24"/>
          <w:szCs w:val="24"/>
          <w:lang w:val="es-MX"/>
        </w:rPr>
        <w:t>Procedimientos de auditoría realizados.-</w:t>
      </w:r>
    </w:p>
    <w:p w:rsidR="00BD6E87" w:rsidRPr="00274F35" w:rsidRDefault="00BD6E87" w:rsidP="00274F35">
      <w:pPr>
        <w:pStyle w:val="Textoindependiente"/>
        <w:spacing w:line="360" w:lineRule="auto"/>
        <w:rPr>
          <w:rFonts w:ascii="Arial" w:hAnsi="Arial" w:cs="Arial"/>
          <w:sz w:val="24"/>
          <w:szCs w:val="24"/>
          <w:lang w:val="es-MX"/>
        </w:rPr>
      </w:pPr>
      <w:r w:rsidRPr="00274F35">
        <w:rPr>
          <w:rFonts w:ascii="Arial" w:hAnsi="Arial" w:cs="Arial"/>
          <w:sz w:val="24"/>
          <w:szCs w:val="24"/>
          <w:lang w:val="es-MX"/>
        </w:rPr>
        <w:t>Para efectuar lo anterior, el procedimiento consistió en aplicar en el Ente Público un cuestionario basado en las Guías de Revisión para el Cumplimiento de la LGCG y los documentos emitidos por el Conac, recabando evidencia y evaluando el grado de avance en la implementación y observancia de la normativa vigente en la materia.</w:t>
      </w:r>
    </w:p>
    <w:p w:rsidR="00BD6E87" w:rsidRDefault="00BD6E87" w:rsidP="00274F35">
      <w:pPr>
        <w:pStyle w:val="Textoindependiente"/>
        <w:spacing w:line="360" w:lineRule="auto"/>
        <w:rPr>
          <w:rFonts w:ascii="Arial" w:hAnsi="Arial" w:cs="Arial"/>
          <w:sz w:val="24"/>
          <w:szCs w:val="24"/>
          <w:lang w:val="es-MX"/>
        </w:rPr>
      </w:pPr>
    </w:p>
    <w:p w:rsidR="00274F35" w:rsidRDefault="00274F35" w:rsidP="00274F35">
      <w:pPr>
        <w:pStyle w:val="Textoindependiente"/>
        <w:spacing w:line="360" w:lineRule="auto"/>
        <w:rPr>
          <w:rFonts w:ascii="Arial" w:hAnsi="Arial" w:cs="Arial"/>
          <w:sz w:val="24"/>
          <w:szCs w:val="24"/>
          <w:lang w:val="es-MX"/>
        </w:rPr>
      </w:pPr>
    </w:p>
    <w:p w:rsidR="00274F35" w:rsidRPr="00274F35" w:rsidRDefault="00274F35" w:rsidP="00274F35">
      <w:pPr>
        <w:pStyle w:val="Textoindependiente"/>
        <w:spacing w:line="360" w:lineRule="auto"/>
        <w:rPr>
          <w:rFonts w:ascii="Arial" w:hAnsi="Arial" w:cs="Arial"/>
          <w:sz w:val="24"/>
          <w:szCs w:val="24"/>
          <w:lang w:val="es-MX"/>
        </w:rPr>
      </w:pPr>
    </w:p>
    <w:p w:rsidR="00BD6E87" w:rsidRPr="00274F35" w:rsidRDefault="00BD6E87" w:rsidP="00274F35">
      <w:pPr>
        <w:pStyle w:val="Textoindependiente"/>
        <w:spacing w:line="360" w:lineRule="auto"/>
        <w:rPr>
          <w:rFonts w:ascii="Arial" w:hAnsi="Arial" w:cs="Arial"/>
          <w:b/>
          <w:sz w:val="24"/>
          <w:szCs w:val="24"/>
          <w:lang w:val="es-MX"/>
        </w:rPr>
      </w:pPr>
      <w:r w:rsidRPr="00274F35">
        <w:rPr>
          <w:rFonts w:ascii="Arial" w:hAnsi="Arial" w:cs="Arial"/>
          <w:b/>
          <w:sz w:val="24"/>
          <w:szCs w:val="24"/>
          <w:lang w:val="es-MX"/>
        </w:rPr>
        <w:t>Resultados obtenidos.-</w:t>
      </w:r>
    </w:p>
    <w:p w:rsidR="00BD6E87" w:rsidRPr="00274F35" w:rsidRDefault="00BD6E87" w:rsidP="00274F35">
      <w:pPr>
        <w:pStyle w:val="Textoindependiente"/>
        <w:spacing w:line="360" w:lineRule="auto"/>
        <w:rPr>
          <w:rFonts w:ascii="Arial" w:hAnsi="Arial" w:cs="Arial"/>
          <w:sz w:val="24"/>
          <w:szCs w:val="24"/>
          <w:lang w:val="es-MX"/>
        </w:rPr>
      </w:pPr>
      <w:r w:rsidRPr="00274F35">
        <w:rPr>
          <w:rFonts w:ascii="Arial" w:hAnsi="Arial" w:cs="Arial"/>
          <w:sz w:val="24"/>
          <w:szCs w:val="24"/>
          <w:lang w:val="es-MX"/>
        </w:rPr>
        <w:t>Los resultados obtenidos de la referida revisión, se reflejan en la observación indicada con el número 1, en el apartado VII del presente informe.</w:t>
      </w:r>
    </w:p>
    <w:p w:rsidR="009A7A82" w:rsidRPr="00274F35" w:rsidRDefault="009A7A82" w:rsidP="00274F35">
      <w:pPr>
        <w:autoSpaceDE w:val="0"/>
        <w:autoSpaceDN w:val="0"/>
        <w:adjustRightInd w:val="0"/>
        <w:spacing w:after="0" w:line="360" w:lineRule="auto"/>
        <w:jc w:val="both"/>
        <w:rPr>
          <w:rFonts w:ascii="Arial" w:hAnsi="Arial" w:cs="Arial"/>
          <w:sz w:val="24"/>
          <w:szCs w:val="24"/>
          <w:lang w:val="es-MX" w:eastAsia="es-ES"/>
        </w:rPr>
      </w:pPr>
    </w:p>
    <w:p w:rsidR="009C0345" w:rsidRPr="00B67BEE" w:rsidRDefault="009C0345" w:rsidP="009C0345">
      <w:pPr>
        <w:pStyle w:val="Prrafodelista"/>
        <w:numPr>
          <w:ilvl w:val="0"/>
          <w:numId w:val="3"/>
        </w:numPr>
        <w:spacing w:after="0"/>
        <w:ind w:left="426" w:hanging="426"/>
        <w:contextualSpacing/>
        <w:jc w:val="both"/>
        <w:rPr>
          <w:rFonts w:ascii="Arial" w:hAnsi="Arial" w:cs="Arial"/>
          <w:b/>
          <w:bCs/>
          <w:sz w:val="24"/>
        </w:rPr>
      </w:pPr>
      <w:r w:rsidRPr="00B67BEE">
        <w:rPr>
          <w:rFonts w:ascii="Arial" w:hAnsi="Arial" w:cs="Arial"/>
          <w:b/>
          <w:bCs/>
          <w:sz w:val="24"/>
        </w:rPr>
        <w:t>Resultados de la revisión de situación excepcional.</w:t>
      </w:r>
    </w:p>
    <w:p w:rsidR="009C0345" w:rsidRPr="00B67BEE" w:rsidRDefault="009C0345" w:rsidP="009C0345">
      <w:pPr>
        <w:spacing w:after="0"/>
        <w:rPr>
          <w:rFonts w:ascii="Arial" w:hAnsi="Arial" w:cs="Arial"/>
          <w:b/>
          <w:bCs/>
          <w:sz w:val="24"/>
        </w:rPr>
      </w:pPr>
    </w:p>
    <w:p w:rsidR="009C0345" w:rsidRPr="00B67BEE" w:rsidRDefault="009C0345" w:rsidP="009A7A82">
      <w:pPr>
        <w:spacing w:after="0" w:line="360" w:lineRule="auto"/>
        <w:ind w:firstLine="709"/>
        <w:jc w:val="both"/>
        <w:rPr>
          <w:rFonts w:ascii="Arial" w:hAnsi="Arial" w:cs="Arial"/>
          <w:bCs/>
          <w:sz w:val="24"/>
        </w:rPr>
      </w:pPr>
      <w:r w:rsidRPr="00B67BEE">
        <w:rPr>
          <w:rFonts w:ascii="Arial" w:hAnsi="Arial" w:cs="Arial"/>
          <w:bCs/>
          <w:sz w:val="24"/>
        </w:rPr>
        <w:t>En relación a la Cuenta Pública objeto de revisión,</w:t>
      </w:r>
      <w:r w:rsidR="00EF3C47">
        <w:rPr>
          <w:rFonts w:ascii="Arial" w:hAnsi="Arial" w:cs="Arial"/>
          <w:bCs/>
          <w:sz w:val="24"/>
        </w:rPr>
        <w:t xml:space="preserve"> el </w:t>
      </w:r>
      <w:r w:rsidR="000050A4">
        <w:rPr>
          <w:rFonts w:ascii="Arial" w:hAnsi="Arial" w:cs="Arial"/>
          <w:bCs/>
          <w:sz w:val="24"/>
        </w:rPr>
        <w:t>Órgano</w:t>
      </w:r>
      <w:r w:rsidR="00EF3C47">
        <w:rPr>
          <w:rFonts w:ascii="Arial" w:hAnsi="Arial" w:cs="Arial"/>
          <w:bCs/>
          <w:sz w:val="24"/>
        </w:rPr>
        <w:t xml:space="preserve"> Técnico</w:t>
      </w:r>
      <w:r w:rsidR="000050A4">
        <w:rPr>
          <w:rFonts w:ascii="Arial" w:hAnsi="Arial" w:cs="Arial"/>
          <w:bCs/>
          <w:sz w:val="24"/>
        </w:rPr>
        <w:t xml:space="preserve"> de Fiscalización nos informa</w:t>
      </w:r>
      <w:r w:rsidR="00EF3C47">
        <w:rPr>
          <w:rFonts w:ascii="Arial" w:hAnsi="Arial" w:cs="Arial"/>
          <w:bCs/>
          <w:sz w:val="24"/>
        </w:rPr>
        <w:t xml:space="preserve"> que</w:t>
      </w:r>
      <w:r w:rsidRPr="00B67BEE">
        <w:rPr>
          <w:rFonts w:ascii="Arial" w:hAnsi="Arial" w:cs="Arial"/>
          <w:bCs/>
          <w:sz w:val="24"/>
        </w:rPr>
        <w:t xml:space="preserve"> no se recibieron denuncias para la revisión </w:t>
      </w:r>
      <w:r w:rsidRPr="00B67BEE">
        <w:rPr>
          <w:rFonts w:ascii="Arial" w:hAnsi="Arial" w:cs="Arial"/>
          <w:bCs/>
          <w:sz w:val="24"/>
        </w:rPr>
        <w:lastRenderedPageBreak/>
        <w:t>de situaciones excepcionales,</w:t>
      </w:r>
      <w:r w:rsidR="00EF3C47">
        <w:rPr>
          <w:rFonts w:ascii="Arial" w:hAnsi="Arial" w:cs="Arial"/>
          <w:bCs/>
          <w:sz w:val="24"/>
        </w:rPr>
        <w:t xml:space="preserve"> atendidas por</w:t>
      </w:r>
      <w:r w:rsidRPr="00B67BEE">
        <w:rPr>
          <w:rFonts w:ascii="Arial" w:hAnsi="Arial" w:cs="Arial"/>
          <w:bCs/>
          <w:sz w:val="24"/>
        </w:rPr>
        <w:t xml:space="preserve"> los términos preceptuados en los artículos 136 último párrafo de la Constitución Política del </w:t>
      </w:r>
      <w:r w:rsidR="00EF3C47">
        <w:rPr>
          <w:rFonts w:ascii="Arial" w:hAnsi="Arial" w:cs="Arial"/>
          <w:bCs/>
          <w:sz w:val="24"/>
        </w:rPr>
        <w:t>Estado;</w:t>
      </w:r>
      <w:r w:rsidRPr="00B67BEE">
        <w:rPr>
          <w:rFonts w:ascii="Arial" w:hAnsi="Arial" w:cs="Arial"/>
          <w:bCs/>
          <w:sz w:val="24"/>
        </w:rPr>
        <w:t xml:space="preserve"> 37 y 39 de la Ley de Fiscalización Superior del Estado de Nuevo León.</w:t>
      </w:r>
    </w:p>
    <w:p w:rsidR="009C0345" w:rsidRPr="00B67BEE" w:rsidRDefault="009C0345" w:rsidP="009C0345">
      <w:pPr>
        <w:spacing w:after="0"/>
        <w:jc w:val="both"/>
        <w:rPr>
          <w:rFonts w:ascii="Arial" w:hAnsi="Arial" w:cs="Arial"/>
          <w:bCs/>
          <w:sz w:val="24"/>
        </w:rPr>
      </w:pPr>
    </w:p>
    <w:p w:rsidR="009C0345" w:rsidRPr="00B67BEE" w:rsidRDefault="009C0345" w:rsidP="009C0345">
      <w:pPr>
        <w:pStyle w:val="Prrafodelista"/>
        <w:numPr>
          <w:ilvl w:val="0"/>
          <w:numId w:val="3"/>
        </w:numPr>
        <w:spacing w:after="0"/>
        <w:ind w:left="426" w:hanging="426"/>
        <w:contextualSpacing/>
        <w:jc w:val="both"/>
        <w:rPr>
          <w:rFonts w:ascii="Arial" w:eastAsia="Times New Roman" w:hAnsi="Arial" w:cs="Arial"/>
          <w:sz w:val="24"/>
          <w:szCs w:val="24"/>
          <w:lang w:eastAsia="es-MX"/>
        </w:rPr>
      </w:pPr>
      <w:r w:rsidRPr="00B67BEE">
        <w:rPr>
          <w:rFonts w:ascii="Arial" w:eastAsia="Times New Roman" w:hAnsi="Arial" w:cs="Arial"/>
          <w:b/>
          <w:bCs/>
          <w:sz w:val="24"/>
          <w:szCs w:val="24"/>
          <w:lang w:eastAsia="es-MX"/>
        </w:rPr>
        <w:t>Situación que guardan las observaciones, recomendaciones y acciones promovidas, respecto de la</w:t>
      </w:r>
      <w:r w:rsidR="00F072A9">
        <w:rPr>
          <w:rFonts w:ascii="Arial" w:eastAsia="Times New Roman" w:hAnsi="Arial" w:cs="Arial"/>
          <w:b/>
          <w:bCs/>
          <w:sz w:val="24"/>
          <w:szCs w:val="24"/>
          <w:lang w:eastAsia="es-MX"/>
        </w:rPr>
        <w:t>s</w:t>
      </w:r>
      <w:r w:rsidRPr="00B67BEE">
        <w:rPr>
          <w:rFonts w:ascii="Arial" w:eastAsia="Times New Roman" w:hAnsi="Arial" w:cs="Arial"/>
          <w:b/>
          <w:bCs/>
          <w:sz w:val="24"/>
          <w:szCs w:val="24"/>
          <w:lang w:eastAsia="es-MX"/>
        </w:rPr>
        <w:t xml:space="preserve"> Cuenta</w:t>
      </w:r>
      <w:r w:rsidR="00F072A9">
        <w:rPr>
          <w:rFonts w:ascii="Arial" w:eastAsia="Times New Roman" w:hAnsi="Arial" w:cs="Arial"/>
          <w:b/>
          <w:bCs/>
          <w:sz w:val="24"/>
          <w:szCs w:val="24"/>
          <w:lang w:eastAsia="es-MX"/>
        </w:rPr>
        <w:t>s</w:t>
      </w:r>
      <w:r w:rsidRPr="00B67BEE">
        <w:rPr>
          <w:rFonts w:ascii="Arial" w:eastAsia="Times New Roman" w:hAnsi="Arial" w:cs="Arial"/>
          <w:b/>
          <w:bCs/>
          <w:sz w:val="24"/>
          <w:szCs w:val="24"/>
          <w:lang w:eastAsia="es-MX"/>
        </w:rPr>
        <w:t xml:space="preserve"> Pública</w:t>
      </w:r>
      <w:r w:rsidR="00F072A9">
        <w:rPr>
          <w:rFonts w:ascii="Arial" w:eastAsia="Times New Roman" w:hAnsi="Arial" w:cs="Arial"/>
          <w:b/>
          <w:bCs/>
          <w:sz w:val="24"/>
          <w:szCs w:val="24"/>
          <w:lang w:eastAsia="es-MX"/>
        </w:rPr>
        <w:t>s</w:t>
      </w:r>
      <w:r w:rsidRPr="00B67BEE">
        <w:rPr>
          <w:rFonts w:ascii="Arial" w:eastAsia="Times New Roman" w:hAnsi="Arial" w:cs="Arial"/>
          <w:b/>
          <w:bCs/>
          <w:sz w:val="24"/>
          <w:szCs w:val="24"/>
          <w:lang w:eastAsia="es-MX"/>
        </w:rPr>
        <w:t xml:space="preserve"> de</w:t>
      </w:r>
      <w:r w:rsidR="00F072A9">
        <w:rPr>
          <w:rFonts w:ascii="Arial" w:eastAsia="Times New Roman" w:hAnsi="Arial" w:cs="Arial"/>
          <w:b/>
          <w:bCs/>
          <w:sz w:val="24"/>
          <w:szCs w:val="24"/>
          <w:lang w:eastAsia="es-MX"/>
        </w:rPr>
        <w:t xml:space="preserve"> </w:t>
      </w:r>
      <w:r w:rsidRPr="00B67BEE">
        <w:rPr>
          <w:rFonts w:ascii="Arial" w:eastAsia="Times New Roman" w:hAnsi="Arial" w:cs="Arial"/>
          <w:b/>
          <w:bCs/>
          <w:sz w:val="24"/>
          <w:szCs w:val="24"/>
          <w:lang w:eastAsia="es-MX"/>
        </w:rPr>
        <w:t>l</w:t>
      </w:r>
      <w:r w:rsidR="00F072A9">
        <w:rPr>
          <w:rFonts w:ascii="Arial" w:eastAsia="Times New Roman" w:hAnsi="Arial" w:cs="Arial"/>
          <w:b/>
          <w:bCs/>
          <w:sz w:val="24"/>
          <w:szCs w:val="24"/>
          <w:lang w:eastAsia="es-MX"/>
        </w:rPr>
        <w:t>os</w:t>
      </w:r>
      <w:r w:rsidRPr="00B67BEE">
        <w:rPr>
          <w:rFonts w:ascii="Arial" w:eastAsia="Times New Roman" w:hAnsi="Arial" w:cs="Arial"/>
          <w:b/>
          <w:bCs/>
          <w:sz w:val="24"/>
          <w:szCs w:val="24"/>
          <w:lang w:eastAsia="es-MX"/>
        </w:rPr>
        <w:t xml:space="preserve"> ejercicio</w:t>
      </w:r>
      <w:r w:rsidR="00EF3C47">
        <w:rPr>
          <w:rFonts w:ascii="Arial" w:eastAsia="Times New Roman" w:hAnsi="Arial" w:cs="Arial"/>
          <w:b/>
          <w:bCs/>
          <w:sz w:val="24"/>
          <w:szCs w:val="24"/>
          <w:lang w:eastAsia="es-MX"/>
        </w:rPr>
        <w:t>s anteriores.</w:t>
      </w:r>
    </w:p>
    <w:p w:rsidR="009C0345" w:rsidRDefault="009C0345" w:rsidP="009C0345">
      <w:pPr>
        <w:spacing w:after="0"/>
        <w:rPr>
          <w:rFonts w:ascii="Arial" w:hAnsi="Arial" w:cs="Arial"/>
          <w:bCs/>
          <w:sz w:val="24"/>
        </w:rPr>
      </w:pPr>
    </w:p>
    <w:p w:rsidR="00EF3C47" w:rsidRDefault="00EF3C47" w:rsidP="00BD6E87">
      <w:pPr>
        <w:spacing w:after="0" w:line="360" w:lineRule="auto"/>
        <w:ind w:firstLine="709"/>
        <w:jc w:val="both"/>
        <w:rPr>
          <w:rFonts w:ascii="Arial" w:eastAsia="Times New Roman" w:hAnsi="Arial" w:cs="Arial"/>
          <w:bCs/>
          <w:sz w:val="24"/>
          <w:szCs w:val="24"/>
          <w:lang w:eastAsia="es-MX"/>
        </w:rPr>
      </w:pPr>
      <w:r>
        <w:rPr>
          <w:rFonts w:ascii="Arial" w:hAnsi="Arial" w:cs="Arial"/>
          <w:bCs/>
          <w:sz w:val="24"/>
        </w:rPr>
        <w:t>En este apartado, l</w:t>
      </w:r>
      <w:r w:rsidR="00807DB8">
        <w:rPr>
          <w:rFonts w:ascii="Arial" w:hAnsi="Arial" w:cs="Arial"/>
          <w:bCs/>
          <w:sz w:val="24"/>
        </w:rPr>
        <w:t>a Auditoría nos presenta una síntesis de las acciones</w:t>
      </w:r>
      <w:r>
        <w:rPr>
          <w:rFonts w:ascii="Arial" w:hAnsi="Arial" w:cs="Arial"/>
          <w:bCs/>
          <w:sz w:val="24"/>
        </w:rPr>
        <w:t xml:space="preserve"> y recomendaciones</w:t>
      </w:r>
      <w:r w:rsidR="00807DB8">
        <w:rPr>
          <w:rFonts w:ascii="Arial" w:hAnsi="Arial" w:cs="Arial"/>
          <w:bCs/>
          <w:sz w:val="24"/>
        </w:rPr>
        <w:t xml:space="preserve"> que con motivo de la revisión de las Cuentas Públicas </w:t>
      </w:r>
      <w:r w:rsidR="000050A4">
        <w:rPr>
          <w:rFonts w:ascii="Arial" w:hAnsi="Arial" w:cs="Arial"/>
          <w:bCs/>
          <w:sz w:val="24"/>
        </w:rPr>
        <w:t xml:space="preserve">2011, </w:t>
      </w:r>
      <w:r w:rsidR="00BD6E87">
        <w:rPr>
          <w:rFonts w:ascii="Arial" w:eastAsia="Times New Roman" w:hAnsi="Arial" w:cs="Arial"/>
          <w:bCs/>
          <w:sz w:val="24"/>
          <w:szCs w:val="24"/>
          <w:lang w:eastAsia="es-MX"/>
        </w:rPr>
        <w:t>2012,</w:t>
      </w:r>
      <w:r>
        <w:rPr>
          <w:rFonts w:ascii="Arial" w:eastAsia="Times New Roman" w:hAnsi="Arial" w:cs="Arial"/>
          <w:bCs/>
          <w:sz w:val="24"/>
          <w:szCs w:val="24"/>
          <w:lang w:eastAsia="es-MX"/>
        </w:rPr>
        <w:t xml:space="preserve"> 2013</w:t>
      </w:r>
      <w:r w:rsidR="00BD6E87">
        <w:rPr>
          <w:rFonts w:ascii="Arial" w:eastAsia="Times New Roman" w:hAnsi="Arial" w:cs="Arial"/>
          <w:bCs/>
          <w:sz w:val="24"/>
          <w:szCs w:val="24"/>
          <w:lang w:eastAsia="es-MX"/>
        </w:rPr>
        <w:t xml:space="preserve"> y 2014</w:t>
      </w:r>
      <w:r>
        <w:rPr>
          <w:rFonts w:ascii="Arial" w:eastAsia="Times New Roman" w:hAnsi="Arial" w:cs="Arial"/>
          <w:bCs/>
          <w:sz w:val="24"/>
          <w:szCs w:val="24"/>
          <w:lang w:eastAsia="es-MX"/>
        </w:rPr>
        <w:t>, se ejercieron o</w:t>
      </w:r>
      <w:r w:rsidR="00807DB8">
        <w:rPr>
          <w:rFonts w:ascii="Arial" w:eastAsia="Times New Roman" w:hAnsi="Arial" w:cs="Arial"/>
          <w:bCs/>
          <w:sz w:val="24"/>
          <w:szCs w:val="24"/>
          <w:lang w:eastAsia="es-MX"/>
        </w:rPr>
        <w:t xml:space="preserve"> promovieron por </w:t>
      </w:r>
      <w:r>
        <w:rPr>
          <w:rFonts w:ascii="Arial" w:eastAsia="Times New Roman" w:hAnsi="Arial" w:cs="Arial"/>
          <w:bCs/>
          <w:sz w:val="24"/>
          <w:szCs w:val="24"/>
          <w:lang w:eastAsia="es-MX"/>
        </w:rPr>
        <w:t>nuestro Órgano auxiliar de Fiscalización.</w:t>
      </w:r>
      <w:r w:rsidR="00BD6E87">
        <w:rPr>
          <w:rFonts w:ascii="Arial" w:eastAsia="Times New Roman" w:hAnsi="Arial" w:cs="Arial"/>
          <w:bCs/>
          <w:sz w:val="24"/>
          <w:szCs w:val="24"/>
          <w:lang w:eastAsia="es-MX"/>
        </w:rPr>
        <w:t xml:space="preserve"> Se indica que no existe alguna acción pendiente en trámite.</w:t>
      </w:r>
    </w:p>
    <w:p w:rsidR="009C0345" w:rsidRDefault="009C0345" w:rsidP="00807DB8">
      <w:pPr>
        <w:spacing w:before="240" w:after="20" w:line="360" w:lineRule="auto"/>
        <w:ind w:firstLine="708"/>
        <w:jc w:val="both"/>
        <w:rPr>
          <w:rFonts w:ascii="Arial" w:hAnsi="Arial" w:cs="Arial"/>
          <w:sz w:val="24"/>
        </w:rPr>
      </w:pPr>
      <w:r w:rsidRPr="006C36DE">
        <w:rPr>
          <w:rFonts w:ascii="Arial" w:hAnsi="Arial" w:cs="Arial"/>
          <w:sz w:val="24"/>
        </w:rPr>
        <w:t>Una vez que hemos dado cuenta de</w:t>
      </w:r>
      <w:r w:rsidR="00E033FC" w:rsidRPr="006C36DE">
        <w:rPr>
          <w:rFonts w:ascii="Arial" w:hAnsi="Arial" w:cs="Arial"/>
          <w:sz w:val="24"/>
        </w:rPr>
        <w:t>l</w:t>
      </w:r>
      <w:r w:rsidRPr="006C36DE">
        <w:rPr>
          <w:rFonts w:ascii="Arial" w:hAnsi="Arial" w:cs="Arial"/>
          <w:sz w:val="24"/>
        </w:rPr>
        <w:t xml:space="preserve"> contenido del </w:t>
      </w:r>
      <w:r w:rsidR="00A77799">
        <w:rPr>
          <w:rFonts w:ascii="Arial" w:hAnsi="Arial" w:cs="Arial"/>
          <w:sz w:val="24"/>
        </w:rPr>
        <w:t>Informe del Resultado</w:t>
      </w:r>
      <w:r w:rsidRPr="006C36DE">
        <w:rPr>
          <w:rFonts w:ascii="Arial" w:hAnsi="Arial" w:cs="Arial"/>
          <w:sz w:val="24"/>
        </w:rPr>
        <w:t xml:space="preserve"> y de los comentarios</w:t>
      </w:r>
      <w:r w:rsidRPr="006C36DE">
        <w:rPr>
          <w:rFonts w:ascii="Arial" w:hAnsi="Arial" w:cs="Arial"/>
          <w:sz w:val="28"/>
          <w:szCs w:val="24"/>
        </w:rPr>
        <w:t xml:space="preserve"> </w:t>
      </w:r>
      <w:r w:rsidRPr="006C36DE">
        <w:rPr>
          <w:rFonts w:ascii="Arial" w:hAnsi="Arial" w:cs="Arial"/>
          <w:sz w:val="24"/>
        </w:rPr>
        <w:t xml:space="preserve">que al efecto realizó la Auditoría Superior del Estado, </w:t>
      </w:r>
      <w:r w:rsidR="00EF3C47">
        <w:rPr>
          <w:rFonts w:ascii="Arial" w:hAnsi="Arial" w:cs="Arial"/>
          <w:sz w:val="24"/>
        </w:rPr>
        <w:t>los cuales fueron incorporados</w:t>
      </w:r>
      <w:r w:rsidR="00E033FC" w:rsidRPr="006C36DE">
        <w:rPr>
          <w:rFonts w:ascii="Arial" w:hAnsi="Arial" w:cs="Arial"/>
          <w:sz w:val="24"/>
        </w:rPr>
        <w:t xml:space="preserve"> dentro de este documento</w:t>
      </w:r>
      <w:r w:rsidR="00EF3C47">
        <w:rPr>
          <w:rFonts w:ascii="Arial" w:hAnsi="Arial" w:cs="Arial"/>
          <w:sz w:val="24"/>
        </w:rPr>
        <w:t xml:space="preserve"> y</w:t>
      </w:r>
      <w:r w:rsidR="00E033FC" w:rsidRPr="006C36DE">
        <w:rPr>
          <w:rFonts w:ascii="Arial" w:hAnsi="Arial" w:cs="Arial"/>
          <w:sz w:val="24"/>
        </w:rPr>
        <w:t xml:space="preserve"> </w:t>
      </w:r>
      <w:r w:rsidRPr="006C36DE">
        <w:rPr>
          <w:rFonts w:ascii="Arial" w:hAnsi="Arial" w:cs="Arial"/>
          <w:sz w:val="24"/>
        </w:rPr>
        <w:t xml:space="preserve">de conformidad con lo previsto en el Artículo 47, Inciso c) del Reglamento para el Gobierno Interior del Congreso del Estado de Nuevo León, los integrantes de </w:t>
      </w:r>
      <w:r w:rsidR="00EF3C47">
        <w:rPr>
          <w:rFonts w:ascii="Arial" w:hAnsi="Arial" w:cs="Arial"/>
          <w:sz w:val="24"/>
        </w:rPr>
        <w:t>esta Comisión de Hacienda del Estado</w:t>
      </w:r>
      <w:r w:rsidR="00960812">
        <w:rPr>
          <w:rFonts w:ascii="Arial" w:hAnsi="Arial" w:cs="Arial"/>
          <w:sz w:val="24"/>
        </w:rPr>
        <w:t>, consideramos que</w:t>
      </w:r>
      <w:r w:rsidRPr="006C36DE">
        <w:rPr>
          <w:rFonts w:ascii="Arial" w:hAnsi="Arial" w:cs="Arial"/>
          <w:sz w:val="24"/>
        </w:rPr>
        <w:t xml:space="preserve"> a efecto de susten</w:t>
      </w:r>
      <w:r w:rsidR="00960812">
        <w:rPr>
          <w:rFonts w:ascii="Arial" w:hAnsi="Arial" w:cs="Arial"/>
          <w:sz w:val="24"/>
        </w:rPr>
        <w:t>tar el resolutivo que se propuesto en la parte resolutiva del presente Dictamen</w:t>
      </w:r>
      <w:r w:rsidRPr="006C36DE">
        <w:rPr>
          <w:rFonts w:ascii="Arial" w:hAnsi="Arial" w:cs="Arial"/>
          <w:sz w:val="24"/>
        </w:rPr>
        <w:t>, nos permitimos consignar</w:t>
      </w:r>
      <w:r w:rsidR="00FA27A6">
        <w:rPr>
          <w:rFonts w:ascii="Arial" w:hAnsi="Arial" w:cs="Arial"/>
          <w:sz w:val="24"/>
        </w:rPr>
        <w:t xml:space="preserve"> ante el Pleno de esta Soberanía,</w:t>
      </w:r>
      <w:r w:rsidRPr="006C36DE">
        <w:rPr>
          <w:rFonts w:ascii="Arial" w:hAnsi="Arial" w:cs="Arial"/>
          <w:sz w:val="24"/>
        </w:rPr>
        <w:t xml:space="preserve"> la</w:t>
      </w:r>
      <w:r w:rsidR="00FA27A6">
        <w:rPr>
          <w:rFonts w:ascii="Arial" w:hAnsi="Arial" w:cs="Arial"/>
          <w:sz w:val="24"/>
        </w:rPr>
        <w:t>s</w:t>
      </w:r>
      <w:r w:rsidRPr="006C36DE">
        <w:rPr>
          <w:rFonts w:ascii="Arial" w:hAnsi="Arial" w:cs="Arial"/>
          <w:sz w:val="24"/>
        </w:rPr>
        <w:t xml:space="preserve"> siguientes:</w:t>
      </w:r>
    </w:p>
    <w:p w:rsidR="00807DB8" w:rsidRPr="00807DB8" w:rsidRDefault="00807DB8" w:rsidP="00807DB8">
      <w:pPr>
        <w:spacing w:before="240" w:after="20" w:line="360" w:lineRule="auto"/>
        <w:ind w:firstLine="708"/>
        <w:jc w:val="both"/>
        <w:rPr>
          <w:rFonts w:ascii="Arial" w:hAnsi="Arial" w:cs="Arial"/>
          <w:sz w:val="24"/>
        </w:rPr>
      </w:pPr>
    </w:p>
    <w:p w:rsidR="009C0345" w:rsidRDefault="009C0345" w:rsidP="009C0345">
      <w:pPr>
        <w:shd w:val="clear" w:color="auto" w:fill="FFFFFF"/>
        <w:spacing w:after="324"/>
        <w:jc w:val="both"/>
        <w:rPr>
          <w:rFonts w:ascii="Arial" w:hAnsi="Arial" w:cs="Arial"/>
          <w:b/>
          <w:bCs/>
          <w:sz w:val="24"/>
          <w:szCs w:val="24"/>
        </w:rPr>
      </w:pPr>
      <w:r w:rsidRPr="00295C16">
        <w:rPr>
          <w:rFonts w:ascii="Arial" w:hAnsi="Arial" w:cs="Arial"/>
          <w:b/>
          <w:bCs/>
          <w:sz w:val="24"/>
          <w:szCs w:val="24"/>
        </w:rPr>
        <w:t>CONSIDERACIONES:</w:t>
      </w:r>
    </w:p>
    <w:p w:rsidR="00FA27A6" w:rsidRPr="00295C16" w:rsidRDefault="00FA27A6" w:rsidP="009C0345">
      <w:pPr>
        <w:shd w:val="clear" w:color="auto" w:fill="FFFFFF"/>
        <w:spacing w:after="324"/>
        <w:jc w:val="both"/>
        <w:rPr>
          <w:rFonts w:ascii="Arial" w:hAnsi="Arial" w:cs="Arial"/>
          <w:sz w:val="24"/>
          <w:szCs w:val="24"/>
          <w:lang w:eastAsia="es-MX"/>
        </w:rPr>
      </w:pPr>
    </w:p>
    <w:p w:rsidR="00FA27A6" w:rsidRPr="00295C16" w:rsidRDefault="009C0345" w:rsidP="009A7A82">
      <w:pPr>
        <w:spacing w:before="240" w:line="360" w:lineRule="auto"/>
        <w:ind w:firstLine="709"/>
        <w:jc w:val="both"/>
        <w:rPr>
          <w:rFonts w:ascii="Arial" w:hAnsi="Arial" w:cs="Arial"/>
          <w:sz w:val="24"/>
          <w:szCs w:val="24"/>
        </w:rPr>
      </w:pPr>
      <w:r w:rsidRPr="00295C16">
        <w:rPr>
          <w:rFonts w:ascii="Arial" w:hAnsi="Arial" w:cs="Arial"/>
          <w:b/>
          <w:bCs/>
          <w:sz w:val="24"/>
          <w:szCs w:val="24"/>
        </w:rPr>
        <w:lastRenderedPageBreak/>
        <w:t xml:space="preserve">PRIMERA: </w:t>
      </w:r>
      <w:r w:rsidRPr="00295C16">
        <w:rPr>
          <w:rFonts w:ascii="Arial" w:hAnsi="Arial" w:cs="Arial"/>
          <w:sz w:val="24"/>
          <w:szCs w:val="24"/>
        </w:rPr>
        <w:t xml:space="preserve">La Comisión de Hacienda </w:t>
      </w:r>
      <w:r w:rsidR="006C36DE">
        <w:rPr>
          <w:rFonts w:ascii="Arial" w:hAnsi="Arial" w:cs="Arial"/>
          <w:sz w:val="24"/>
          <w:szCs w:val="24"/>
        </w:rPr>
        <w:t>del Estado</w:t>
      </w:r>
      <w:r w:rsidR="00FA27A6">
        <w:rPr>
          <w:rFonts w:ascii="Arial" w:hAnsi="Arial" w:cs="Arial"/>
          <w:sz w:val="24"/>
          <w:szCs w:val="24"/>
        </w:rPr>
        <w:t xml:space="preserve"> de este Congreso</w:t>
      </w:r>
      <w:r w:rsidRPr="00295C16">
        <w:rPr>
          <w:rFonts w:ascii="Arial" w:hAnsi="Arial" w:cs="Arial"/>
          <w:sz w:val="24"/>
          <w:szCs w:val="24"/>
        </w:rPr>
        <w:t xml:space="preserve"> es competente para analizar el </w:t>
      </w:r>
      <w:r w:rsidR="00A77799">
        <w:rPr>
          <w:rFonts w:ascii="Arial" w:hAnsi="Arial" w:cs="Arial"/>
          <w:sz w:val="24"/>
          <w:szCs w:val="24"/>
        </w:rPr>
        <w:t>Informe del Resultado</w:t>
      </w:r>
      <w:r w:rsidR="00FA27A6">
        <w:rPr>
          <w:rFonts w:ascii="Arial" w:hAnsi="Arial" w:cs="Arial"/>
          <w:sz w:val="24"/>
          <w:szCs w:val="24"/>
        </w:rPr>
        <w:t xml:space="preserve"> de mérito, en atención a lo</w:t>
      </w:r>
      <w:r w:rsidRPr="00295C16">
        <w:rPr>
          <w:rFonts w:ascii="Arial" w:hAnsi="Arial" w:cs="Arial"/>
          <w:sz w:val="24"/>
          <w:szCs w:val="24"/>
        </w:rPr>
        <w:t xml:space="preserve"> establecido en los numerales 70, Fracción X</w:t>
      </w:r>
      <w:r w:rsidR="006C36DE">
        <w:rPr>
          <w:rFonts w:ascii="Arial" w:hAnsi="Arial" w:cs="Arial"/>
          <w:sz w:val="24"/>
          <w:szCs w:val="24"/>
        </w:rPr>
        <w:t>V</w:t>
      </w:r>
      <w:r w:rsidRPr="00295C16">
        <w:rPr>
          <w:rFonts w:ascii="Arial" w:hAnsi="Arial" w:cs="Arial"/>
          <w:sz w:val="24"/>
          <w:szCs w:val="24"/>
        </w:rPr>
        <w:t xml:space="preserve"> de la Ley Orgánica del Poder Legislativo del Estado </w:t>
      </w:r>
      <w:r w:rsidR="00FA27A6">
        <w:rPr>
          <w:rFonts w:ascii="Arial" w:hAnsi="Arial" w:cs="Arial"/>
          <w:sz w:val="24"/>
          <w:szCs w:val="24"/>
        </w:rPr>
        <w:t>de Nuevo León y 39</w:t>
      </w:r>
      <w:r w:rsidRPr="00295C16">
        <w:rPr>
          <w:rFonts w:ascii="Arial" w:hAnsi="Arial" w:cs="Arial"/>
          <w:sz w:val="24"/>
          <w:szCs w:val="24"/>
        </w:rPr>
        <w:t xml:space="preserve"> Fracción X</w:t>
      </w:r>
      <w:r w:rsidR="006C36DE">
        <w:rPr>
          <w:rFonts w:ascii="Arial" w:hAnsi="Arial" w:cs="Arial"/>
          <w:sz w:val="24"/>
          <w:szCs w:val="24"/>
        </w:rPr>
        <w:t>V</w:t>
      </w:r>
      <w:r w:rsidRPr="00295C16">
        <w:rPr>
          <w:rFonts w:ascii="Arial" w:hAnsi="Arial" w:cs="Arial"/>
          <w:sz w:val="24"/>
          <w:szCs w:val="24"/>
        </w:rPr>
        <w:t xml:space="preserve">, del Reglamento para el Gobierno Interior del Congreso del Estado de Nuevo León. </w:t>
      </w:r>
    </w:p>
    <w:p w:rsidR="00FA27A6" w:rsidRPr="00295C16" w:rsidRDefault="009C0345" w:rsidP="009A7A82">
      <w:pPr>
        <w:spacing w:before="240" w:line="360" w:lineRule="auto"/>
        <w:ind w:firstLine="709"/>
        <w:jc w:val="both"/>
        <w:rPr>
          <w:rFonts w:ascii="Arial" w:hAnsi="Arial" w:cs="Arial"/>
          <w:bCs/>
          <w:sz w:val="24"/>
          <w:szCs w:val="24"/>
        </w:rPr>
      </w:pPr>
      <w:r w:rsidRPr="00295C16">
        <w:rPr>
          <w:rFonts w:ascii="Arial" w:hAnsi="Arial" w:cs="Arial"/>
          <w:b/>
          <w:bCs/>
          <w:sz w:val="24"/>
          <w:szCs w:val="24"/>
        </w:rPr>
        <w:t xml:space="preserve">SEGUNDA: </w:t>
      </w:r>
      <w:r w:rsidRPr="00295C16">
        <w:rPr>
          <w:rFonts w:ascii="Arial" w:hAnsi="Arial" w:cs="Arial"/>
          <w:bCs/>
          <w:sz w:val="24"/>
          <w:szCs w:val="24"/>
        </w:rPr>
        <w:t>La Auditoría Superior del Estado cumplió en su revisión con</w:t>
      </w:r>
      <w:r w:rsidR="00FA27A6">
        <w:rPr>
          <w:rFonts w:ascii="Arial" w:hAnsi="Arial" w:cs="Arial"/>
          <w:bCs/>
          <w:sz w:val="24"/>
          <w:szCs w:val="24"/>
        </w:rPr>
        <w:t xml:space="preserve"> atención a</w:t>
      </w:r>
      <w:r w:rsidRPr="00295C16">
        <w:rPr>
          <w:rFonts w:ascii="Arial" w:hAnsi="Arial" w:cs="Arial"/>
          <w:bCs/>
          <w:sz w:val="24"/>
          <w:szCs w:val="24"/>
        </w:rPr>
        <w:t xml:space="preserve"> lo previsto por los artículos 18, 19 y 20 de la Ley de Fiscalización Superior del Estado de Nuevo León. </w:t>
      </w:r>
    </w:p>
    <w:p w:rsidR="009C0345" w:rsidRDefault="00FA27A6" w:rsidP="009A7A82">
      <w:pPr>
        <w:spacing w:before="240" w:line="360" w:lineRule="auto"/>
        <w:ind w:firstLine="709"/>
        <w:jc w:val="both"/>
        <w:rPr>
          <w:rFonts w:ascii="Arial" w:hAnsi="Arial" w:cs="Arial"/>
          <w:bCs/>
          <w:sz w:val="24"/>
          <w:szCs w:val="24"/>
        </w:rPr>
      </w:pPr>
      <w:r>
        <w:rPr>
          <w:rFonts w:ascii="Arial" w:hAnsi="Arial" w:cs="Arial"/>
          <w:bCs/>
          <w:sz w:val="24"/>
          <w:szCs w:val="24"/>
        </w:rPr>
        <w:t>Constatamos que el Informe del Fideicomiso Puente Internacional Solidaridad atiende los contenidos</w:t>
      </w:r>
      <w:r w:rsidR="009C0345" w:rsidRPr="00295C16">
        <w:rPr>
          <w:rFonts w:ascii="Arial" w:hAnsi="Arial" w:cs="Arial"/>
          <w:bCs/>
          <w:sz w:val="24"/>
          <w:szCs w:val="24"/>
        </w:rPr>
        <w:t xml:space="preserve"> generales que se estipulan en los artículos 49 y 50 de la </w:t>
      </w:r>
      <w:r w:rsidR="006B5CF6">
        <w:rPr>
          <w:rFonts w:ascii="Arial" w:hAnsi="Arial" w:cs="Arial"/>
          <w:bCs/>
          <w:sz w:val="24"/>
          <w:szCs w:val="24"/>
        </w:rPr>
        <w:t>Ley</w:t>
      </w:r>
      <w:r w:rsidR="009C0345" w:rsidRPr="00295C16">
        <w:rPr>
          <w:rFonts w:ascii="Arial" w:hAnsi="Arial" w:cs="Arial"/>
          <w:bCs/>
          <w:sz w:val="24"/>
          <w:szCs w:val="24"/>
        </w:rPr>
        <w:t xml:space="preserve"> de Fiscalización Superior del</w:t>
      </w:r>
      <w:r>
        <w:rPr>
          <w:rFonts w:ascii="Arial" w:hAnsi="Arial" w:cs="Arial"/>
          <w:bCs/>
          <w:sz w:val="24"/>
          <w:szCs w:val="24"/>
        </w:rPr>
        <w:t xml:space="preserve"> Estado de Nuevo León, respecto</w:t>
      </w:r>
      <w:r w:rsidR="009C0345" w:rsidRPr="00295C16">
        <w:rPr>
          <w:rFonts w:ascii="Arial" w:hAnsi="Arial" w:cs="Arial"/>
          <w:bCs/>
          <w:sz w:val="24"/>
          <w:szCs w:val="24"/>
        </w:rPr>
        <w:t xml:space="preserve"> a los resultados de su gestión financiera, </w:t>
      </w:r>
      <w:r>
        <w:rPr>
          <w:rFonts w:ascii="Arial" w:hAnsi="Arial" w:cs="Arial"/>
          <w:bCs/>
          <w:sz w:val="24"/>
          <w:szCs w:val="24"/>
        </w:rPr>
        <w:t xml:space="preserve">estos </w:t>
      </w:r>
      <w:r w:rsidR="009C0345" w:rsidRPr="00295C16">
        <w:rPr>
          <w:rFonts w:ascii="Arial" w:hAnsi="Arial" w:cs="Arial"/>
          <w:bCs/>
          <w:sz w:val="24"/>
          <w:szCs w:val="24"/>
        </w:rPr>
        <w:t>que se ajustaron a los criterios señalados en las Leyes</w:t>
      </w:r>
      <w:r>
        <w:rPr>
          <w:rFonts w:ascii="Arial" w:hAnsi="Arial" w:cs="Arial"/>
          <w:bCs/>
          <w:sz w:val="24"/>
          <w:szCs w:val="24"/>
        </w:rPr>
        <w:t xml:space="preserve"> de P</w:t>
      </w:r>
      <w:r w:rsidR="009C0345" w:rsidRPr="00295C16">
        <w:rPr>
          <w:rFonts w:ascii="Arial" w:hAnsi="Arial" w:cs="Arial"/>
          <w:bCs/>
          <w:sz w:val="24"/>
          <w:szCs w:val="24"/>
        </w:rPr>
        <w:t>resupuestos y demás disposiciones aplicables, así como el cumplimiento de los objetivos generales y metas de los programas y subprogramas aprobados</w:t>
      </w:r>
      <w:r w:rsidR="00E033FC">
        <w:rPr>
          <w:rFonts w:ascii="Arial" w:hAnsi="Arial" w:cs="Arial"/>
          <w:bCs/>
          <w:sz w:val="24"/>
          <w:szCs w:val="24"/>
        </w:rPr>
        <w:t>, salvo lo comentado</w:t>
      </w:r>
      <w:r>
        <w:rPr>
          <w:rFonts w:ascii="Arial" w:hAnsi="Arial" w:cs="Arial"/>
          <w:bCs/>
          <w:sz w:val="24"/>
          <w:szCs w:val="24"/>
        </w:rPr>
        <w:t xml:space="preserve"> en el a</w:t>
      </w:r>
      <w:r w:rsidR="00E033FC">
        <w:rPr>
          <w:rFonts w:ascii="Arial" w:hAnsi="Arial" w:cs="Arial"/>
          <w:bCs/>
          <w:sz w:val="24"/>
          <w:szCs w:val="24"/>
        </w:rPr>
        <w:t>partado quinto del citado Informe de resultado</w:t>
      </w:r>
      <w:r>
        <w:rPr>
          <w:rFonts w:ascii="Arial" w:hAnsi="Arial" w:cs="Arial"/>
          <w:bCs/>
          <w:sz w:val="24"/>
          <w:szCs w:val="24"/>
        </w:rPr>
        <w:t>s allegado por la Auditoría Superior</w:t>
      </w:r>
      <w:r w:rsidR="009C0345" w:rsidRPr="00295C16">
        <w:rPr>
          <w:rFonts w:ascii="Arial" w:hAnsi="Arial" w:cs="Arial"/>
          <w:bCs/>
          <w:sz w:val="24"/>
          <w:szCs w:val="24"/>
        </w:rPr>
        <w:t xml:space="preserve">. </w:t>
      </w:r>
    </w:p>
    <w:p w:rsidR="000050A4" w:rsidRPr="00295C16" w:rsidRDefault="000050A4" w:rsidP="009A7A82">
      <w:pPr>
        <w:spacing w:before="240" w:line="360" w:lineRule="auto"/>
        <w:ind w:firstLine="709"/>
        <w:jc w:val="both"/>
        <w:rPr>
          <w:rFonts w:ascii="Arial" w:hAnsi="Arial" w:cs="Arial"/>
          <w:bCs/>
          <w:sz w:val="24"/>
          <w:szCs w:val="24"/>
        </w:rPr>
      </w:pPr>
    </w:p>
    <w:p w:rsidR="009C0345" w:rsidRPr="00295C16" w:rsidRDefault="009C0345" w:rsidP="009A7A82">
      <w:pPr>
        <w:spacing w:line="360" w:lineRule="auto"/>
        <w:ind w:firstLine="708"/>
        <w:jc w:val="both"/>
        <w:rPr>
          <w:rFonts w:ascii="Arial" w:hAnsi="Arial" w:cs="Arial"/>
          <w:sz w:val="24"/>
          <w:szCs w:val="24"/>
        </w:rPr>
      </w:pPr>
      <w:r w:rsidRPr="00295C16">
        <w:rPr>
          <w:rFonts w:ascii="Arial" w:hAnsi="Arial" w:cs="Arial"/>
          <w:b/>
          <w:bCs/>
          <w:sz w:val="24"/>
          <w:szCs w:val="24"/>
        </w:rPr>
        <w:t xml:space="preserve">TERCERA: </w:t>
      </w:r>
      <w:r w:rsidRPr="00295C16">
        <w:rPr>
          <w:rFonts w:ascii="Arial" w:hAnsi="Arial" w:cs="Arial"/>
          <w:sz w:val="24"/>
          <w:szCs w:val="24"/>
        </w:rPr>
        <w:t>También tenemos que la Ley de Fiscalización Superior del Estado refiere en su artículo 19 que la fiscalización de la cuenta pública</w:t>
      </w:r>
      <w:r w:rsidR="00FA27A6">
        <w:rPr>
          <w:rFonts w:ascii="Arial" w:hAnsi="Arial" w:cs="Arial"/>
          <w:sz w:val="24"/>
          <w:szCs w:val="24"/>
        </w:rPr>
        <w:t>, establece</w:t>
      </w:r>
      <w:r w:rsidRPr="00295C16">
        <w:rPr>
          <w:rFonts w:ascii="Arial" w:hAnsi="Arial" w:cs="Arial"/>
          <w:sz w:val="24"/>
          <w:szCs w:val="24"/>
        </w:rPr>
        <w:t xml:space="preserve"> entre otros</w:t>
      </w:r>
      <w:r w:rsidR="00FA27A6">
        <w:rPr>
          <w:rFonts w:ascii="Arial" w:hAnsi="Arial" w:cs="Arial"/>
          <w:sz w:val="24"/>
          <w:szCs w:val="24"/>
        </w:rPr>
        <w:t xml:space="preserve"> objetivos, el evaluar los resultados </w:t>
      </w:r>
      <w:r w:rsidRPr="00295C16">
        <w:rPr>
          <w:rFonts w:ascii="Arial" w:hAnsi="Arial" w:cs="Arial"/>
          <w:sz w:val="24"/>
          <w:szCs w:val="24"/>
        </w:rPr>
        <w:t>de la gestión financiera por lo cual se verificará, entre otras cosas, si se cumplió con las disposiciones jurídicas aplicables en materia de registro y contabilidad gubernamental.</w:t>
      </w:r>
    </w:p>
    <w:p w:rsidR="00745B59" w:rsidRDefault="00AE1EF7" w:rsidP="009A7A82">
      <w:pPr>
        <w:spacing w:before="240" w:line="360" w:lineRule="auto"/>
        <w:ind w:firstLine="709"/>
        <w:jc w:val="both"/>
        <w:rPr>
          <w:rFonts w:ascii="Arial" w:hAnsi="Arial" w:cs="Arial"/>
          <w:sz w:val="24"/>
        </w:rPr>
      </w:pPr>
      <w:r w:rsidRPr="00295C16">
        <w:rPr>
          <w:rFonts w:ascii="Arial" w:hAnsi="Arial" w:cs="Arial"/>
          <w:b/>
          <w:bCs/>
          <w:sz w:val="24"/>
          <w:szCs w:val="24"/>
        </w:rPr>
        <w:lastRenderedPageBreak/>
        <w:t xml:space="preserve">CUARTA: </w:t>
      </w:r>
      <w:r w:rsidRPr="00295C16">
        <w:rPr>
          <w:rFonts w:ascii="Arial" w:hAnsi="Arial" w:cs="Arial"/>
          <w:sz w:val="24"/>
          <w:szCs w:val="24"/>
        </w:rPr>
        <w:t xml:space="preserve">En relación al apartado V del </w:t>
      </w:r>
      <w:r w:rsidR="00FA27A6">
        <w:rPr>
          <w:rFonts w:ascii="Arial" w:hAnsi="Arial" w:cs="Arial"/>
          <w:sz w:val="24"/>
          <w:szCs w:val="24"/>
        </w:rPr>
        <w:t>Informe de</w:t>
      </w:r>
      <w:r w:rsidR="00A77799">
        <w:rPr>
          <w:rFonts w:ascii="Arial" w:hAnsi="Arial" w:cs="Arial"/>
          <w:sz w:val="24"/>
          <w:szCs w:val="24"/>
        </w:rPr>
        <w:t xml:space="preserve"> Resultado</w:t>
      </w:r>
      <w:r w:rsidR="00FA27A6">
        <w:rPr>
          <w:rFonts w:ascii="Arial" w:hAnsi="Arial" w:cs="Arial"/>
          <w:sz w:val="24"/>
          <w:szCs w:val="24"/>
        </w:rPr>
        <w:t>s</w:t>
      </w:r>
      <w:r w:rsidRPr="00295C16">
        <w:rPr>
          <w:rFonts w:ascii="Arial" w:hAnsi="Arial" w:cs="Arial"/>
          <w:sz w:val="24"/>
          <w:szCs w:val="24"/>
        </w:rPr>
        <w:t xml:space="preserve">, </w:t>
      </w:r>
      <w:r w:rsidR="00FA27A6">
        <w:rPr>
          <w:rFonts w:ascii="Arial" w:hAnsi="Arial" w:cs="Arial"/>
          <w:sz w:val="24"/>
          <w:szCs w:val="24"/>
        </w:rPr>
        <w:t>o</w:t>
      </w:r>
      <w:r w:rsidR="001436C3" w:rsidRPr="001436C3">
        <w:rPr>
          <w:rFonts w:ascii="Arial" w:hAnsi="Arial" w:cs="Arial"/>
          <w:sz w:val="24"/>
          <w:szCs w:val="24"/>
        </w:rPr>
        <w:t>bservaciones derivadas de la revisión practicada, aclaraciones a las mismas, y su análisis por la Auditoría</w:t>
      </w:r>
      <w:r w:rsidR="00FA27A6">
        <w:rPr>
          <w:rFonts w:ascii="Arial" w:hAnsi="Arial" w:cs="Arial"/>
          <w:sz w:val="24"/>
          <w:szCs w:val="24"/>
        </w:rPr>
        <w:t xml:space="preserve"> Superior del Estado, en las que se incluyen</w:t>
      </w:r>
      <w:r w:rsidR="001436C3" w:rsidRPr="001436C3">
        <w:rPr>
          <w:rFonts w:ascii="Arial" w:hAnsi="Arial" w:cs="Arial"/>
          <w:sz w:val="24"/>
          <w:szCs w:val="24"/>
        </w:rPr>
        <w:t xml:space="preserve"> las acciones que se ejercerán y recomendaciones que se formularán</w:t>
      </w:r>
      <w:r w:rsidR="00FA41EB">
        <w:rPr>
          <w:rFonts w:ascii="Arial" w:hAnsi="Arial" w:cs="Arial"/>
          <w:sz w:val="24"/>
          <w:szCs w:val="24"/>
        </w:rPr>
        <w:t>,</w:t>
      </w:r>
      <w:r w:rsidR="007F779D" w:rsidRPr="00295C16">
        <w:rPr>
          <w:rFonts w:ascii="Arial" w:hAnsi="Arial" w:cs="Arial"/>
          <w:sz w:val="24"/>
          <w:szCs w:val="24"/>
        </w:rPr>
        <w:t xml:space="preserve"> </w:t>
      </w:r>
      <w:r w:rsidR="00FE335D">
        <w:rPr>
          <w:rFonts w:ascii="Arial" w:hAnsi="Arial" w:cs="Arial"/>
          <w:sz w:val="24"/>
          <w:szCs w:val="24"/>
        </w:rPr>
        <w:t>se observan algunas</w:t>
      </w:r>
      <w:r w:rsidR="007F779D" w:rsidRPr="00295C16">
        <w:rPr>
          <w:rFonts w:ascii="Arial" w:hAnsi="Arial" w:cs="Arial"/>
          <w:sz w:val="24"/>
          <w:szCs w:val="24"/>
        </w:rPr>
        <w:t xml:space="preserve"> </w:t>
      </w:r>
      <w:r w:rsidR="00843912">
        <w:rPr>
          <w:rFonts w:ascii="Arial" w:hAnsi="Arial" w:cs="Arial"/>
          <w:sz w:val="24"/>
          <w:szCs w:val="24"/>
        </w:rPr>
        <w:t>observaciones de</w:t>
      </w:r>
      <w:r w:rsidR="00FA27A6">
        <w:rPr>
          <w:rFonts w:ascii="Arial" w:hAnsi="Arial" w:cs="Arial"/>
          <w:sz w:val="24"/>
          <w:szCs w:val="24"/>
        </w:rPr>
        <w:t xml:space="preserve"> carácter administrativo.</w:t>
      </w:r>
      <w:r w:rsidR="00FE335D">
        <w:rPr>
          <w:rFonts w:ascii="Arial" w:hAnsi="Arial" w:cs="Arial"/>
          <w:sz w:val="24"/>
          <w:szCs w:val="24"/>
        </w:rPr>
        <w:t xml:space="preserve"> </w:t>
      </w:r>
    </w:p>
    <w:p w:rsidR="00975896" w:rsidRPr="00975896" w:rsidRDefault="00E72928" w:rsidP="009A7A82">
      <w:pPr>
        <w:spacing w:after="0" w:line="360" w:lineRule="auto"/>
        <w:ind w:firstLine="708"/>
        <w:jc w:val="both"/>
        <w:rPr>
          <w:rFonts w:ascii="Arial" w:hAnsi="Arial" w:cs="Arial"/>
          <w:sz w:val="24"/>
          <w:szCs w:val="24"/>
        </w:rPr>
      </w:pPr>
      <w:r>
        <w:rPr>
          <w:rFonts w:ascii="Arial" w:hAnsi="Arial" w:cs="Arial"/>
          <w:b/>
          <w:sz w:val="24"/>
          <w:szCs w:val="24"/>
        </w:rPr>
        <w:t>QUINTA</w:t>
      </w:r>
      <w:r w:rsidR="00975896" w:rsidRPr="00975896">
        <w:rPr>
          <w:rFonts w:ascii="Arial" w:hAnsi="Arial" w:cs="Arial"/>
          <w:b/>
          <w:sz w:val="24"/>
          <w:szCs w:val="24"/>
        </w:rPr>
        <w:t>:</w:t>
      </w:r>
      <w:r w:rsidR="00975896" w:rsidRPr="00975896">
        <w:rPr>
          <w:rFonts w:ascii="Arial" w:hAnsi="Arial" w:cs="Arial"/>
          <w:sz w:val="24"/>
          <w:szCs w:val="24"/>
        </w:rPr>
        <w:t xml:space="preserve"> </w:t>
      </w:r>
      <w:r>
        <w:rPr>
          <w:rFonts w:ascii="Arial" w:hAnsi="Arial" w:cs="Arial"/>
          <w:sz w:val="24"/>
          <w:szCs w:val="24"/>
        </w:rPr>
        <w:t>L</w:t>
      </w:r>
      <w:r w:rsidR="00FA27A6">
        <w:rPr>
          <w:rFonts w:ascii="Arial" w:hAnsi="Arial" w:cs="Arial"/>
          <w:sz w:val="24"/>
          <w:szCs w:val="24"/>
        </w:rPr>
        <w:t>a Auditoría</w:t>
      </w:r>
      <w:r>
        <w:rPr>
          <w:rFonts w:ascii="Arial" w:hAnsi="Arial" w:cs="Arial"/>
          <w:sz w:val="24"/>
          <w:szCs w:val="24"/>
        </w:rPr>
        <w:t xml:space="preserve"> nos informa también</w:t>
      </w:r>
      <w:r w:rsidR="00FA27A6">
        <w:rPr>
          <w:rFonts w:ascii="Arial" w:hAnsi="Arial" w:cs="Arial"/>
          <w:sz w:val="24"/>
          <w:szCs w:val="24"/>
        </w:rPr>
        <w:t xml:space="preserve"> que </w:t>
      </w:r>
      <w:r w:rsidR="007F5756" w:rsidRPr="00975896">
        <w:rPr>
          <w:rFonts w:ascii="Arial" w:hAnsi="Arial" w:cs="Arial"/>
          <w:sz w:val="24"/>
          <w:szCs w:val="24"/>
        </w:rPr>
        <w:t>respecto al</w:t>
      </w:r>
      <w:r w:rsidR="00FA27A6">
        <w:rPr>
          <w:rFonts w:ascii="Arial" w:hAnsi="Arial" w:cs="Arial"/>
          <w:sz w:val="24"/>
          <w:szCs w:val="24"/>
        </w:rPr>
        <w:t xml:space="preserve"> trámite y resultados obtenidos, </w:t>
      </w:r>
      <w:r w:rsidR="007F5756" w:rsidRPr="00975896">
        <w:rPr>
          <w:rFonts w:ascii="Arial" w:hAnsi="Arial" w:cs="Arial"/>
          <w:sz w:val="24"/>
          <w:szCs w:val="24"/>
        </w:rPr>
        <w:t xml:space="preserve">derivados de las solicitudes formuladas </w:t>
      </w:r>
      <w:r>
        <w:rPr>
          <w:rFonts w:ascii="Arial" w:hAnsi="Arial" w:cs="Arial"/>
          <w:sz w:val="24"/>
          <w:szCs w:val="24"/>
        </w:rPr>
        <w:t xml:space="preserve">que en su </w:t>
      </w:r>
      <w:r w:rsidR="00843912">
        <w:rPr>
          <w:rFonts w:ascii="Arial" w:hAnsi="Arial" w:cs="Arial"/>
          <w:sz w:val="24"/>
          <w:szCs w:val="24"/>
        </w:rPr>
        <w:t xml:space="preserve">caso </w:t>
      </w:r>
      <w:r w:rsidR="00843912" w:rsidRPr="00975896">
        <w:rPr>
          <w:rFonts w:ascii="Arial" w:hAnsi="Arial" w:cs="Arial"/>
          <w:sz w:val="24"/>
          <w:szCs w:val="24"/>
        </w:rPr>
        <w:t>el</w:t>
      </w:r>
      <w:r w:rsidR="007F5756" w:rsidRPr="00975896">
        <w:rPr>
          <w:rFonts w:ascii="Arial" w:hAnsi="Arial" w:cs="Arial"/>
          <w:sz w:val="24"/>
          <w:szCs w:val="24"/>
        </w:rPr>
        <w:t xml:space="preserve"> Congreso del Estado</w:t>
      </w:r>
      <w:r>
        <w:rPr>
          <w:rFonts w:ascii="Arial" w:hAnsi="Arial" w:cs="Arial"/>
          <w:sz w:val="24"/>
          <w:szCs w:val="24"/>
        </w:rPr>
        <w:t xml:space="preserve"> considerara necesarias solicitar para ser atendidas en el proceso de auditoría que se realizó al Fideicomiso, es de destacar que </w:t>
      </w:r>
      <w:r w:rsidRPr="00F10A38">
        <w:rPr>
          <w:rFonts w:ascii="Arial" w:hAnsi="Arial" w:cs="Arial"/>
          <w:sz w:val="24"/>
          <w:szCs w:val="24"/>
        </w:rPr>
        <w:t xml:space="preserve">no se presentaron diligencias al respecto. </w:t>
      </w:r>
      <w:r w:rsidR="00FA27A6" w:rsidRPr="00F10A38">
        <w:rPr>
          <w:rFonts w:ascii="Arial" w:hAnsi="Arial" w:cs="Arial"/>
          <w:sz w:val="24"/>
          <w:szCs w:val="24"/>
        </w:rPr>
        <w:t xml:space="preserve"> </w:t>
      </w:r>
    </w:p>
    <w:p w:rsidR="00975896" w:rsidRPr="00EB01DD" w:rsidRDefault="00975896" w:rsidP="009A7A82">
      <w:pPr>
        <w:spacing w:after="0" w:line="360" w:lineRule="auto"/>
        <w:ind w:left="708" w:firstLine="708"/>
        <w:jc w:val="both"/>
        <w:rPr>
          <w:rFonts w:ascii="Arial" w:hAnsi="Arial" w:cs="Arial"/>
        </w:rPr>
      </w:pPr>
    </w:p>
    <w:p w:rsidR="007F5756" w:rsidRPr="007F5756" w:rsidRDefault="00975896" w:rsidP="009A7A82">
      <w:pPr>
        <w:autoSpaceDE w:val="0"/>
        <w:autoSpaceDN w:val="0"/>
        <w:adjustRightInd w:val="0"/>
        <w:spacing w:after="0" w:line="360" w:lineRule="auto"/>
        <w:ind w:firstLine="708"/>
        <w:jc w:val="both"/>
        <w:rPr>
          <w:rFonts w:ascii="Arial" w:hAnsi="Arial" w:cs="Arial"/>
          <w:sz w:val="24"/>
          <w:szCs w:val="24"/>
        </w:rPr>
      </w:pPr>
      <w:r w:rsidRPr="00E72928">
        <w:rPr>
          <w:rFonts w:ascii="Arial" w:hAnsi="Arial" w:cs="Arial"/>
          <w:b/>
          <w:sz w:val="24"/>
          <w:szCs w:val="24"/>
        </w:rPr>
        <w:t>SEXTA:</w:t>
      </w:r>
      <w:r w:rsidRPr="00EB01DD">
        <w:rPr>
          <w:rFonts w:ascii="Arial" w:hAnsi="Arial" w:cs="Arial"/>
          <w:b/>
        </w:rPr>
        <w:t xml:space="preserve"> </w:t>
      </w:r>
      <w:r w:rsidR="007F5756" w:rsidRPr="007F5756">
        <w:rPr>
          <w:rFonts w:ascii="Arial" w:hAnsi="Arial" w:cs="Arial"/>
          <w:sz w:val="24"/>
          <w:szCs w:val="24"/>
        </w:rPr>
        <w:t>Adicionalmente</w:t>
      </w:r>
      <w:r w:rsidR="00E72928">
        <w:rPr>
          <w:rFonts w:ascii="Arial" w:hAnsi="Arial" w:cs="Arial"/>
          <w:sz w:val="24"/>
          <w:szCs w:val="24"/>
        </w:rPr>
        <w:t>,</w:t>
      </w:r>
      <w:r w:rsidR="007F5756" w:rsidRPr="007F5756">
        <w:rPr>
          <w:rFonts w:ascii="Arial" w:hAnsi="Arial" w:cs="Arial"/>
          <w:sz w:val="24"/>
          <w:szCs w:val="24"/>
        </w:rPr>
        <w:t xml:space="preserve"> se nos informa que durante </w:t>
      </w:r>
      <w:r w:rsidR="00F072A9">
        <w:rPr>
          <w:rFonts w:ascii="Arial" w:hAnsi="Arial" w:cs="Arial"/>
          <w:sz w:val="24"/>
          <w:szCs w:val="24"/>
        </w:rPr>
        <w:t>el ejercicio 201</w:t>
      </w:r>
      <w:r w:rsidR="00BD6E87">
        <w:rPr>
          <w:rFonts w:ascii="Arial" w:hAnsi="Arial" w:cs="Arial"/>
          <w:sz w:val="24"/>
          <w:szCs w:val="24"/>
        </w:rPr>
        <w:t>5</w:t>
      </w:r>
      <w:r w:rsidR="007F779D">
        <w:rPr>
          <w:rFonts w:ascii="Arial" w:hAnsi="Arial" w:cs="Arial"/>
          <w:sz w:val="24"/>
          <w:szCs w:val="24"/>
        </w:rPr>
        <w:t xml:space="preserve">, </w:t>
      </w:r>
      <w:r w:rsidR="007F5756" w:rsidRPr="007F5756">
        <w:rPr>
          <w:rFonts w:ascii="Arial" w:hAnsi="Arial" w:cs="Arial"/>
          <w:sz w:val="24"/>
          <w:szCs w:val="24"/>
        </w:rPr>
        <w:t>no se recibieron solicitudes de revisión de situaciones excepcionales en relación a la cuenta pública</w:t>
      </w:r>
      <w:r w:rsidR="00E72928">
        <w:rPr>
          <w:rFonts w:ascii="Arial" w:hAnsi="Arial" w:cs="Arial"/>
          <w:sz w:val="24"/>
          <w:szCs w:val="24"/>
        </w:rPr>
        <w:t xml:space="preserve"> del Fideicomiso</w:t>
      </w:r>
      <w:r w:rsidR="007F5756" w:rsidRPr="007F5756">
        <w:rPr>
          <w:rFonts w:ascii="Arial" w:hAnsi="Arial" w:cs="Arial"/>
          <w:sz w:val="24"/>
          <w:szCs w:val="24"/>
        </w:rPr>
        <w:t xml:space="preserve"> </w:t>
      </w:r>
      <w:r w:rsidR="00E72928">
        <w:rPr>
          <w:rFonts w:ascii="Arial" w:hAnsi="Arial" w:cs="Arial"/>
          <w:sz w:val="24"/>
          <w:szCs w:val="24"/>
        </w:rPr>
        <w:t>auditado.</w:t>
      </w:r>
    </w:p>
    <w:p w:rsidR="007F5756" w:rsidRPr="007F5756" w:rsidRDefault="007F5756" w:rsidP="009A7A82">
      <w:pPr>
        <w:autoSpaceDE w:val="0"/>
        <w:autoSpaceDN w:val="0"/>
        <w:adjustRightInd w:val="0"/>
        <w:spacing w:after="0" w:line="360" w:lineRule="auto"/>
        <w:ind w:firstLine="708"/>
        <w:jc w:val="both"/>
        <w:rPr>
          <w:rFonts w:ascii="Arial" w:hAnsi="Arial" w:cs="Arial"/>
          <w:sz w:val="24"/>
          <w:szCs w:val="24"/>
        </w:rPr>
      </w:pPr>
    </w:p>
    <w:p w:rsidR="00807DB8" w:rsidRDefault="00E72928" w:rsidP="00807DB8">
      <w:pPr>
        <w:spacing w:after="0" w:line="360" w:lineRule="auto"/>
        <w:ind w:firstLine="708"/>
        <w:jc w:val="both"/>
        <w:rPr>
          <w:rFonts w:ascii="Arial" w:hAnsi="Arial" w:cs="Arial"/>
          <w:sz w:val="24"/>
          <w:szCs w:val="24"/>
        </w:rPr>
      </w:pPr>
      <w:r>
        <w:rPr>
          <w:rFonts w:ascii="Arial" w:hAnsi="Arial" w:cs="Arial"/>
          <w:b/>
          <w:sz w:val="24"/>
          <w:szCs w:val="24"/>
        </w:rPr>
        <w:t>SEPTIMA</w:t>
      </w:r>
      <w:r w:rsidR="00975896" w:rsidRPr="007F779D">
        <w:rPr>
          <w:rFonts w:ascii="Arial" w:hAnsi="Arial" w:cs="Arial"/>
          <w:b/>
          <w:sz w:val="24"/>
          <w:szCs w:val="24"/>
        </w:rPr>
        <w:t>:</w:t>
      </w:r>
      <w:r w:rsidR="00975896" w:rsidRPr="00975896">
        <w:rPr>
          <w:rFonts w:ascii="Arial" w:hAnsi="Arial" w:cs="Arial"/>
          <w:sz w:val="24"/>
          <w:szCs w:val="24"/>
        </w:rPr>
        <w:t xml:space="preserve"> Ahora bien, queda por resolver sobre la aprobación o rechazo de la cuenta que nos ocupa, a cuyo efecto debemos considerar, en su caso, si las irregularidades detectadas durante la revisión rompen con la razonabilidad que exige el manejo, custodia y aplicación de los ingresos, egresos, fondos y en g</w:t>
      </w:r>
      <w:r>
        <w:rPr>
          <w:rFonts w:ascii="Arial" w:hAnsi="Arial" w:cs="Arial"/>
          <w:sz w:val="24"/>
          <w:szCs w:val="24"/>
        </w:rPr>
        <w:t>eneral de los recursos públicos ejercidos,</w:t>
      </w:r>
      <w:r w:rsidR="00975896" w:rsidRPr="00975896">
        <w:rPr>
          <w:rFonts w:ascii="Arial" w:hAnsi="Arial" w:cs="Arial"/>
          <w:sz w:val="24"/>
          <w:szCs w:val="24"/>
        </w:rPr>
        <w:t xml:space="preserve"> así como el cumplimiento de los programa</w:t>
      </w:r>
      <w:r>
        <w:rPr>
          <w:rFonts w:ascii="Arial" w:hAnsi="Arial" w:cs="Arial"/>
          <w:sz w:val="24"/>
          <w:szCs w:val="24"/>
        </w:rPr>
        <w:t>s propios de la Administración P</w:t>
      </w:r>
      <w:r w:rsidR="00975896" w:rsidRPr="00975896">
        <w:rPr>
          <w:rFonts w:ascii="Arial" w:hAnsi="Arial" w:cs="Arial"/>
          <w:sz w:val="24"/>
          <w:szCs w:val="24"/>
        </w:rPr>
        <w:t>ública</w:t>
      </w:r>
      <w:r w:rsidR="008A287D">
        <w:rPr>
          <w:rFonts w:ascii="Arial" w:hAnsi="Arial" w:cs="Arial"/>
          <w:sz w:val="24"/>
          <w:szCs w:val="24"/>
        </w:rPr>
        <w:t xml:space="preserve"> y de la normativa que le es aplicable </w:t>
      </w:r>
      <w:r>
        <w:rPr>
          <w:rFonts w:ascii="Arial" w:hAnsi="Arial" w:cs="Arial"/>
          <w:bCs/>
          <w:sz w:val="24"/>
          <w:szCs w:val="24"/>
        </w:rPr>
        <w:t xml:space="preserve">al </w:t>
      </w:r>
      <w:r>
        <w:rPr>
          <w:rFonts w:ascii="Arial" w:hAnsi="Arial" w:cs="Arial"/>
          <w:b/>
          <w:bCs/>
          <w:sz w:val="24"/>
          <w:szCs w:val="24"/>
        </w:rPr>
        <w:t xml:space="preserve">Fideicomiso </w:t>
      </w:r>
      <w:r w:rsidR="000050A4">
        <w:rPr>
          <w:rFonts w:ascii="Arial" w:hAnsi="Arial" w:cs="Arial"/>
          <w:b/>
          <w:bCs/>
          <w:sz w:val="24"/>
          <w:szCs w:val="24"/>
        </w:rPr>
        <w:t>Fondo para la Vivienda de los Trabajadores del Estado.</w:t>
      </w:r>
    </w:p>
    <w:p w:rsidR="00807DB8" w:rsidRDefault="00807DB8" w:rsidP="00807DB8">
      <w:pPr>
        <w:spacing w:after="0" w:line="360" w:lineRule="auto"/>
        <w:ind w:firstLine="708"/>
        <w:jc w:val="both"/>
        <w:rPr>
          <w:rFonts w:ascii="Arial" w:hAnsi="Arial" w:cs="Arial"/>
          <w:sz w:val="24"/>
          <w:szCs w:val="24"/>
        </w:rPr>
      </w:pPr>
    </w:p>
    <w:p w:rsidR="00E55433" w:rsidRDefault="00E55433" w:rsidP="00807DB8">
      <w:pPr>
        <w:spacing w:after="0" w:line="360" w:lineRule="auto"/>
        <w:ind w:firstLine="708"/>
        <w:jc w:val="both"/>
        <w:rPr>
          <w:rFonts w:ascii="Arial" w:hAnsi="Arial" w:cs="Arial"/>
          <w:sz w:val="24"/>
          <w:szCs w:val="24"/>
        </w:rPr>
      </w:pPr>
      <w:r>
        <w:rPr>
          <w:rFonts w:ascii="Arial" w:hAnsi="Arial" w:cs="Arial"/>
          <w:sz w:val="24"/>
          <w:szCs w:val="24"/>
        </w:rPr>
        <w:lastRenderedPageBreak/>
        <w:t>En general en el desarrollo de la actividad financiera y el cumplimiento de la normativ</w:t>
      </w:r>
      <w:r w:rsidR="00E82188">
        <w:rPr>
          <w:rFonts w:ascii="Arial" w:hAnsi="Arial" w:cs="Arial"/>
          <w:sz w:val="24"/>
          <w:szCs w:val="24"/>
        </w:rPr>
        <w:t>id</w:t>
      </w:r>
      <w:r>
        <w:rPr>
          <w:rFonts w:ascii="Arial" w:hAnsi="Arial" w:cs="Arial"/>
          <w:sz w:val="24"/>
          <w:szCs w:val="24"/>
        </w:rPr>
        <w:t>a</w:t>
      </w:r>
      <w:r w:rsidR="00E82188">
        <w:rPr>
          <w:rFonts w:ascii="Arial" w:hAnsi="Arial" w:cs="Arial"/>
          <w:sz w:val="24"/>
          <w:szCs w:val="24"/>
        </w:rPr>
        <w:t>d</w:t>
      </w:r>
      <w:r>
        <w:rPr>
          <w:rFonts w:ascii="Arial" w:hAnsi="Arial" w:cs="Arial"/>
          <w:sz w:val="24"/>
          <w:szCs w:val="24"/>
        </w:rPr>
        <w:t xml:space="preserve"> que </w:t>
      </w:r>
      <w:r w:rsidR="00E82188">
        <w:rPr>
          <w:rFonts w:ascii="Arial" w:hAnsi="Arial" w:cs="Arial"/>
          <w:sz w:val="24"/>
          <w:szCs w:val="24"/>
        </w:rPr>
        <w:t>debe atender</w:t>
      </w:r>
      <w:r>
        <w:rPr>
          <w:rFonts w:ascii="Arial" w:hAnsi="Arial" w:cs="Arial"/>
          <w:sz w:val="24"/>
          <w:szCs w:val="24"/>
        </w:rPr>
        <w:t xml:space="preserve"> </w:t>
      </w:r>
      <w:r w:rsidR="000050A4">
        <w:rPr>
          <w:rFonts w:ascii="Arial" w:hAnsi="Arial" w:cs="Arial"/>
          <w:sz w:val="24"/>
          <w:szCs w:val="24"/>
        </w:rPr>
        <w:t>ese</w:t>
      </w:r>
      <w:r w:rsidR="00E82188">
        <w:rPr>
          <w:rFonts w:ascii="Arial" w:hAnsi="Arial" w:cs="Arial"/>
          <w:sz w:val="24"/>
          <w:szCs w:val="24"/>
        </w:rPr>
        <w:t xml:space="preserve"> Fideicomiso</w:t>
      </w:r>
      <w:r>
        <w:rPr>
          <w:rFonts w:ascii="Arial" w:hAnsi="Arial" w:cs="Arial"/>
          <w:sz w:val="24"/>
          <w:szCs w:val="24"/>
        </w:rPr>
        <w:t>,</w:t>
      </w:r>
      <w:r w:rsidR="007F779D">
        <w:rPr>
          <w:rFonts w:ascii="Arial" w:hAnsi="Arial" w:cs="Arial"/>
          <w:sz w:val="24"/>
          <w:szCs w:val="24"/>
        </w:rPr>
        <w:t xml:space="preserve"> ha sido de acuerdo a los Normas de Información Financiera aplicables</w:t>
      </w:r>
      <w:r>
        <w:rPr>
          <w:rFonts w:ascii="Arial" w:hAnsi="Arial" w:cs="Arial"/>
          <w:sz w:val="24"/>
          <w:szCs w:val="24"/>
        </w:rPr>
        <w:t xml:space="preserve">. </w:t>
      </w:r>
    </w:p>
    <w:p w:rsidR="00807DB8" w:rsidRDefault="00807DB8" w:rsidP="00807DB8">
      <w:pPr>
        <w:spacing w:after="0" w:line="360" w:lineRule="auto"/>
        <w:ind w:firstLine="708"/>
        <w:jc w:val="both"/>
        <w:rPr>
          <w:rFonts w:ascii="Arial" w:hAnsi="Arial" w:cs="Arial"/>
          <w:sz w:val="24"/>
          <w:szCs w:val="24"/>
        </w:rPr>
      </w:pPr>
    </w:p>
    <w:p w:rsidR="00831D49" w:rsidRPr="00E82188" w:rsidRDefault="00C41E1F" w:rsidP="00E82188">
      <w:pPr>
        <w:spacing w:after="0" w:line="360" w:lineRule="auto"/>
        <w:ind w:firstLine="708"/>
        <w:jc w:val="both"/>
        <w:rPr>
          <w:rFonts w:ascii="Arial" w:hAnsi="Arial" w:cs="Arial"/>
          <w:sz w:val="24"/>
          <w:szCs w:val="24"/>
        </w:rPr>
      </w:pPr>
      <w:r w:rsidRPr="00C41E1F">
        <w:rPr>
          <w:rFonts w:ascii="Arial" w:hAnsi="Arial" w:cs="Arial"/>
          <w:sz w:val="24"/>
          <w:szCs w:val="24"/>
        </w:rPr>
        <w:t>Quienes integramos la</w:t>
      </w:r>
      <w:r w:rsidR="00807DB8">
        <w:rPr>
          <w:rFonts w:ascii="Arial" w:hAnsi="Arial" w:cs="Arial"/>
          <w:sz w:val="24"/>
          <w:szCs w:val="24"/>
        </w:rPr>
        <w:t xml:space="preserve"> presente C</w:t>
      </w:r>
      <w:r w:rsidRPr="00C41E1F">
        <w:rPr>
          <w:rFonts w:ascii="Arial" w:hAnsi="Arial" w:cs="Arial"/>
          <w:sz w:val="24"/>
          <w:szCs w:val="24"/>
        </w:rPr>
        <w:t>omisión de análisis y dictamen legislativo observamos que en el desarrollo de las operaciones financieras y gasto público,</w:t>
      </w:r>
      <w:r w:rsidR="00E82188">
        <w:rPr>
          <w:rFonts w:ascii="Arial" w:hAnsi="Arial" w:cs="Arial"/>
          <w:sz w:val="24"/>
          <w:szCs w:val="24"/>
        </w:rPr>
        <w:t xml:space="preserve"> el</w:t>
      </w:r>
      <w:r w:rsidRPr="00C41E1F">
        <w:rPr>
          <w:rFonts w:ascii="Arial" w:hAnsi="Arial" w:cs="Arial"/>
          <w:sz w:val="24"/>
          <w:szCs w:val="24"/>
        </w:rPr>
        <w:t xml:space="preserve"> </w:t>
      </w:r>
      <w:r w:rsidR="000050A4">
        <w:rPr>
          <w:rFonts w:ascii="Arial" w:hAnsi="Arial" w:cs="Arial"/>
          <w:bCs/>
          <w:sz w:val="24"/>
          <w:szCs w:val="24"/>
        </w:rPr>
        <w:t xml:space="preserve">al </w:t>
      </w:r>
      <w:r w:rsidR="000050A4">
        <w:rPr>
          <w:rFonts w:ascii="Arial" w:hAnsi="Arial" w:cs="Arial"/>
          <w:b/>
          <w:bCs/>
          <w:sz w:val="24"/>
          <w:szCs w:val="24"/>
        </w:rPr>
        <w:t>Fideicomiso Fondo para la Vivienda de los Trabajadores del Estado,</w:t>
      </w:r>
      <w:r w:rsidR="000050A4">
        <w:rPr>
          <w:rFonts w:ascii="Arial" w:hAnsi="Arial" w:cs="Arial"/>
          <w:sz w:val="24"/>
          <w:szCs w:val="24"/>
        </w:rPr>
        <w:t xml:space="preserve"> ejerció</w:t>
      </w:r>
      <w:r w:rsidRPr="00C41E1F">
        <w:rPr>
          <w:rFonts w:ascii="Arial" w:hAnsi="Arial" w:cs="Arial"/>
          <w:sz w:val="24"/>
          <w:szCs w:val="24"/>
        </w:rPr>
        <w:t xml:space="preserve"> los controles y prácticas administrativas adecuadas para el mejor desempeño y ejercicio de los recursos públicos,</w:t>
      </w:r>
      <w:r w:rsidR="00E82188">
        <w:rPr>
          <w:rFonts w:ascii="Arial" w:hAnsi="Arial" w:cs="Arial"/>
          <w:sz w:val="24"/>
          <w:szCs w:val="24"/>
        </w:rPr>
        <w:t xml:space="preserve"> en virtud de ello,</w:t>
      </w:r>
      <w:r w:rsidRPr="00C41E1F">
        <w:rPr>
          <w:rFonts w:ascii="Arial" w:hAnsi="Arial" w:cs="Arial"/>
          <w:sz w:val="24"/>
          <w:szCs w:val="24"/>
        </w:rPr>
        <w:t xml:space="preserve"> se propone la aprobación de la Cuenta Pública</w:t>
      </w:r>
      <w:r w:rsidR="00E82188">
        <w:rPr>
          <w:rFonts w:ascii="Arial" w:hAnsi="Arial" w:cs="Arial"/>
          <w:sz w:val="24"/>
          <w:szCs w:val="24"/>
        </w:rPr>
        <w:t xml:space="preserve"> de mérito</w:t>
      </w:r>
      <w:r w:rsidRPr="00C41E1F">
        <w:rPr>
          <w:rFonts w:ascii="Arial" w:hAnsi="Arial" w:cs="Arial"/>
          <w:sz w:val="24"/>
          <w:szCs w:val="24"/>
        </w:rPr>
        <w:t xml:space="preserve"> correspondiente al ejercicio</w:t>
      </w:r>
      <w:r w:rsidR="00E82188">
        <w:rPr>
          <w:rFonts w:ascii="Arial" w:hAnsi="Arial" w:cs="Arial"/>
          <w:sz w:val="24"/>
          <w:szCs w:val="24"/>
        </w:rPr>
        <w:t xml:space="preserve"> fiscal</w:t>
      </w:r>
      <w:r w:rsidRPr="00C41E1F">
        <w:rPr>
          <w:rFonts w:ascii="Arial" w:hAnsi="Arial" w:cs="Arial"/>
          <w:sz w:val="24"/>
          <w:szCs w:val="24"/>
        </w:rPr>
        <w:t xml:space="preserve"> 201</w:t>
      </w:r>
      <w:r w:rsidR="00BD6E87">
        <w:rPr>
          <w:rFonts w:ascii="Arial" w:hAnsi="Arial" w:cs="Arial"/>
          <w:sz w:val="24"/>
          <w:szCs w:val="24"/>
        </w:rPr>
        <w:t>5</w:t>
      </w:r>
      <w:r w:rsidRPr="00C41E1F">
        <w:rPr>
          <w:rFonts w:ascii="Arial" w:hAnsi="Arial" w:cs="Arial"/>
          <w:sz w:val="24"/>
          <w:szCs w:val="24"/>
        </w:rPr>
        <w:t>.</w:t>
      </w:r>
    </w:p>
    <w:p w:rsidR="00975896" w:rsidRDefault="00975896" w:rsidP="009A7A82">
      <w:pPr>
        <w:spacing w:before="240" w:line="360" w:lineRule="auto"/>
        <w:ind w:firstLine="709"/>
        <w:jc w:val="both"/>
        <w:rPr>
          <w:rFonts w:ascii="Arial" w:hAnsi="Arial" w:cs="Arial"/>
          <w:sz w:val="24"/>
          <w:szCs w:val="24"/>
        </w:rPr>
      </w:pPr>
      <w:r w:rsidRPr="00975896">
        <w:rPr>
          <w:rFonts w:ascii="Arial" w:hAnsi="Arial" w:cs="Arial"/>
          <w:sz w:val="24"/>
          <w:szCs w:val="24"/>
        </w:rPr>
        <w:t>Por</w:t>
      </w:r>
      <w:r w:rsidR="007E6300">
        <w:rPr>
          <w:rFonts w:ascii="Arial" w:hAnsi="Arial" w:cs="Arial"/>
          <w:sz w:val="24"/>
          <w:szCs w:val="24"/>
        </w:rPr>
        <w:t xml:space="preserve"> ello, sometemos a la consideración del Pleno de esta Asamblea Legislativa el siguiente proyecto de:</w:t>
      </w:r>
    </w:p>
    <w:p w:rsidR="000050A4" w:rsidRDefault="000050A4" w:rsidP="000050A4">
      <w:pPr>
        <w:pStyle w:val="Prrafodelista"/>
        <w:spacing w:before="240" w:line="360" w:lineRule="auto"/>
        <w:ind w:left="2880"/>
        <w:rPr>
          <w:rFonts w:ascii="Arial" w:hAnsi="Arial" w:cs="Arial"/>
          <w:b/>
          <w:sz w:val="24"/>
          <w:szCs w:val="24"/>
        </w:rPr>
      </w:pPr>
      <w:r>
        <w:rPr>
          <w:rFonts w:ascii="Arial" w:hAnsi="Arial" w:cs="Arial"/>
          <w:b/>
          <w:sz w:val="24"/>
          <w:szCs w:val="24"/>
        </w:rPr>
        <w:t>A C U E R D O</w:t>
      </w:r>
    </w:p>
    <w:p w:rsidR="000050A4" w:rsidRDefault="000050A4" w:rsidP="000050A4">
      <w:pPr>
        <w:spacing w:after="0" w:line="360" w:lineRule="auto"/>
        <w:ind w:firstLine="708"/>
        <w:jc w:val="both"/>
        <w:rPr>
          <w:rFonts w:ascii="Arial" w:hAnsi="Arial" w:cs="Arial"/>
          <w:sz w:val="24"/>
          <w:szCs w:val="24"/>
        </w:rPr>
      </w:pPr>
      <w:r>
        <w:rPr>
          <w:rFonts w:ascii="Arial" w:hAnsi="Arial" w:cs="Arial"/>
          <w:b/>
          <w:bCs/>
          <w:sz w:val="24"/>
          <w:szCs w:val="24"/>
        </w:rPr>
        <w:t xml:space="preserve">PRIMERO.- </w:t>
      </w:r>
      <w:r>
        <w:rPr>
          <w:rFonts w:ascii="Arial" w:hAnsi="Arial" w:cs="Arial"/>
          <w:bCs/>
          <w:sz w:val="24"/>
          <w:szCs w:val="24"/>
        </w:rPr>
        <w:t>Se tiene por recibido y analizado en tiempo y forma el Informe del Resultado de</w:t>
      </w:r>
      <w:r w:rsidR="00A764C2">
        <w:rPr>
          <w:rFonts w:ascii="Arial" w:hAnsi="Arial" w:cs="Arial"/>
          <w:bCs/>
          <w:sz w:val="24"/>
          <w:szCs w:val="24"/>
        </w:rPr>
        <w:t xml:space="preserve"> la revisión </w:t>
      </w:r>
      <w:r>
        <w:rPr>
          <w:rFonts w:ascii="Arial" w:hAnsi="Arial" w:cs="Arial"/>
          <w:bCs/>
          <w:sz w:val="24"/>
          <w:szCs w:val="24"/>
        </w:rPr>
        <w:t xml:space="preserve">la Cuenta </w:t>
      </w:r>
      <w:r w:rsidR="00BD6E87">
        <w:rPr>
          <w:rFonts w:ascii="Arial" w:hAnsi="Arial" w:cs="Arial"/>
          <w:bCs/>
          <w:sz w:val="24"/>
          <w:szCs w:val="24"/>
        </w:rPr>
        <w:t>Pública 2015</w:t>
      </w:r>
      <w:r>
        <w:rPr>
          <w:rFonts w:ascii="Arial" w:hAnsi="Arial" w:cs="Arial"/>
          <w:bCs/>
          <w:sz w:val="24"/>
          <w:szCs w:val="24"/>
        </w:rPr>
        <w:t xml:space="preserve">, del </w:t>
      </w:r>
      <w:r w:rsidRPr="00833E1F">
        <w:rPr>
          <w:rFonts w:ascii="Arial" w:hAnsi="Arial" w:cs="Arial"/>
          <w:b/>
          <w:sz w:val="24"/>
        </w:rPr>
        <w:t>FIDEICOMISO FONDO PARA LA VIVIENDA PARA LOS TRABAJADORES DE LA EDUCACIÓN</w:t>
      </w:r>
      <w:r>
        <w:rPr>
          <w:rFonts w:ascii="Arial" w:hAnsi="Arial" w:cs="Arial"/>
          <w:b/>
          <w:bCs/>
          <w:sz w:val="24"/>
          <w:szCs w:val="24"/>
        </w:rPr>
        <w:t>.</w:t>
      </w:r>
      <w:r>
        <w:rPr>
          <w:rFonts w:ascii="Arial" w:hAnsi="Arial" w:cs="Arial"/>
          <w:sz w:val="24"/>
          <w:szCs w:val="24"/>
        </w:rPr>
        <w:t xml:space="preserve"> </w:t>
      </w:r>
    </w:p>
    <w:p w:rsidR="000050A4" w:rsidRDefault="000050A4" w:rsidP="000050A4">
      <w:pPr>
        <w:spacing w:line="360" w:lineRule="auto"/>
        <w:ind w:firstLine="709"/>
        <w:jc w:val="both"/>
        <w:rPr>
          <w:rFonts w:ascii="Arial" w:hAnsi="Arial" w:cs="Arial"/>
          <w:b/>
          <w:bCs/>
          <w:sz w:val="24"/>
          <w:szCs w:val="24"/>
        </w:rPr>
      </w:pPr>
    </w:p>
    <w:p w:rsidR="000050A4" w:rsidRDefault="000050A4" w:rsidP="000050A4">
      <w:pPr>
        <w:spacing w:after="0" w:line="360" w:lineRule="auto"/>
        <w:ind w:firstLine="708"/>
        <w:jc w:val="both"/>
        <w:rPr>
          <w:rFonts w:ascii="Arial" w:eastAsia="Times New Roman" w:hAnsi="Arial" w:cs="Arial"/>
          <w:bCs/>
          <w:sz w:val="24"/>
          <w:szCs w:val="24"/>
          <w:lang w:eastAsia="es-MX"/>
        </w:rPr>
      </w:pPr>
      <w:r>
        <w:rPr>
          <w:rFonts w:ascii="Arial" w:hAnsi="Arial" w:cs="Arial"/>
          <w:b/>
          <w:bCs/>
          <w:sz w:val="24"/>
          <w:szCs w:val="24"/>
        </w:rPr>
        <w:t>SEGUNDO.-</w:t>
      </w:r>
      <w:r w:rsidRPr="00A4247E">
        <w:rPr>
          <w:rFonts w:ascii="Arial" w:eastAsia="Times New Roman" w:hAnsi="Arial" w:cs="Arial"/>
          <w:bCs/>
          <w:sz w:val="24"/>
          <w:szCs w:val="24"/>
          <w:lang w:eastAsia="es-MX"/>
        </w:rPr>
        <w:t xml:space="preserve"> </w:t>
      </w:r>
      <w:r w:rsidRPr="0027456A">
        <w:rPr>
          <w:rFonts w:ascii="Arial" w:eastAsia="Times New Roman" w:hAnsi="Arial" w:cs="Arial"/>
          <w:bCs/>
          <w:sz w:val="24"/>
          <w:szCs w:val="24"/>
          <w:lang w:eastAsia="es-MX"/>
        </w:rPr>
        <w:t>Tras el análisis del contenido del Informe de Resultados que nos ocupa, se tienen por con</w:t>
      </w:r>
      <w:r w:rsidR="00A764C2">
        <w:rPr>
          <w:rFonts w:ascii="Arial" w:eastAsia="Times New Roman" w:hAnsi="Arial" w:cs="Arial"/>
          <w:bCs/>
          <w:sz w:val="24"/>
          <w:szCs w:val="24"/>
          <w:lang w:eastAsia="es-MX"/>
        </w:rPr>
        <w:t>ocidas</w:t>
      </w:r>
      <w:r w:rsidRPr="0027456A">
        <w:rPr>
          <w:rFonts w:ascii="Arial" w:eastAsia="Times New Roman" w:hAnsi="Arial" w:cs="Arial"/>
          <w:bCs/>
          <w:sz w:val="24"/>
          <w:szCs w:val="24"/>
          <w:lang w:eastAsia="es-MX"/>
        </w:rPr>
        <w:t xml:space="preserve"> las observaciones derivadas de la revisión practicada por la Auditoría Superior del Estado,</w:t>
      </w:r>
      <w:r>
        <w:rPr>
          <w:rFonts w:ascii="Arial" w:eastAsia="Times New Roman" w:hAnsi="Arial" w:cs="Arial"/>
          <w:bCs/>
          <w:sz w:val="24"/>
          <w:szCs w:val="24"/>
          <w:lang w:eastAsia="es-MX"/>
        </w:rPr>
        <w:t xml:space="preserve"> </w:t>
      </w:r>
      <w:r w:rsidR="00BD6E87">
        <w:rPr>
          <w:rFonts w:ascii="Arial" w:eastAsia="Times New Roman" w:hAnsi="Arial" w:cs="Arial"/>
          <w:bCs/>
          <w:sz w:val="24"/>
          <w:szCs w:val="24"/>
          <w:lang w:eastAsia="es-MX"/>
        </w:rPr>
        <w:t xml:space="preserve">señaladas con los números </w:t>
      </w:r>
      <w:r w:rsidR="00BD6E87" w:rsidRPr="00274F35">
        <w:rPr>
          <w:rFonts w:ascii="Arial" w:eastAsia="Times New Roman" w:hAnsi="Arial" w:cs="Arial"/>
          <w:bCs/>
          <w:sz w:val="24"/>
          <w:szCs w:val="24"/>
          <w:lang w:eastAsia="es-MX"/>
        </w:rPr>
        <w:t>1 a</w:t>
      </w:r>
      <w:r w:rsidR="00274F35" w:rsidRPr="00274F35">
        <w:rPr>
          <w:rFonts w:ascii="Arial" w:eastAsia="Times New Roman" w:hAnsi="Arial" w:cs="Arial"/>
          <w:bCs/>
          <w:sz w:val="24"/>
          <w:szCs w:val="24"/>
          <w:lang w:eastAsia="es-MX"/>
        </w:rPr>
        <w:t xml:space="preserve">l 18 </w:t>
      </w:r>
      <w:r w:rsidRPr="0027456A">
        <w:rPr>
          <w:rFonts w:ascii="Arial" w:eastAsia="Times New Roman" w:hAnsi="Arial" w:cs="Arial"/>
          <w:bCs/>
          <w:sz w:val="24"/>
          <w:szCs w:val="24"/>
          <w:lang w:eastAsia="es-MX"/>
        </w:rPr>
        <w:t>respecto de las cuales</w:t>
      </w:r>
      <w:r w:rsidRPr="00274D57">
        <w:rPr>
          <w:rFonts w:ascii="Arial" w:eastAsia="Times New Roman" w:hAnsi="Arial" w:cs="Arial"/>
          <w:bCs/>
          <w:sz w:val="24"/>
          <w:szCs w:val="24"/>
          <w:lang w:eastAsia="es-MX"/>
        </w:rPr>
        <w:t xml:space="preserve"> no se determinó emitir pliegos </w:t>
      </w:r>
      <w:r w:rsidRPr="00274D57">
        <w:rPr>
          <w:rFonts w:ascii="Arial" w:eastAsia="Times New Roman" w:hAnsi="Arial" w:cs="Arial"/>
          <w:bCs/>
          <w:sz w:val="24"/>
          <w:szCs w:val="24"/>
          <w:lang w:eastAsia="es-MX"/>
        </w:rPr>
        <w:lastRenderedPageBreak/>
        <w:t>presuntivos de responsabilidades y</w:t>
      </w:r>
      <w:r>
        <w:rPr>
          <w:rFonts w:ascii="Arial" w:eastAsia="Times New Roman" w:hAnsi="Arial" w:cs="Arial"/>
          <w:bCs/>
          <w:sz w:val="24"/>
          <w:szCs w:val="24"/>
          <w:lang w:eastAsia="es-MX"/>
        </w:rPr>
        <w:t>a</w:t>
      </w:r>
      <w:r w:rsidRPr="0027456A">
        <w:rPr>
          <w:rFonts w:ascii="Arial" w:eastAsia="Times New Roman" w:hAnsi="Arial" w:cs="Arial"/>
          <w:bCs/>
          <w:sz w:val="24"/>
          <w:szCs w:val="24"/>
          <w:lang w:eastAsia="es-MX"/>
        </w:rPr>
        <w:t xml:space="preserve"> que no se apreciaron observaciones que afectación económica.</w:t>
      </w:r>
    </w:p>
    <w:p w:rsidR="000050A4" w:rsidRDefault="000050A4" w:rsidP="000050A4">
      <w:pPr>
        <w:spacing w:after="0" w:line="360" w:lineRule="auto"/>
        <w:ind w:firstLine="708"/>
        <w:jc w:val="both"/>
        <w:rPr>
          <w:rFonts w:ascii="Arial" w:hAnsi="Arial" w:cs="Arial"/>
          <w:b/>
          <w:bCs/>
          <w:sz w:val="24"/>
          <w:szCs w:val="24"/>
        </w:rPr>
      </w:pPr>
    </w:p>
    <w:p w:rsidR="000050A4" w:rsidRPr="00947B22" w:rsidRDefault="000050A4" w:rsidP="000050A4">
      <w:pPr>
        <w:spacing w:after="0" w:line="360" w:lineRule="auto"/>
        <w:ind w:right="23" w:firstLine="708"/>
        <w:jc w:val="both"/>
        <w:rPr>
          <w:rFonts w:ascii="Arial" w:eastAsia="Times New Roman" w:hAnsi="Arial" w:cs="Arial"/>
          <w:bCs/>
          <w:sz w:val="24"/>
          <w:szCs w:val="24"/>
          <w:lang w:eastAsia="es-MX"/>
        </w:rPr>
      </w:pPr>
      <w:r w:rsidRPr="00947B22">
        <w:rPr>
          <w:rFonts w:ascii="Arial" w:eastAsia="Times New Roman" w:hAnsi="Arial" w:cs="Arial"/>
          <w:b/>
          <w:bCs/>
          <w:sz w:val="24"/>
          <w:szCs w:val="24"/>
          <w:lang w:eastAsia="es-MX"/>
        </w:rPr>
        <w:t xml:space="preserve">TERCERO.- </w:t>
      </w:r>
      <w:r w:rsidRPr="00947B22">
        <w:rPr>
          <w:rFonts w:ascii="Arial" w:eastAsia="Times New Roman" w:hAnsi="Arial" w:cs="Arial"/>
          <w:bCs/>
          <w:sz w:val="24"/>
          <w:szCs w:val="24"/>
          <w:lang w:eastAsia="es-MX"/>
        </w:rPr>
        <w:t>Atendiendo a las características y alcance de las observaciones seña</w:t>
      </w:r>
      <w:r>
        <w:rPr>
          <w:rFonts w:ascii="Arial" w:eastAsia="Times New Roman" w:hAnsi="Arial" w:cs="Arial"/>
          <w:bCs/>
          <w:sz w:val="24"/>
          <w:szCs w:val="24"/>
          <w:lang w:eastAsia="es-MX"/>
        </w:rPr>
        <w:t>ladas en el resolutivo anterior</w:t>
      </w:r>
      <w:r w:rsidRPr="00947B22">
        <w:rPr>
          <w:rFonts w:ascii="Arial" w:eastAsia="Times New Roman" w:hAnsi="Arial" w:cs="Arial"/>
          <w:bCs/>
          <w:sz w:val="24"/>
          <w:szCs w:val="24"/>
          <w:lang w:eastAsia="es-MX"/>
        </w:rPr>
        <w:t xml:space="preserve"> como causa de promoción de fincamiento de responsabilidad administrativa</w:t>
      </w:r>
      <w:r>
        <w:rPr>
          <w:rFonts w:ascii="Arial" w:eastAsia="Times New Roman" w:hAnsi="Arial" w:cs="Arial"/>
          <w:bCs/>
          <w:sz w:val="24"/>
          <w:szCs w:val="24"/>
          <w:lang w:eastAsia="es-MX"/>
        </w:rPr>
        <w:t xml:space="preserve"> y recomendaciones </w:t>
      </w:r>
      <w:r w:rsidRPr="00947B22">
        <w:rPr>
          <w:rFonts w:ascii="Arial" w:eastAsia="Times New Roman" w:hAnsi="Arial" w:cs="Arial"/>
          <w:bCs/>
          <w:sz w:val="24"/>
          <w:szCs w:val="24"/>
          <w:lang w:eastAsia="es-MX"/>
        </w:rPr>
        <w:t>a la gestión o control interno y habiéndose encontrando que no generan afectaciones económicas y considerando al mismo tiempo que tales observaciones no afectan la actuación del ente fiscalizado, se estima que la Cuenta Pública 201</w:t>
      </w:r>
      <w:r w:rsidR="00BD6E87">
        <w:rPr>
          <w:rFonts w:ascii="Arial" w:eastAsia="Times New Roman" w:hAnsi="Arial" w:cs="Arial"/>
          <w:bCs/>
          <w:sz w:val="24"/>
          <w:szCs w:val="24"/>
          <w:lang w:eastAsia="es-MX"/>
        </w:rPr>
        <w:t>5</w:t>
      </w:r>
      <w:r w:rsidRPr="00947B22">
        <w:rPr>
          <w:rFonts w:ascii="Arial" w:eastAsia="Times New Roman" w:hAnsi="Arial" w:cs="Arial"/>
          <w:bCs/>
          <w:sz w:val="24"/>
          <w:szCs w:val="24"/>
          <w:lang w:eastAsia="es-MX"/>
        </w:rPr>
        <w:t xml:space="preserve"> del </w:t>
      </w:r>
      <w:r w:rsidRPr="00833E1F">
        <w:rPr>
          <w:rFonts w:ascii="Arial" w:hAnsi="Arial" w:cs="Arial"/>
          <w:b/>
          <w:sz w:val="24"/>
        </w:rPr>
        <w:t>FIDEICOMISO FONDO PARA LA VIVIENDA PARA LOS TRABAJADORES DE LA EDUCACIÓN</w:t>
      </w:r>
      <w:r w:rsidRPr="00947B22">
        <w:rPr>
          <w:rFonts w:ascii="Arial" w:eastAsia="Times New Roman" w:hAnsi="Arial" w:cs="Arial"/>
          <w:bCs/>
          <w:sz w:val="24"/>
          <w:szCs w:val="24"/>
          <w:lang w:eastAsia="es-MX"/>
        </w:rPr>
        <w:t xml:space="preserve"> es susceptible de aprobación.</w:t>
      </w:r>
    </w:p>
    <w:p w:rsidR="000050A4" w:rsidRDefault="000050A4" w:rsidP="000050A4">
      <w:pPr>
        <w:spacing w:after="0" w:line="360" w:lineRule="auto"/>
        <w:ind w:left="660" w:right="617"/>
        <w:jc w:val="both"/>
        <w:rPr>
          <w:rFonts w:ascii="Arial" w:eastAsia="Times New Roman" w:hAnsi="Arial" w:cs="Arial"/>
          <w:bCs/>
          <w:sz w:val="24"/>
          <w:szCs w:val="24"/>
          <w:lang w:eastAsia="es-MX"/>
        </w:rPr>
      </w:pPr>
    </w:p>
    <w:p w:rsidR="000050A4" w:rsidRDefault="000050A4" w:rsidP="000050A4">
      <w:pPr>
        <w:spacing w:after="0" w:line="360" w:lineRule="auto"/>
        <w:ind w:right="23" w:firstLine="708"/>
        <w:jc w:val="both"/>
        <w:rPr>
          <w:rFonts w:ascii="Arial" w:eastAsia="Times New Roman" w:hAnsi="Arial" w:cs="Arial"/>
          <w:b/>
          <w:sz w:val="24"/>
          <w:szCs w:val="24"/>
          <w:lang w:eastAsia="es-MX"/>
        </w:rPr>
      </w:pPr>
      <w:r w:rsidRPr="00947B22">
        <w:rPr>
          <w:rFonts w:ascii="Arial" w:eastAsia="Times New Roman" w:hAnsi="Arial" w:cs="Arial"/>
          <w:bCs/>
          <w:sz w:val="24"/>
          <w:szCs w:val="24"/>
          <w:lang w:eastAsia="es-MX"/>
        </w:rPr>
        <w:t>Por lo tanto y en cumplimiento de lo señalado en el artículo 63 fracción XIII de la Constitución Política del Estado Libre y Soberano de Nuevo León y demás disposiciones legales aplicables</w:t>
      </w:r>
      <w:r w:rsidR="009377B6">
        <w:rPr>
          <w:rFonts w:ascii="Arial" w:hAnsi="Arial" w:cs="Arial"/>
          <w:bCs/>
          <w:sz w:val="24"/>
          <w:szCs w:val="24"/>
        </w:rPr>
        <w:t>, así como lo descrito en el apartado de Consideraciones del presente Dictamen,</w:t>
      </w:r>
      <w:r w:rsidRPr="00947B22">
        <w:rPr>
          <w:rFonts w:ascii="Arial" w:eastAsia="Times New Roman" w:hAnsi="Arial" w:cs="Arial"/>
          <w:bCs/>
          <w:sz w:val="24"/>
          <w:szCs w:val="24"/>
          <w:lang w:eastAsia="es-MX"/>
        </w:rPr>
        <w:t xml:space="preserve"> </w:t>
      </w:r>
      <w:r w:rsidRPr="00947B22">
        <w:rPr>
          <w:rFonts w:ascii="Arial" w:eastAsia="Times New Roman" w:hAnsi="Arial" w:cs="Arial"/>
          <w:b/>
          <w:bCs/>
          <w:sz w:val="24"/>
          <w:szCs w:val="24"/>
          <w:lang w:eastAsia="es-MX"/>
        </w:rPr>
        <w:t>SE APRUEBA</w:t>
      </w:r>
      <w:r w:rsidRPr="00947B22">
        <w:rPr>
          <w:rFonts w:ascii="Arial" w:eastAsia="Times New Roman" w:hAnsi="Arial" w:cs="Arial"/>
          <w:bCs/>
          <w:sz w:val="24"/>
          <w:szCs w:val="24"/>
          <w:lang w:eastAsia="es-MX"/>
        </w:rPr>
        <w:t xml:space="preserve"> la Cuenta Pública 201</w:t>
      </w:r>
      <w:r w:rsidR="007469BF">
        <w:rPr>
          <w:rFonts w:ascii="Arial" w:eastAsia="Times New Roman" w:hAnsi="Arial" w:cs="Arial"/>
          <w:bCs/>
          <w:sz w:val="24"/>
          <w:szCs w:val="24"/>
          <w:lang w:eastAsia="es-MX"/>
        </w:rPr>
        <w:t>5</w:t>
      </w:r>
      <w:r w:rsidRPr="00947B22">
        <w:rPr>
          <w:rFonts w:ascii="Arial" w:eastAsia="Times New Roman" w:hAnsi="Arial" w:cs="Arial"/>
          <w:bCs/>
          <w:sz w:val="24"/>
          <w:szCs w:val="24"/>
          <w:lang w:eastAsia="es-MX"/>
        </w:rPr>
        <w:t xml:space="preserve"> </w:t>
      </w:r>
      <w:r w:rsidRPr="00947B22">
        <w:rPr>
          <w:rFonts w:ascii="Arial" w:eastAsia="Times New Roman" w:hAnsi="Arial" w:cs="Arial"/>
          <w:sz w:val="24"/>
          <w:szCs w:val="24"/>
          <w:lang w:eastAsia="es-MX"/>
        </w:rPr>
        <w:t>del</w:t>
      </w:r>
      <w:r w:rsidRPr="00947B22">
        <w:rPr>
          <w:rFonts w:ascii="Arial" w:eastAsia="Times New Roman" w:hAnsi="Arial" w:cs="Arial"/>
          <w:b/>
          <w:sz w:val="24"/>
          <w:szCs w:val="24"/>
          <w:lang w:eastAsia="es-MX"/>
        </w:rPr>
        <w:t xml:space="preserve"> </w:t>
      </w:r>
      <w:r w:rsidRPr="00833E1F">
        <w:rPr>
          <w:rFonts w:ascii="Arial" w:hAnsi="Arial" w:cs="Arial"/>
          <w:b/>
          <w:sz w:val="24"/>
        </w:rPr>
        <w:t>FIDEICOMISO FONDO PARA LA VIVIENDA PARA LOS TRABAJADORES DE LA EDUCACIÓN</w:t>
      </w:r>
      <w:r w:rsidRPr="00947B22">
        <w:rPr>
          <w:rFonts w:ascii="Arial" w:eastAsia="Times New Roman" w:hAnsi="Arial" w:cs="Arial"/>
          <w:b/>
          <w:sz w:val="24"/>
          <w:szCs w:val="24"/>
          <w:lang w:eastAsia="es-MX"/>
        </w:rPr>
        <w:t>.</w:t>
      </w:r>
    </w:p>
    <w:p w:rsidR="000050A4" w:rsidRDefault="000050A4" w:rsidP="000050A4">
      <w:pPr>
        <w:spacing w:after="0" w:line="360" w:lineRule="auto"/>
        <w:ind w:firstLine="708"/>
        <w:jc w:val="both"/>
        <w:rPr>
          <w:rFonts w:ascii="Arial" w:hAnsi="Arial" w:cs="Arial"/>
          <w:bCs/>
          <w:sz w:val="24"/>
          <w:szCs w:val="24"/>
        </w:rPr>
      </w:pPr>
    </w:p>
    <w:p w:rsidR="000050A4" w:rsidRPr="00947B22" w:rsidRDefault="000050A4" w:rsidP="000050A4">
      <w:pPr>
        <w:spacing w:after="0" w:line="360" w:lineRule="auto"/>
        <w:ind w:right="23" w:firstLine="708"/>
        <w:jc w:val="both"/>
        <w:rPr>
          <w:rFonts w:ascii="Arial" w:eastAsia="Times New Roman" w:hAnsi="Arial" w:cs="Arial"/>
          <w:b/>
          <w:bCs/>
          <w:sz w:val="24"/>
          <w:szCs w:val="24"/>
          <w:lang w:eastAsia="es-MX"/>
        </w:rPr>
      </w:pPr>
      <w:r w:rsidRPr="00947B22">
        <w:rPr>
          <w:rFonts w:ascii="Arial" w:eastAsia="Times New Roman" w:hAnsi="Arial" w:cs="Arial"/>
          <w:b/>
          <w:sz w:val="24"/>
          <w:szCs w:val="24"/>
          <w:lang w:eastAsia="es-MX"/>
        </w:rPr>
        <w:t xml:space="preserve">CUARTO.- </w:t>
      </w:r>
      <w:r w:rsidRPr="00947B22">
        <w:rPr>
          <w:rFonts w:ascii="Arial" w:eastAsia="Times New Roman" w:hAnsi="Arial" w:cs="Arial"/>
          <w:sz w:val="24"/>
          <w:szCs w:val="24"/>
          <w:lang w:eastAsia="es-MX"/>
        </w:rPr>
        <w:t>Se instruye a la Auditoria Superior del Estado para que en términos del párrafo segundo del artículo 52 de la</w:t>
      </w:r>
      <w:r w:rsidRPr="00947B22">
        <w:rPr>
          <w:rFonts w:ascii="Arial" w:eastAsia="Times New Roman" w:hAnsi="Arial" w:cs="Arial"/>
          <w:sz w:val="24"/>
          <w:szCs w:val="24"/>
          <w:lang w:val="es-ES_tradnl" w:eastAsia="es-MX"/>
        </w:rPr>
        <w:t xml:space="preserve"> </w:t>
      </w:r>
      <w:r w:rsidRPr="00947B22">
        <w:rPr>
          <w:rFonts w:ascii="Arial" w:eastAsia="Times New Roman" w:hAnsi="Arial" w:cs="Arial"/>
          <w:sz w:val="24"/>
          <w:szCs w:val="24"/>
          <w:lang w:eastAsia="es-MX"/>
        </w:rPr>
        <w:t>Ley de Fiscalización Superior del Estado de Nuevo León</w:t>
      </w:r>
      <w:r w:rsidRPr="00947B22">
        <w:rPr>
          <w:rFonts w:ascii="Arial" w:eastAsia="Times New Roman" w:hAnsi="Arial" w:cs="Arial"/>
          <w:b/>
          <w:sz w:val="24"/>
          <w:szCs w:val="24"/>
          <w:lang w:eastAsia="es-MX"/>
        </w:rPr>
        <w:t xml:space="preserve"> EXPIDA EL FINIQUITO CORRESPONDIENTE, </w:t>
      </w:r>
      <w:r w:rsidRPr="00947B22">
        <w:rPr>
          <w:rFonts w:ascii="Arial" w:eastAsia="Times New Roman" w:hAnsi="Arial" w:cs="Arial"/>
          <w:sz w:val="24"/>
          <w:szCs w:val="24"/>
          <w:lang w:eastAsia="es-MX"/>
        </w:rPr>
        <w:t xml:space="preserve">quedando a salvo los derechos del Órgano de Fiscalización en los términos del artículo 51 de la Ley de Fiscalización Superior del Estado de Nuevo León, a fin de continuar con cualquier acción </w:t>
      </w:r>
      <w:r w:rsidRPr="00947B22">
        <w:rPr>
          <w:rFonts w:ascii="Arial" w:eastAsia="Times New Roman" w:hAnsi="Arial" w:cs="Arial"/>
          <w:sz w:val="24"/>
          <w:szCs w:val="24"/>
          <w:lang w:eastAsia="es-MX"/>
        </w:rPr>
        <w:lastRenderedPageBreak/>
        <w:t>de las señaladas en el artículo 53 de la citada Ley, derivadas de la revisión de la cuenta pública del</w:t>
      </w:r>
      <w:r w:rsidRPr="00947B22">
        <w:rPr>
          <w:rFonts w:ascii="Arial" w:eastAsia="Times New Roman" w:hAnsi="Arial" w:cs="Arial"/>
          <w:b/>
          <w:sz w:val="24"/>
          <w:szCs w:val="24"/>
          <w:lang w:eastAsia="es-MX"/>
        </w:rPr>
        <w:t xml:space="preserve"> </w:t>
      </w:r>
      <w:r w:rsidRPr="00833E1F">
        <w:rPr>
          <w:rFonts w:ascii="Arial" w:hAnsi="Arial" w:cs="Arial"/>
          <w:b/>
          <w:sz w:val="24"/>
        </w:rPr>
        <w:t>FIDEICOMISO FONDO PARA LA VIVIENDA PARA LOS TRABAJADORES DE LA EDUCACIÓN</w:t>
      </w:r>
      <w:r w:rsidRPr="00947B22">
        <w:rPr>
          <w:rFonts w:ascii="Arial" w:eastAsia="Times New Roman" w:hAnsi="Arial" w:cs="Arial"/>
          <w:b/>
          <w:sz w:val="24"/>
          <w:szCs w:val="24"/>
          <w:lang w:val="es-MX" w:eastAsia="es-MX"/>
        </w:rPr>
        <w:t xml:space="preserve">, </w:t>
      </w:r>
      <w:r w:rsidRPr="00947B22">
        <w:rPr>
          <w:rFonts w:ascii="Arial" w:eastAsia="Times New Roman" w:hAnsi="Arial" w:cs="Arial"/>
          <w:sz w:val="24"/>
          <w:szCs w:val="24"/>
          <w:lang w:eastAsia="es-MX"/>
        </w:rPr>
        <w:t>correspondiente al ejercicio</w:t>
      </w:r>
      <w:r w:rsidR="00BD6E87">
        <w:rPr>
          <w:rFonts w:ascii="Arial" w:eastAsia="Times New Roman" w:hAnsi="Arial" w:cs="Arial"/>
          <w:b/>
          <w:sz w:val="24"/>
          <w:szCs w:val="24"/>
          <w:lang w:eastAsia="es-MX"/>
        </w:rPr>
        <w:t xml:space="preserve"> 2015</w:t>
      </w:r>
      <w:r w:rsidRPr="00947B22">
        <w:rPr>
          <w:rFonts w:ascii="Arial" w:eastAsia="Times New Roman" w:hAnsi="Arial" w:cs="Arial"/>
          <w:b/>
          <w:sz w:val="24"/>
          <w:szCs w:val="24"/>
          <w:lang w:eastAsia="es-MX"/>
        </w:rPr>
        <w:t>.</w:t>
      </w:r>
    </w:p>
    <w:p w:rsidR="000050A4" w:rsidRDefault="000050A4" w:rsidP="000050A4">
      <w:pPr>
        <w:spacing w:line="360" w:lineRule="auto"/>
        <w:ind w:firstLine="709"/>
        <w:jc w:val="both"/>
        <w:rPr>
          <w:rFonts w:ascii="Arial" w:hAnsi="Arial" w:cs="Arial"/>
          <w:bCs/>
          <w:sz w:val="24"/>
          <w:szCs w:val="24"/>
        </w:rPr>
      </w:pPr>
    </w:p>
    <w:p w:rsidR="000050A4" w:rsidRPr="006C2B1B" w:rsidRDefault="00F10A38" w:rsidP="000050A4">
      <w:pPr>
        <w:spacing w:after="0" w:line="360" w:lineRule="auto"/>
        <w:ind w:firstLine="708"/>
        <w:jc w:val="both"/>
        <w:rPr>
          <w:rFonts w:ascii="Arial" w:hAnsi="Arial" w:cs="Arial"/>
          <w:sz w:val="24"/>
          <w:szCs w:val="24"/>
        </w:rPr>
      </w:pPr>
      <w:r>
        <w:rPr>
          <w:rFonts w:ascii="Arial" w:hAnsi="Arial" w:cs="Arial"/>
          <w:b/>
          <w:bCs/>
          <w:sz w:val="24"/>
          <w:szCs w:val="24"/>
        </w:rPr>
        <w:t>QUIN</w:t>
      </w:r>
      <w:r w:rsidR="000050A4">
        <w:rPr>
          <w:rFonts w:ascii="Arial" w:hAnsi="Arial" w:cs="Arial"/>
          <w:b/>
          <w:bCs/>
          <w:sz w:val="24"/>
          <w:szCs w:val="24"/>
        </w:rPr>
        <w:t>TO.-</w:t>
      </w:r>
      <w:r w:rsidR="000050A4">
        <w:rPr>
          <w:rFonts w:ascii="Arial" w:hAnsi="Arial" w:cs="Arial"/>
          <w:bCs/>
          <w:sz w:val="24"/>
          <w:szCs w:val="24"/>
        </w:rPr>
        <w:t xml:space="preserve"> Remítase copia a la </w:t>
      </w:r>
      <w:r w:rsidR="000050A4" w:rsidRPr="00CE0720">
        <w:rPr>
          <w:rFonts w:ascii="Arial" w:hAnsi="Arial" w:cs="Arial"/>
          <w:b/>
          <w:bCs/>
          <w:sz w:val="24"/>
          <w:szCs w:val="24"/>
        </w:rPr>
        <w:t>AUDITORÍA SUPE</w:t>
      </w:r>
      <w:r w:rsidR="000050A4">
        <w:rPr>
          <w:rFonts w:ascii="Arial" w:hAnsi="Arial" w:cs="Arial"/>
          <w:b/>
          <w:bCs/>
          <w:sz w:val="24"/>
          <w:szCs w:val="24"/>
        </w:rPr>
        <w:t>R</w:t>
      </w:r>
      <w:r w:rsidR="000050A4" w:rsidRPr="00CE0720">
        <w:rPr>
          <w:rFonts w:ascii="Arial" w:hAnsi="Arial" w:cs="Arial"/>
          <w:b/>
          <w:bCs/>
          <w:sz w:val="24"/>
          <w:szCs w:val="24"/>
        </w:rPr>
        <w:t>IOR DEL ESTADO DE NUEVO LEÓN</w:t>
      </w:r>
      <w:r w:rsidR="000050A4">
        <w:rPr>
          <w:rFonts w:ascii="Arial" w:hAnsi="Arial" w:cs="Arial"/>
          <w:bCs/>
          <w:sz w:val="24"/>
          <w:szCs w:val="24"/>
        </w:rPr>
        <w:t xml:space="preserve"> y al </w:t>
      </w:r>
      <w:r w:rsidR="000050A4" w:rsidRPr="00833E1F">
        <w:rPr>
          <w:rFonts w:ascii="Arial" w:hAnsi="Arial" w:cs="Arial"/>
          <w:b/>
          <w:sz w:val="24"/>
        </w:rPr>
        <w:t>FIDEICOMISO FONDO PARA LA VIVIENDA PARA LOS TRABAJADORES DE LA EDUCACIÓN</w:t>
      </w:r>
      <w:r w:rsidR="000050A4">
        <w:rPr>
          <w:rFonts w:ascii="Arial" w:hAnsi="Arial" w:cs="Arial"/>
          <w:b/>
          <w:bCs/>
          <w:sz w:val="24"/>
          <w:szCs w:val="24"/>
        </w:rPr>
        <w:t>,</w:t>
      </w:r>
      <w:r w:rsidR="000050A4">
        <w:rPr>
          <w:rFonts w:ascii="Arial" w:hAnsi="Arial" w:cs="Arial"/>
          <w:bCs/>
          <w:sz w:val="24"/>
          <w:szCs w:val="24"/>
        </w:rPr>
        <w:t xml:space="preserve"> para su conocimiento y efectos legales a que haya lugar.</w:t>
      </w:r>
    </w:p>
    <w:p w:rsidR="000050A4" w:rsidRPr="009A7A82" w:rsidRDefault="000050A4" w:rsidP="000050A4">
      <w:pPr>
        <w:spacing w:line="360" w:lineRule="auto"/>
        <w:ind w:firstLine="709"/>
        <w:jc w:val="both"/>
        <w:rPr>
          <w:rFonts w:ascii="Arial" w:hAnsi="Arial" w:cs="Arial"/>
          <w:bCs/>
          <w:sz w:val="24"/>
          <w:szCs w:val="24"/>
        </w:rPr>
      </w:pPr>
    </w:p>
    <w:p w:rsidR="000050A4" w:rsidRPr="007F749B" w:rsidRDefault="000050A4" w:rsidP="000050A4">
      <w:pPr>
        <w:jc w:val="center"/>
        <w:rPr>
          <w:rFonts w:ascii="Arial" w:hAnsi="Arial" w:cs="Arial"/>
        </w:rPr>
      </w:pPr>
      <w:r>
        <w:rPr>
          <w:rFonts w:ascii="Arial" w:hAnsi="Arial" w:cs="Arial"/>
          <w:b/>
          <w:bCs/>
        </w:rPr>
        <w:t>MONTERREY</w:t>
      </w:r>
      <w:r w:rsidRPr="007F749B">
        <w:rPr>
          <w:rFonts w:ascii="Arial" w:hAnsi="Arial" w:cs="Arial"/>
          <w:b/>
          <w:bCs/>
        </w:rPr>
        <w:t xml:space="preserve"> NUEVO LEÓN</w:t>
      </w:r>
      <w:r>
        <w:rPr>
          <w:rFonts w:ascii="Arial" w:hAnsi="Arial" w:cs="Arial"/>
          <w:b/>
          <w:bCs/>
        </w:rPr>
        <w:t xml:space="preserve"> </w:t>
      </w:r>
      <w:r w:rsidRPr="007F749B">
        <w:rPr>
          <w:rFonts w:ascii="Arial" w:hAnsi="Arial" w:cs="Arial"/>
        </w:rPr>
        <w:t xml:space="preserve"> </w:t>
      </w:r>
    </w:p>
    <w:p w:rsidR="000050A4" w:rsidRPr="00FE07C7" w:rsidRDefault="000050A4" w:rsidP="000050A4">
      <w:pPr>
        <w:pStyle w:val="Ttulo1"/>
        <w:spacing w:line="276" w:lineRule="auto"/>
        <w:rPr>
          <w:rFonts w:ascii="Arial" w:hAnsi="Arial" w:cs="Arial"/>
          <w:b/>
          <w:sz w:val="22"/>
          <w:szCs w:val="22"/>
          <w:u w:val="none"/>
        </w:rPr>
      </w:pPr>
      <w:r w:rsidRPr="00FE07C7">
        <w:rPr>
          <w:rFonts w:ascii="Arial" w:hAnsi="Arial" w:cs="Arial"/>
          <w:b/>
          <w:sz w:val="22"/>
          <w:szCs w:val="22"/>
          <w:u w:val="none"/>
        </w:rPr>
        <w:t>COMISIÓN DE HACIENDA DEL ESTADO</w:t>
      </w:r>
    </w:p>
    <w:p w:rsidR="000050A4" w:rsidRDefault="000050A4" w:rsidP="000050A4">
      <w:pPr>
        <w:pStyle w:val="Ttulo1"/>
        <w:spacing w:line="360" w:lineRule="auto"/>
        <w:rPr>
          <w:rFonts w:ascii="Arial" w:hAnsi="Arial" w:cs="Arial"/>
          <w:b/>
          <w:sz w:val="22"/>
          <w:szCs w:val="22"/>
          <w:u w:val="none"/>
        </w:rPr>
      </w:pPr>
    </w:p>
    <w:p w:rsidR="000050A4" w:rsidRPr="009A7A82" w:rsidRDefault="000050A4" w:rsidP="000050A4">
      <w:pPr>
        <w:rPr>
          <w:lang w:val="es-ES_tradnl" w:eastAsia="ar-SA"/>
        </w:rPr>
      </w:pPr>
    </w:p>
    <w:p w:rsidR="000050A4" w:rsidRDefault="003012D7" w:rsidP="000050A4">
      <w:pPr>
        <w:pStyle w:val="Body1"/>
        <w:widowControl w:val="0"/>
        <w:tabs>
          <w:tab w:val="left" w:pos="3828"/>
        </w:tabs>
        <w:suppressAutoHyphens/>
        <w:spacing w:after="120"/>
        <w:jc w:val="center"/>
        <w:rPr>
          <w:rFonts w:ascii="Arial" w:hAnsi="Arial" w:cs="Arial"/>
          <w:b/>
          <w:lang w:val="es-ES_tradnl"/>
        </w:rPr>
      </w:pPr>
      <w:r>
        <w:rPr>
          <w:rFonts w:ascii="Arial" w:hAnsi="Arial" w:cs="Arial"/>
          <w:b/>
          <w:lang w:val="es-ES_tradnl"/>
        </w:rPr>
        <w:t>PRESIDENTA</w:t>
      </w:r>
      <w:r w:rsidR="000050A4">
        <w:rPr>
          <w:rFonts w:ascii="Arial" w:hAnsi="Arial" w:cs="Arial"/>
          <w:b/>
          <w:lang w:val="es-ES_tradnl"/>
        </w:rPr>
        <w:t>:</w:t>
      </w:r>
    </w:p>
    <w:p w:rsidR="000050A4" w:rsidRDefault="000050A4" w:rsidP="000050A4">
      <w:pPr>
        <w:pStyle w:val="Body1"/>
        <w:widowControl w:val="0"/>
        <w:tabs>
          <w:tab w:val="left" w:pos="3828"/>
        </w:tabs>
        <w:suppressAutoHyphens/>
        <w:spacing w:after="120" w:line="360" w:lineRule="auto"/>
        <w:jc w:val="center"/>
        <w:rPr>
          <w:rFonts w:ascii="Arial" w:hAnsi="Arial" w:cs="Arial"/>
          <w:b/>
          <w:sz w:val="22"/>
          <w:lang w:val="es-ES_tradnl"/>
        </w:rPr>
      </w:pPr>
    </w:p>
    <w:p w:rsidR="003012D7" w:rsidRDefault="003012D7" w:rsidP="003012D7">
      <w:pPr>
        <w:jc w:val="center"/>
        <w:outlineLvl w:val="0"/>
        <w:rPr>
          <w:rFonts w:ascii="Arial" w:eastAsia="Arial Unicode MS" w:hAnsi="Arial" w:cs="Arial"/>
          <w:smallCaps/>
          <w:color w:val="000000"/>
          <w:lang w:val="es-MX"/>
        </w:rPr>
      </w:pPr>
      <w:r>
        <w:rPr>
          <w:rFonts w:ascii="Arial" w:eastAsia="Arial Unicode MS" w:hAnsi="Arial" w:cs="Arial"/>
          <w:smallCaps/>
          <w:color w:val="000000"/>
          <w:lang w:val="es-MX"/>
        </w:rPr>
        <w:t>DIP. GLORIA CONCEPCIÓN TREVIÑO SALAZAR</w:t>
      </w:r>
    </w:p>
    <w:p w:rsidR="003012D7" w:rsidRDefault="003012D7" w:rsidP="003012D7">
      <w:pPr>
        <w:jc w:val="center"/>
        <w:outlineLvl w:val="0"/>
        <w:rPr>
          <w:rFonts w:ascii="Arial" w:eastAsia="Arial Unicode MS" w:hAnsi="Arial" w:cs="Arial"/>
          <w:smallCaps/>
          <w:color w:val="000000"/>
          <w:lang w:val="es-MX"/>
        </w:rPr>
      </w:pPr>
    </w:p>
    <w:tbl>
      <w:tblPr>
        <w:tblW w:w="0" w:type="auto"/>
        <w:jc w:val="center"/>
        <w:tblLayout w:type="fixed"/>
        <w:tblLook w:val="04A0" w:firstRow="1" w:lastRow="0" w:firstColumn="1" w:lastColumn="0" w:noHBand="0" w:noVBand="1"/>
      </w:tblPr>
      <w:tblGrid>
        <w:gridCol w:w="4322"/>
        <w:gridCol w:w="4322"/>
      </w:tblGrid>
      <w:tr w:rsidR="000050A4" w:rsidTr="00493A57">
        <w:trPr>
          <w:cantSplit/>
          <w:trHeight w:val="340"/>
          <w:jc w:val="center"/>
        </w:trPr>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es-MX"/>
              </w:rPr>
            </w:pPr>
            <w:r>
              <w:rPr>
                <w:rFonts w:ascii="Arial" w:eastAsia="Arial Unicode MS" w:hAnsi="Arial" w:cs="Arial"/>
                <w:b/>
                <w:color w:val="000000"/>
                <w:lang w:val="es-MX"/>
              </w:rPr>
              <w:t>VICEPRESIDENTE:</w:t>
            </w:r>
          </w:p>
          <w:p w:rsidR="000050A4" w:rsidRDefault="000050A4" w:rsidP="00493A57">
            <w:pP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color w:val="000000"/>
                <w:lang w:val="es-MX"/>
              </w:rPr>
            </w:pPr>
            <w:r>
              <w:rPr>
                <w:rFonts w:ascii="Arial" w:eastAsia="Arial Unicode MS" w:hAnsi="Arial" w:cs="Arial"/>
                <w:color w:val="000000"/>
                <w:lang w:val="es-MX"/>
              </w:rPr>
              <w:t>DIP. KARINA MARLENE BARRÓN PERALES</w:t>
            </w:r>
          </w:p>
        </w:tc>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es-MX"/>
              </w:rPr>
            </w:pPr>
            <w:r>
              <w:rPr>
                <w:rFonts w:ascii="Arial" w:eastAsia="Arial Unicode MS" w:hAnsi="Arial" w:cs="Arial"/>
                <w:b/>
                <w:color w:val="000000"/>
                <w:lang w:val="es-MX"/>
              </w:rPr>
              <w:t>SECRETARIO:</w:t>
            </w:r>
          </w:p>
          <w:p w:rsidR="000050A4" w:rsidRDefault="000050A4" w:rsidP="00493A57">
            <w:pPr>
              <w:outlineLvl w:val="0"/>
              <w:rPr>
                <w:rFonts w:ascii="Arial" w:eastAsia="Arial Unicode MS" w:hAnsi="Arial" w:cs="Arial"/>
                <w:b/>
                <w:color w:val="000000"/>
                <w:lang w:val="es-MX"/>
              </w:rPr>
            </w:pPr>
          </w:p>
          <w:p w:rsidR="000050A4" w:rsidRDefault="000050A4" w:rsidP="00493A57">
            <w:pP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color w:val="000000"/>
                <w:lang w:val="es-MX"/>
              </w:rPr>
            </w:pPr>
            <w:r>
              <w:rPr>
                <w:rFonts w:ascii="Arial" w:eastAsia="Arial Unicode MS" w:hAnsi="Arial" w:cs="Arial"/>
                <w:color w:val="000000"/>
                <w:lang w:val="es-MX"/>
              </w:rPr>
              <w:t xml:space="preserve">DIP. JOSÉ ARTURO SALINAS GARZA </w:t>
            </w:r>
          </w:p>
        </w:tc>
      </w:tr>
      <w:tr w:rsidR="000050A4" w:rsidTr="00493A57">
        <w:trPr>
          <w:cantSplit/>
          <w:trHeight w:val="340"/>
          <w:jc w:val="center"/>
        </w:trPr>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es-MX"/>
              </w:rPr>
            </w:pPr>
            <w:r>
              <w:rPr>
                <w:rFonts w:ascii="Arial" w:eastAsia="Arial Unicode MS" w:hAnsi="Arial" w:cs="Arial"/>
                <w:b/>
                <w:color w:val="000000"/>
                <w:lang w:val="es-MX"/>
              </w:rPr>
              <w:lastRenderedPageBreak/>
              <w:t>VOCAL:</w:t>
            </w:r>
          </w:p>
          <w:p w:rsidR="000050A4" w:rsidRDefault="000050A4" w:rsidP="00493A57">
            <w:pP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color w:val="000000"/>
                <w:lang w:val="es-MX"/>
              </w:rPr>
            </w:pPr>
          </w:p>
          <w:p w:rsidR="000050A4" w:rsidRDefault="000050A4" w:rsidP="00493A57">
            <w:pPr>
              <w:jc w:val="center"/>
              <w:outlineLvl w:val="0"/>
              <w:rPr>
                <w:rFonts w:ascii="Arial" w:eastAsia="Arial Unicode MS" w:hAnsi="Arial" w:cs="Arial"/>
                <w:color w:val="000000"/>
                <w:lang w:val="es-MX"/>
              </w:rPr>
            </w:pPr>
            <w:r>
              <w:rPr>
                <w:rFonts w:ascii="Arial" w:eastAsia="Arial Unicode MS" w:hAnsi="Arial" w:cs="Arial"/>
                <w:color w:val="000000"/>
                <w:lang w:val="es-MX"/>
              </w:rPr>
              <w:t xml:space="preserve">DIP. MARCO ANTONIO GONZÁLEZ VALDEZ </w:t>
            </w:r>
          </w:p>
        </w:tc>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es-MX"/>
              </w:rPr>
            </w:pPr>
            <w:r>
              <w:rPr>
                <w:rFonts w:ascii="Arial" w:eastAsia="Arial Unicode MS" w:hAnsi="Arial" w:cs="Arial"/>
                <w:b/>
                <w:color w:val="000000"/>
                <w:lang w:val="es-MX"/>
              </w:rPr>
              <w:t>VOCAL:</w:t>
            </w:r>
          </w:p>
          <w:p w:rsidR="000050A4" w:rsidRDefault="000050A4" w:rsidP="00493A57">
            <w:pPr>
              <w:jc w:val="center"/>
              <w:outlineLvl w:val="0"/>
              <w:rPr>
                <w:rFonts w:ascii="Arial" w:eastAsia="Arial Unicode MS" w:hAnsi="Arial" w:cs="Arial"/>
                <w:b/>
                <w:color w:val="000000"/>
                <w:lang w:val="es-MX"/>
              </w:rPr>
            </w:pPr>
          </w:p>
          <w:p w:rsidR="000050A4" w:rsidRDefault="000050A4" w:rsidP="00493A57">
            <w:pP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color w:val="000000"/>
                <w:lang w:val="es-MX"/>
              </w:rPr>
            </w:pPr>
            <w:r>
              <w:rPr>
                <w:rFonts w:ascii="Arial" w:eastAsia="Arial Unicode MS" w:hAnsi="Arial" w:cs="Arial"/>
                <w:color w:val="000000"/>
                <w:lang w:val="es-MX"/>
              </w:rPr>
              <w:t>DIP. SERGIO ARELLANO BALDERAS</w:t>
            </w:r>
          </w:p>
        </w:tc>
      </w:tr>
      <w:tr w:rsidR="000050A4" w:rsidTr="00493A57">
        <w:trPr>
          <w:cantSplit/>
          <w:trHeight w:val="340"/>
          <w:jc w:val="center"/>
        </w:trPr>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es-MX"/>
              </w:rPr>
            </w:pPr>
            <w:r>
              <w:rPr>
                <w:rFonts w:ascii="Arial" w:eastAsia="Arial Unicode MS" w:hAnsi="Arial" w:cs="Arial"/>
                <w:b/>
                <w:color w:val="000000"/>
                <w:lang w:val="es-MX"/>
              </w:rPr>
              <w:t>VOCAL:</w:t>
            </w:r>
          </w:p>
          <w:p w:rsidR="000050A4" w:rsidRDefault="000050A4" w:rsidP="00493A57">
            <w:pPr>
              <w:jc w:val="center"/>
              <w:outlineLvl w:val="0"/>
              <w:rPr>
                <w:rFonts w:ascii="Arial" w:eastAsia="Arial Unicode MS" w:hAnsi="Arial" w:cs="Arial"/>
                <w:b/>
                <w:color w:val="000000"/>
                <w:lang w:val="es-MX"/>
              </w:rPr>
            </w:pPr>
          </w:p>
          <w:p w:rsidR="000050A4" w:rsidRDefault="000050A4" w:rsidP="00493A57">
            <w:pP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color w:val="000000"/>
                <w:lang w:val="it-IT"/>
              </w:rPr>
            </w:pPr>
            <w:r>
              <w:rPr>
                <w:rFonts w:ascii="Arial" w:eastAsia="Arial Unicode MS" w:hAnsi="Arial" w:cs="Arial"/>
                <w:color w:val="000000"/>
                <w:lang w:val="it-IT"/>
              </w:rPr>
              <w:t xml:space="preserve">DIP. JUAN FRANCISCO ESPINOZA EGUÍA </w:t>
            </w:r>
          </w:p>
        </w:tc>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es-MX"/>
              </w:rPr>
            </w:pPr>
            <w:r>
              <w:rPr>
                <w:rFonts w:ascii="Arial" w:eastAsia="Arial Unicode MS" w:hAnsi="Arial" w:cs="Arial"/>
                <w:b/>
                <w:color w:val="000000"/>
                <w:lang w:val="es-MX"/>
              </w:rPr>
              <w:t>VOCAL:</w:t>
            </w:r>
          </w:p>
          <w:p w:rsidR="000050A4" w:rsidRDefault="000050A4" w:rsidP="00493A57">
            <w:pPr>
              <w:jc w:val="center"/>
              <w:outlineLvl w:val="0"/>
              <w:rPr>
                <w:rFonts w:ascii="Arial" w:eastAsia="Arial Unicode MS" w:hAnsi="Arial" w:cs="Arial"/>
                <w:b/>
                <w:color w:val="000000"/>
                <w:lang w:val="es-MX"/>
              </w:rPr>
            </w:pPr>
          </w:p>
          <w:p w:rsidR="000050A4" w:rsidRDefault="000050A4" w:rsidP="00493A57">
            <w:pP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color w:val="000000"/>
                <w:lang w:val="es-MX"/>
              </w:rPr>
            </w:pPr>
            <w:r>
              <w:rPr>
                <w:rFonts w:ascii="Arial" w:eastAsia="Arial Unicode MS" w:hAnsi="Arial" w:cs="Arial"/>
                <w:color w:val="000000"/>
                <w:lang w:val="es-MX"/>
              </w:rPr>
              <w:t>DIP. LAURA PAULA LÓPEZ SÁNCHEZ</w:t>
            </w:r>
          </w:p>
        </w:tc>
      </w:tr>
      <w:tr w:rsidR="000050A4" w:rsidTr="00493A57">
        <w:trPr>
          <w:cantSplit/>
          <w:trHeight w:val="340"/>
          <w:jc w:val="center"/>
        </w:trPr>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es-MX"/>
              </w:rPr>
            </w:pPr>
            <w:r>
              <w:rPr>
                <w:rFonts w:ascii="Arial" w:eastAsia="Arial Unicode MS" w:hAnsi="Arial" w:cs="Arial"/>
                <w:b/>
                <w:color w:val="000000"/>
                <w:lang w:val="es-MX"/>
              </w:rPr>
              <w:t>VOCAL:</w:t>
            </w:r>
          </w:p>
          <w:p w:rsidR="000050A4" w:rsidRDefault="000050A4" w:rsidP="00493A57">
            <w:pPr>
              <w:outlineLvl w:val="0"/>
              <w:rPr>
                <w:rFonts w:ascii="Arial" w:eastAsia="Arial Unicode MS" w:hAnsi="Arial" w:cs="Arial"/>
                <w:b/>
                <w:color w:val="000000"/>
                <w:lang w:val="es-MX"/>
              </w:rPr>
            </w:pPr>
          </w:p>
          <w:p w:rsidR="000050A4" w:rsidRDefault="000050A4" w:rsidP="00493A57">
            <w:pP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color w:val="000000"/>
                <w:lang w:val="es-MX"/>
              </w:rPr>
            </w:pPr>
            <w:r>
              <w:rPr>
                <w:rFonts w:ascii="Arial" w:eastAsia="Arial Unicode MS" w:hAnsi="Arial" w:cs="Arial"/>
                <w:color w:val="000000"/>
                <w:lang w:val="es-MX"/>
              </w:rPr>
              <w:t xml:space="preserve">DIP. MARCELO MARTÍNEZ VILLARREAL </w:t>
            </w:r>
          </w:p>
        </w:tc>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it-IT"/>
              </w:rPr>
            </w:pPr>
            <w:r>
              <w:rPr>
                <w:rFonts w:ascii="Arial" w:eastAsia="Arial Unicode MS" w:hAnsi="Arial" w:cs="Arial"/>
                <w:b/>
                <w:color w:val="000000"/>
                <w:lang w:val="it-IT"/>
              </w:rPr>
              <w:t>VOCAL:</w:t>
            </w:r>
          </w:p>
          <w:p w:rsidR="000050A4" w:rsidRDefault="000050A4" w:rsidP="00493A57">
            <w:pPr>
              <w:jc w:val="center"/>
              <w:outlineLvl w:val="0"/>
              <w:rPr>
                <w:rFonts w:ascii="Arial" w:eastAsia="Arial Unicode MS" w:hAnsi="Arial" w:cs="Arial"/>
                <w:b/>
                <w:color w:val="000000"/>
                <w:lang w:val="it-IT"/>
              </w:rPr>
            </w:pPr>
          </w:p>
          <w:p w:rsidR="000050A4" w:rsidRDefault="000050A4" w:rsidP="00493A57">
            <w:pPr>
              <w:outlineLvl w:val="0"/>
              <w:rPr>
                <w:rFonts w:ascii="Arial" w:eastAsia="Arial Unicode MS" w:hAnsi="Arial" w:cs="Arial"/>
                <w:b/>
                <w:color w:val="000000"/>
                <w:lang w:val="it-IT"/>
              </w:rPr>
            </w:pPr>
          </w:p>
          <w:p w:rsidR="000050A4" w:rsidRDefault="000050A4" w:rsidP="00493A57">
            <w:pPr>
              <w:jc w:val="center"/>
              <w:outlineLvl w:val="0"/>
              <w:rPr>
                <w:rFonts w:ascii="Arial" w:eastAsia="Arial Unicode MS" w:hAnsi="Arial" w:cs="Arial"/>
                <w:color w:val="000000"/>
                <w:lang w:val="it-IT"/>
              </w:rPr>
            </w:pPr>
            <w:r>
              <w:rPr>
                <w:rFonts w:ascii="Arial" w:eastAsia="Arial Unicode MS" w:hAnsi="Arial" w:cs="Arial"/>
                <w:color w:val="000000"/>
                <w:lang w:val="it-IT"/>
              </w:rPr>
              <w:t>DIP. MARCOS MENDOZA VÁZQUEZ</w:t>
            </w:r>
          </w:p>
        </w:tc>
      </w:tr>
      <w:tr w:rsidR="000050A4" w:rsidTr="00493A57">
        <w:trPr>
          <w:cantSplit/>
          <w:trHeight w:val="340"/>
          <w:jc w:val="center"/>
        </w:trPr>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es-MX"/>
              </w:rPr>
            </w:pPr>
            <w:r>
              <w:rPr>
                <w:rFonts w:ascii="Arial" w:eastAsia="Arial Unicode MS" w:hAnsi="Arial" w:cs="Arial"/>
                <w:b/>
                <w:color w:val="000000"/>
                <w:lang w:val="es-MX"/>
              </w:rPr>
              <w:t>VOCAL:</w:t>
            </w:r>
          </w:p>
          <w:p w:rsidR="000050A4" w:rsidRDefault="000050A4" w:rsidP="00493A57">
            <w:pPr>
              <w:jc w:val="center"/>
              <w:outlineLvl w:val="0"/>
              <w:rPr>
                <w:rFonts w:ascii="Arial" w:eastAsia="Arial Unicode MS" w:hAnsi="Arial" w:cs="Arial"/>
                <w:b/>
                <w:color w:val="000000"/>
                <w:lang w:val="es-MX"/>
              </w:rPr>
            </w:pPr>
          </w:p>
          <w:p w:rsidR="000050A4" w:rsidRDefault="000050A4" w:rsidP="00493A57">
            <w:pP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color w:val="000000"/>
                <w:lang w:val="es-MX"/>
              </w:rPr>
            </w:pPr>
            <w:r>
              <w:rPr>
                <w:rFonts w:ascii="Arial" w:eastAsia="Arial Unicode MS" w:hAnsi="Arial" w:cs="Arial"/>
                <w:color w:val="000000"/>
                <w:lang w:val="es-MX"/>
              </w:rPr>
              <w:t>DIP. SAMUEL ALEJANDRO GARCÍA SEPÚLVEDA</w:t>
            </w:r>
          </w:p>
        </w:tc>
        <w:tc>
          <w:tcPr>
            <w:tcW w:w="4322" w:type="dxa"/>
            <w:tcMar>
              <w:top w:w="80" w:type="dxa"/>
              <w:left w:w="0" w:type="dxa"/>
              <w:bottom w:w="80" w:type="dxa"/>
              <w:right w:w="0" w:type="dxa"/>
            </w:tcMar>
          </w:tcPr>
          <w:p w:rsidR="000050A4" w:rsidRDefault="000050A4" w:rsidP="00493A57">
            <w:pPr>
              <w:jc w:val="center"/>
              <w:outlineLvl w:val="0"/>
              <w:rPr>
                <w:rFonts w:ascii="Arial" w:eastAsia="Arial Unicode MS" w:hAnsi="Arial" w:cs="Arial"/>
                <w:b/>
                <w:color w:val="000000"/>
                <w:lang w:val="es-MX"/>
              </w:rPr>
            </w:pPr>
            <w:r>
              <w:rPr>
                <w:rFonts w:ascii="Arial" w:eastAsia="Arial Unicode MS" w:hAnsi="Arial" w:cs="Arial"/>
                <w:b/>
                <w:color w:val="000000"/>
                <w:lang w:val="es-MX"/>
              </w:rPr>
              <w:t>VOCAL:</w:t>
            </w:r>
          </w:p>
          <w:p w:rsidR="000050A4" w:rsidRDefault="000050A4" w:rsidP="00493A57">
            <w:pP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b/>
                <w:color w:val="000000"/>
                <w:lang w:val="es-MX"/>
              </w:rPr>
            </w:pPr>
          </w:p>
          <w:p w:rsidR="000050A4" w:rsidRDefault="000050A4" w:rsidP="00493A57">
            <w:pPr>
              <w:jc w:val="center"/>
              <w:outlineLvl w:val="0"/>
              <w:rPr>
                <w:rFonts w:ascii="Arial" w:eastAsia="Arial Unicode MS" w:hAnsi="Arial" w:cs="Arial"/>
                <w:color w:val="000000"/>
                <w:lang w:val="es-MX"/>
              </w:rPr>
            </w:pPr>
            <w:r>
              <w:rPr>
                <w:rFonts w:ascii="Arial" w:eastAsia="Arial Unicode MS" w:hAnsi="Arial" w:cs="Arial"/>
                <w:color w:val="000000"/>
                <w:lang w:val="es-MX"/>
              </w:rPr>
              <w:t>DIP. COSME JULIÁN LEAL CANTÚ</w:t>
            </w:r>
          </w:p>
        </w:tc>
      </w:tr>
    </w:tbl>
    <w:p w:rsidR="00E82188" w:rsidRDefault="00E82188" w:rsidP="003A1C58">
      <w:pPr>
        <w:spacing w:before="240" w:line="360" w:lineRule="auto"/>
        <w:ind w:firstLine="709"/>
        <w:jc w:val="both"/>
        <w:rPr>
          <w:rFonts w:ascii="Arial" w:hAnsi="Arial" w:cs="Arial"/>
          <w:sz w:val="24"/>
          <w:szCs w:val="24"/>
        </w:rPr>
      </w:pPr>
      <w:bookmarkStart w:id="0" w:name="_GoBack"/>
      <w:bookmarkEnd w:id="0"/>
    </w:p>
    <w:sectPr w:rsidR="00E82188" w:rsidSect="003A1C58">
      <w:footerReference w:type="default" r:id="rId17"/>
      <w:pgSz w:w="12242" w:h="15842" w:code="1"/>
      <w:pgMar w:top="3799" w:right="851" w:bottom="1418" w:left="3062"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2D" w:rsidRDefault="0068552D" w:rsidP="005003EB">
      <w:pPr>
        <w:spacing w:after="0" w:line="240" w:lineRule="auto"/>
      </w:pPr>
      <w:r>
        <w:separator/>
      </w:r>
    </w:p>
  </w:endnote>
  <w:endnote w:type="continuationSeparator" w:id="0">
    <w:p w:rsidR="0068552D" w:rsidRDefault="0068552D" w:rsidP="0050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Roman P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A57" w:rsidRPr="0088072B" w:rsidRDefault="00493A57">
    <w:pPr>
      <w:pStyle w:val="Piedepgina"/>
      <w:jc w:val="right"/>
      <w:rPr>
        <w:rFonts w:ascii="Century Gothic" w:hAnsi="Century Gothic"/>
        <w:sz w:val="20"/>
        <w:szCs w:val="20"/>
      </w:rPr>
    </w:pPr>
    <w:r w:rsidRPr="0088072B">
      <w:rPr>
        <w:rFonts w:ascii="Century Gothic" w:hAnsi="Century Gothic"/>
        <w:sz w:val="20"/>
        <w:szCs w:val="20"/>
      </w:rPr>
      <w:fldChar w:fldCharType="begin"/>
    </w:r>
    <w:r w:rsidRPr="0088072B">
      <w:rPr>
        <w:rFonts w:ascii="Century Gothic" w:hAnsi="Century Gothic"/>
        <w:sz w:val="20"/>
        <w:szCs w:val="20"/>
      </w:rPr>
      <w:instrText xml:space="preserve"> PAGE   \* MERGEFORMAT </w:instrText>
    </w:r>
    <w:r w:rsidRPr="0088072B">
      <w:rPr>
        <w:rFonts w:ascii="Century Gothic" w:hAnsi="Century Gothic"/>
        <w:sz w:val="20"/>
        <w:szCs w:val="20"/>
      </w:rPr>
      <w:fldChar w:fldCharType="separate"/>
    </w:r>
    <w:r w:rsidR="003A1C58">
      <w:rPr>
        <w:rFonts w:ascii="Century Gothic" w:hAnsi="Century Gothic"/>
        <w:noProof/>
        <w:sz w:val="20"/>
        <w:szCs w:val="20"/>
      </w:rPr>
      <w:t>39</w:t>
    </w:r>
    <w:r w:rsidRPr="0088072B">
      <w:rPr>
        <w:rFonts w:ascii="Century Gothic" w:hAnsi="Century Gothic"/>
        <w:sz w:val="20"/>
        <w:szCs w:val="20"/>
      </w:rPr>
      <w:fldChar w:fldCharType="end"/>
    </w:r>
  </w:p>
  <w:p w:rsidR="00493A57" w:rsidRPr="00513CE9" w:rsidRDefault="00493A57" w:rsidP="007E057C">
    <w:pPr>
      <w:pStyle w:val="Piedepgina"/>
      <w:jc w:val="center"/>
      <w:rPr>
        <w:rFonts w:ascii="Arial" w:hAnsi="Arial" w:cs="Arial"/>
        <w:sz w:val="14"/>
        <w:szCs w:val="14"/>
      </w:rPr>
    </w:pPr>
    <w:r w:rsidRPr="00513CE9">
      <w:rPr>
        <w:rFonts w:ascii="Arial" w:hAnsi="Arial" w:cs="Arial"/>
        <w:sz w:val="14"/>
        <w:szCs w:val="14"/>
      </w:rPr>
      <w:t>Comisión de Hacienda del Estado</w:t>
    </w:r>
    <w:r>
      <w:rPr>
        <w:rFonts w:ascii="Arial" w:hAnsi="Arial" w:cs="Arial"/>
        <w:sz w:val="14"/>
        <w:szCs w:val="14"/>
      </w:rPr>
      <w:t xml:space="preserve"> </w:t>
    </w:r>
  </w:p>
  <w:p w:rsidR="00493A57" w:rsidRPr="00513CE9" w:rsidRDefault="00493A57" w:rsidP="007E057C">
    <w:pPr>
      <w:pStyle w:val="Piedepgina"/>
      <w:jc w:val="center"/>
      <w:rPr>
        <w:rFonts w:ascii="Century Gothic" w:hAnsi="Century Gothic"/>
        <w:sz w:val="14"/>
        <w:szCs w:val="14"/>
      </w:rPr>
    </w:pPr>
    <w:r>
      <w:rPr>
        <w:rFonts w:ascii="Arial" w:hAnsi="Arial" w:cs="Arial"/>
        <w:sz w:val="14"/>
        <w:szCs w:val="14"/>
      </w:rPr>
      <w:t>Dictamen del Expediente</w:t>
    </w:r>
    <w:r w:rsidR="00274D57">
      <w:rPr>
        <w:rFonts w:ascii="Arial" w:hAnsi="Arial" w:cs="Arial"/>
        <w:sz w:val="14"/>
        <w:szCs w:val="14"/>
      </w:rPr>
      <w:t xml:space="preserve"> 10429/LXXIV Cuenta Pública 2015</w:t>
    </w:r>
    <w:r w:rsidRPr="00513CE9">
      <w:rPr>
        <w:rFonts w:ascii="Arial" w:hAnsi="Arial" w:cs="Arial"/>
        <w:sz w:val="14"/>
        <w:szCs w:val="14"/>
      </w:rPr>
      <w:t xml:space="preserve"> de</w:t>
    </w:r>
    <w:r>
      <w:rPr>
        <w:rFonts w:ascii="Arial" w:hAnsi="Arial" w:cs="Arial"/>
        <w:sz w:val="14"/>
        <w:szCs w:val="14"/>
      </w:rPr>
      <w:t>l Fideicomiso Fondo para la Vivienda para los Trabajadores de la Educación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2D" w:rsidRDefault="0068552D" w:rsidP="005003EB">
      <w:pPr>
        <w:spacing w:after="0" w:line="240" w:lineRule="auto"/>
      </w:pPr>
      <w:r>
        <w:separator/>
      </w:r>
    </w:p>
  </w:footnote>
  <w:footnote w:type="continuationSeparator" w:id="0">
    <w:p w:rsidR="0068552D" w:rsidRDefault="0068552D" w:rsidP="00500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5F7"/>
    <w:multiLevelType w:val="hybridMultilevel"/>
    <w:tmpl w:val="16588EAA"/>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D1DB5"/>
    <w:multiLevelType w:val="hybridMultilevel"/>
    <w:tmpl w:val="6BAAF48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48108DD"/>
    <w:multiLevelType w:val="hybridMultilevel"/>
    <w:tmpl w:val="BED6CC70"/>
    <w:lvl w:ilvl="0" w:tplc="50068098">
      <w:start w:val="1"/>
      <w:numFmt w:val="upperRoman"/>
      <w:lvlText w:val="%1."/>
      <w:lvlJc w:val="left"/>
      <w:pPr>
        <w:ind w:left="720" w:hanging="360"/>
      </w:pPr>
      <w:rPr>
        <w:rFonts w:hint="default"/>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A102E5"/>
    <w:multiLevelType w:val="hybridMultilevel"/>
    <w:tmpl w:val="B8949C54"/>
    <w:lvl w:ilvl="0" w:tplc="4912A328">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133752B"/>
    <w:multiLevelType w:val="hybridMultilevel"/>
    <w:tmpl w:val="FA90F9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CE3780"/>
    <w:multiLevelType w:val="hybridMultilevel"/>
    <w:tmpl w:val="135E8496"/>
    <w:lvl w:ilvl="0" w:tplc="CD3295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81E8E"/>
    <w:multiLevelType w:val="hybridMultilevel"/>
    <w:tmpl w:val="F5AC5D08"/>
    <w:lvl w:ilvl="0" w:tplc="632CE5A8">
      <w:start w:val="1"/>
      <w:numFmt w:val="upperRoman"/>
      <w:lvlText w:val="%1."/>
      <w:lvlJc w:val="left"/>
      <w:pPr>
        <w:ind w:left="72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1F54166C"/>
    <w:multiLevelType w:val="hybridMultilevel"/>
    <w:tmpl w:val="5FB88CD4"/>
    <w:lvl w:ilvl="0" w:tplc="2A0A08E6">
      <w:start w:val="1"/>
      <w:numFmt w:val="upperRoman"/>
      <w:lvlText w:val="%1."/>
      <w:lvlJc w:val="left"/>
      <w:pPr>
        <w:ind w:left="720" w:hanging="360"/>
      </w:pPr>
      <w:rPr>
        <w:rFonts w:ascii="Arial" w:eastAsia="Calibri" w:hAnsi="Arial" w:cs="Arial"/>
        <w:b/>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3D8C5B2">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0A1A6F"/>
    <w:multiLevelType w:val="hybridMultilevel"/>
    <w:tmpl w:val="32B8355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4E34EF"/>
    <w:multiLevelType w:val="hybridMultilevel"/>
    <w:tmpl w:val="EF764AC2"/>
    <w:lvl w:ilvl="0" w:tplc="6E96E21E">
      <w:start w:val="1"/>
      <w:numFmt w:val="decimal"/>
      <w:pStyle w:val="Informe"/>
      <w:lvlText w:val="%1."/>
      <w:lvlJc w:val="left"/>
      <w:pPr>
        <w:ind w:left="1495"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651839"/>
    <w:multiLevelType w:val="hybridMultilevel"/>
    <w:tmpl w:val="F5C4075A"/>
    <w:lvl w:ilvl="0" w:tplc="EA988920">
      <w:start w:val="6"/>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E35678"/>
    <w:multiLevelType w:val="hybridMultilevel"/>
    <w:tmpl w:val="5AA0168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AD44ED4"/>
    <w:multiLevelType w:val="hybridMultilevel"/>
    <w:tmpl w:val="EEB41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11383C"/>
    <w:multiLevelType w:val="hybridMultilevel"/>
    <w:tmpl w:val="294250C8"/>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E773D99"/>
    <w:multiLevelType w:val="hybridMultilevel"/>
    <w:tmpl w:val="901E3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686AB1"/>
    <w:multiLevelType w:val="hybridMultilevel"/>
    <w:tmpl w:val="B77825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9B"/>
    <w:multiLevelType w:val="hybridMultilevel"/>
    <w:tmpl w:val="5AA0168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93F52BB"/>
    <w:multiLevelType w:val="hybridMultilevel"/>
    <w:tmpl w:val="61021A42"/>
    <w:lvl w:ilvl="0" w:tplc="B37ABB8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7D3A90"/>
    <w:multiLevelType w:val="hybridMultilevel"/>
    <w:tmpl w:val="9654B5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DD0EFC"/>
    <w:multiLevelType w:val="hybridMultilevel"/>
    <w:tmpl w:val="14D6BE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1055CC"/>
    <w:multiLevelType w:val="hybridMultilevel"/>
    <w:tmpl w:val="E7CAB31A"/>
    <w:lvl w:ilvl="0" w:tplc="080A0005">
      <w:start w:val="1"/>
      <w:numFmt w:val="bullet"/>
      <w:lvlText w:val=""/>
      <w:lvlJc w:val="left"/>
      <w:pPr>
        <w:ind w:left="790" w:hanging="360"/>
      </w:pPr>
      <w:rPr>
        <w:rFonts w:ascii="Wingdings" w:hAnsi="Wingdings"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21" w15:restartNumberingAfterBreak="0">
    <w:nsid w:val="415D4FA8"/>
    <w:multiLevelType w:val="hybridMultilevel"/>
    <w:tmpl w:val="5AA0168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7AC6671"/>
    <w:multiLevelType w:val="hybridMultilevel"/>
    <w:tmpl w:val="A4E20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5C6C62"/>
    <w:multiLevelType w:val="hybridMultilevel"/>
    <w:tmpl w:val="DD62B458"/>
    <w:lvl w:ilvl="0" w:tplc="2982E05A">
      <w:start w:val="1"/>
      <w:numFmt w:val="upperRoman"/>
      <w:lvlText w:val="%1."/>
      <w:lvlJc w:val="right"/>
      <w:pPr>
        <w:ind w:left="3550" w:hanging="360"/>
      </w:pPr>
      <w:rPr>
        <w:color w:val="auto"/>
      </w:rPr>
    </w:lvl>
    <w:lvl w:ilvl="1" w:tplc="080A0019" w:tentative="1">
      <w:start w:val="1"/>
      <w:numFmt w:val="lowerLetter"/>
      <w:lvlText w:val="%2."/>
      <w:lvlJc w:val="left"/>
      <w:pPr>
        <w:ind w:left="4270" w:hanging="360"/>
      </w:pPr>
    </w:lvl>
    <w:lvl w:ilvl="2" w:tplc="080A001B" w:tentative="1">
      <w:start w:val="1"/>
      <w:numFmt w:val="lowerRoman"/>
      <w:lvlText w:val="%3."/>
      <w:lvlJc w:val="right"/>
      <w:pPr>
        <w:ind w:left="4990" w:hanging="180"/>
      </w:pPr>
    </w:lvl>
    <w:lvl w:ilvl="3" w:tplc="080A000F" w:tentative="1">
      <w:start w:val="1"/>
      <w:numFmt w:val="decimal"/>
      <w:lvlText w:val="%4."/>
      <w:lvlJc w:val="left"/>
      <w:pPr>
        <w:ind w:left="5710" w:hanging="360"/>
      </w:pPr>
    </w:lvl>
    <w:lvl w:ilvl="4" w:tplc="080A0019" w:tentative="1">
      <w:start w:val="1"/>
      <w:numFmt w:val="lowerLetter"/>
      <w:lvlText w:val="%5."/>
      <w:lvlJc w:val="left"/>
      <w:pPr>
        <w:ind w:left="6430" w:hanging="360"/>
      </w:pPr>
    </w:lvl>
    <w:lvl w:ilvl="5" w:tplc="080A001B" w:tentative="1">
      <w:start w:val="1"/>
      <w:numFmt w:val="lowerRoman"/>
      <w:lvlText w:val="%6."/>
      <w:lvlJc w:val="right"/>
      <w:pPr>
        <w:ind w:left="7150" w:hanging="180"/>
      </w:pPr>
    </w:lvl>
    <w:lvl w:ilvl="6" w:tplc="080A000F" w:tentative="1">
      <w:start w:val="1"/>
      <w:numFmt w:val="decimal"/>
      <w:lvlText w:val="%7."/>
      <w:lvlJc w:val="left"/>
      <w:pPr>
        <w:ind w:left="7870" w:hanging="360"/>
      </w:pPr>
    </w:lvl>
    <w:lvl w:ilvl="7" w:tplc="080A0019" w:tentative="1">
      <w:start w:val="1"/>
      <w:numFmt w:val="lowerLetter"/>
      <w:lvlText w:val="%8."/>
      <w:lvlJc w:val="left"/>
      <w:pPr>
        <w:ind w:left="8590" w:hanging="360"/>
      </w:pPr>
    </w:lvl>
    <w:lvl w:ilvl="8" w:tplc="080A001B" w:tentative="1">
      <w:start w:val="1"/>
      <w:numFmt w:val="lowerRoman"/>
      <w:lvlText w:val="%9."/>
      <w:lvlJc w:val="right"/>
      <w:pPr>
        <w:ind w:left="9310" w:hanging="180"/>
      </w:pPr>
    </w:lvl>
  </w:abstractNum>
  <w:abstractNum w:abstractNumId="24" w15:restartNumberingAfterBreak="0">
    <w:nsid w:val="4B134AC7"/>
    <w:multiLevelType w:val="hybridMultilevel"/>
    <w:tmpl w:val="796EEE5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42488A"/>
    <w:multiLevelType w:val="hybridMultilevel"/>
    <w:tmpl w:val="84B2179E"/>
    <w:lvl w:ilvl="0" w:tplc="503EAB98">
      <w:start w:val="1"/>
      <w:numFmt w:val="decimal"/>
      <w:pStyle w:val="NormalArial"/>
      <w:lvlText w:val="%1."/>
      <w:lvlJc w:val="left"/>
      <w:pPr>
        <w:tabs>
          <w:tab w:val="num" w:pos="720"/>
        </w:tabs>
        <w:ind w:left="720" w:hanging="360"/>
      </w:pPr>
      <w:rPr>
        <w:b/>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C482B48"/>
    <w:multiLevelType w:val="hybridMultilevel"/>
    <w:tmpl w:val="8A5A2560"/>
    <w:lvl w:ilvl="0" w:tplc="D958B9D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CF52BB"/>
    <w:multiLevelType w:val="hybridMultilevel"/>
    <w:tmpl w:val="811ECB72"/>
    <w:lvl w:ilvl="0" w:tplc="92ECCA38">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0EC30FC"/>
    <w:multiLevelType w:val="hybridMultilevel"/>
    <w:tmpl w:val="AEC8A366"/>
    <w:lvl w:ilvl="0" w:tplc="5D7EFF88">
      <w:start w:val="1"/>
      <w:numFmt w:val="lowerLetter"/>
      <w:lvlText w:val="%1)"/>
      <w:lvlJc w:val="left"/>
      <w:pPr>
        <w:ind w:left="720" w:hanging="360"/>
      </w:pPr>
      <w:rPr>
        <w:rFonts w:hint="default"/>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B671EE"/>
    <w:multiLevelType w:val="hybridMultilevel"/>
    <w:tmpl w:val="4768D418"/>
    <w:lvl w:ilvl="0" w:tplc="22A0C53C">
      <w:start w:val="1"/>
      <w:numFmt w:val="upperLetter"/>
      <w:lvlText w:val="%1."/>
      <w:lvlJc w:val="left"/>
      <w:pPr>
        <w:ind w:left="720" w:hanging="360"/>
      </w:pPr>
      <w:rPr>
        <w:rFonts w:hint="default"/>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376F1F"/>
    <w:multiLevelType w:val="hybridMultilevel"/>
    <w:tmpl w:val="BE1A660C"/>
    <w:lvl w:ilvl="0" w:tplc="A63A9D20">
      <w:start w:val="1"/>
      <w:numFmt w:val="decimal"/>
      <w:pStyle w:val="Helveticaa"/>
      <w:lvlText w:val="%1."/>
      <w:lvlJc w:val="left"/>
      <w:pPr>
        <w:tabs>
          <w:tab w:val="num" w:pos="454"/>
        </w:tabs>
        <w:ind w:left="454" w:hanging="454"/>
      </w:pPr>
      <w:rPr>
        <w:rFonts w:ascii="Arial" w:hAnsi="Arial" w:hint="default"/>
        <w:b/>
        <w:i w:val="0"/>
        <w:sz w:val="24"/>
      </w:rPr>
    </w:lvl>
    <w:lvl w:ilvl="1" w:tplc="459C07AC">
      <w:start w:val="1"/>
      <w:numFmt w:val="lowerLetter"/>
      <w:lvlText w:val="%2)"/>
      <w:lvlJc w:val="left"/>
      <w:pPr>
        <w:tabs>
          <w:tab w:val="num" w:pos="907"/>
        </w:tabs>
        <w:ind w:left="907" w:hanging="453"/>
      </w:pPr>
      <w:rPr>
        <w:rFonts w:hint="default"/>
        <w:b/>
        <w:i w:val="0"/>
        <w:sz w:val="24"/>
      </w:rPr>
    </w:lvl>
    <w:lvl w:ilvl="2" w:tplc="264CA252">
      <w:start w:val="1"/>
      <w:numFmt w:val="decimal"/>
      <w:lvlText w:val="%3."/>
      <w:lvlJc w:val="left"/>
      <w:pPr>
        <w:tabs>
          <w:tab w:val="num" w:pos="2433"/>
        </w:tabs>
        <w:ind w:left="2433" w:hanging="453"/>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5EA358D"/>
    <w:multiLevelType w:val="hybridMultilevel"/>
    <w:tmpl w:val="F6F23E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1D5B2F"/>
    <w:multiLevelType w:val="hybridMultilevel"/>
    <w:tmpl w:val="0BD6870C"/>
    <w:lvl w:ilvl="0" w:tplc="43882B44">
      <w:start w:val="1"/>
      <w:numFmt w:val="decimal"/>
      <w:lvlText w:val="%1."/>
      <w:lvlJc w:val="left"/>
      <w:pPr>
        <w:ind w:left="720" w:hanging="360"/>
      </w:pPr>
      <w:rPr>
        <w:rFonts w:hint="default"/>
        <w:b/>
        <w:sz w:val="16"/>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155C8F"/>
    <w:multiLevelType w:val="hybridMultilevel"/>
    <w:tmpl w:val="EBE2CD40"/>
    <w:lvl w:ilvl="0" w:tplc="9E908536">
      <w:start w:val="1"/>
      <w:numFmt w:val="lowerLetter"/>
      <w:lvlText w:val="%1)"/>
      <w:lvlJc w:val="left"/>
      <w:pPr>
        <w:ind w:left="470" w:hanging="360"/>
      </w:pPr>
      <w:rPr>
        <w:rFonts w:hint="default"/>
        <w:b/>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4" w15:restartNumberingAfterBreak="0">
    <w:nsid w:val="61A411D6"/>
    <w:multiLevelType w:val="singleLevel"/>
    <w:tmpl w:val="CCD0C750"/>
    <w:lvl w:ilvl="0">
      <w:start w:val="1"/>
      <w:numFmt w:val="lowerLetter"/>
      <w:lvlText w:val="%1)"/>
      <w:lvlJc w:val="left"/>
      <w:pPr>
        <w:tabs>
          <w:tab w:val="num" w:pos="360"/>
        </w:tabs>
        <w:ind w:left="360" w:hanging="360"/>
      </w:pPr>
    </w:lvl>
  </w:abstractNum>
  <w:abstractNum w:abstractNumId="35" w15:restartNumberingAfterBreak="0">
    <w:nsid w:val="66103F4E"/>
    <w:multiLevelType w:val="hybridMultilevel"/>
    <w:tmpl w:val="37AAF8A0"/>
    <w:lvl w:ilvl="0" w:tplc="BD0889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DB3538"/>
    <w:multiLevelType w:val="hybridMultilevel"/>
    <w:tmpl w:val="E530F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1844C7"/>
    <w:multiLevelType w:val="hybridMultilevel"/>
    <w:tmpl w:val="0BD6870C"/>
    <w:lvl w:ilvl="0" w:tplc="43882B44">
      <w:start w:val="1"/>
      <w:numFmt w:val="decimal"/>
      <w:lvlText w:val="%1."/>
      <w:lvlJc w:val="left"/>
      <w:pPr>
        <w:ind w:left="720" w:hanging="360"/>
      </w:pPr>
      <w:rPr>
        <w:rFonts w:hint="default"/>
        <w:b/>
        <w:sz w:val="16"/>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F3A3D"/>
    <w:multiLevelType w:val="hybridMultilevel"/>
    <w:tmpl w:val="D222E2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0B5B97"/>
    <w:multiLevelType w:val="hybridMultilevel"/>
    <w:tmpl w:val="F8625FB2"/>
    <w:lvl w:ilvl="0" w:tplc="53F42C66">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95341E"/>
    <w:multiLevelType w:val="hybridMultilevel"/>
    <w:tmpl w:val="F8625FB2"/>
    <w:lvl w:ilvl="0" w:tplc="53F42C66">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F24DF5"/>
    <w:multiLevelType w:val="hybridMultilevel"/>
    <w:tmpl w:val="4994245C"/>
    <w:lvl w:ilvl="0" w:tplc="D590A1BC">
      <w:start w:val="1"/>
      <w:numFmt w:val="bullet"/>
      <w:lvlText w:val="-"/>
      <w:lvlJc w:val="left"/>
      <w:pPr>
        <w:ind w:left="1080" w:hanging="360"/>
      </w:pPr>
      <w:rPr>
        <w:rFonts w:ascii="Arial" w:eastAsia="Calibri"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2" w15:restartNumberingAfterBreak="0">
    <w:nsid w:val="7447089E"/>
    <w:multiLevelType w:val="hybridMultilevel"/>
    <w:tmpl w:val="0DCA4FA2"/>
    <w:lvl w:ilvl="0" w:tplc="D75A357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B3367D"/>
    <w:multiLevelType w:val="hybridMultilevel"/>
    <w:tmpl w:val="CA0A8570"/>
    <w:lvl w:ilvl="0" w:tplc="81004926">
      <w:start w:val="1"/>
      <w:numFmt w:val="upperLetter"/>
      <w:lvlText w:val="%1)"/>
      <w:lvlJc w:val="left"/>
      <w:pPr>
        <w:ind w:left="720" w:hanging="360"/>
      </w:pPr>
      <w:rPr>
        <w:color w:val="808080" w:themeColor="background1" w:themeShade="8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C477424"/>
    <w:multiLevelType w:val="hybridMultilevel"/>
    <w:tmpl w:val="FD3800A8"/>
    <w:lvl w:ilvl="0" w:tplc="95AC7996">
      <w:start w:val="6"/>
      <w:numFmt w:val="upperRoman"/>
      <w:lvlText w:val="%1."/>
      <w:lvlJc w:val="right"/>
      <w:pPr>
        <w:ind w:left="720" w:hanging="360"/>
      </w:pPr>
      <w:rPr>
        <w:rFonts w:ascii="Arial" w:hAnsi="Arial" w:cs="Arial"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2"/>
  </w:num>
  <w:num w:numId="2">
    <w:abstractNumId w:val="22"/>
  </w:num>
  <w:num w:numId="3">
    <w:abstractNumId w:val="5"/>
  </w:num>
  <w:num w:numId="4">
    <w:abstractNumId w:val="3"/>
  </w:num>
  <w:num w:numId="5">
    <w:abstractNumId w:val="7"/>
  </w:num>
  <w:num w:numId="6">
    <w:abstractNumId w:val="17"/>
  </w:num>
  <w:num w:numId="7">
    <w:abstractNumId w:val="21"/>
  </w:num>
  <w:num w:numId="8">
    <w:abstractNumId w:val="16"/>
  </w:num>
  <w:num w:numId="9">
    <w:abstractNumId w:val="24"/>
  </w:num>
  <w:num w:numId="10">
    <w:abstractNumId w:val="28"/>
  </w:num>
  <w:num w:numId="11">
    <w:abstractNumId w:val="3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2"/>
  </w:num>
  <w:num w:numId="15">
    <w:abstractNumId w:val="0"/>
  </w:num>
  <w:num w:numId="16">
    <w:abstractNumId w:val="11"/>
  </w:num>
  <w:num w:numId="17">
    <w:abstractNumId w:val="29"/>
  </w:num>
  <w:num w:numId="18">
    <w:abstractNumId w:val="38"/>
  </w:num>
  <w:num w:numId="19">
    <w:abstractNumId w:val="9"/>
  </w:num>
  <w:num w:numId="20">
    <w:abstractNumId w:val="25"/>
  </w:num>
  <w:num w:numId="21">
    <w:abstractNumId w:val="13"/>
  </w:num>
  <w:num w:numId="22">
    <w:abstractNumId w:val="26"/>
  </w:num>
  <w:num w:numId="23">
    <w:abstractNumId w:val="14"/>
  </w:num>
  <w:num w:numId="24">
    <w:abstractNumId w:val="33"/>
  </w:num>
  <w:num w:numId="25">
    <w:abstractNumId w:val="39"/>
  </w:num>
  <w:num w:numId="26">
    <w:abstractNumId w:val="4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0"/>
  </w:num>
  <w:num w:numId="35">
    <w:abstractNumId w:val="10"/>
  </w:num>
  <w:num w:numId="36">
    <w:abstractNumId w:val="19"/>
  </w:num>
  <w:num w:numId="37">
    <w:abstractNumId w:val="8"/>
  </w:num>
  <w:num w:numId="38">
    <w:abstractNumId w:val="37"/>
  </w:num>
  <w:num w:numId="39">
    <w:abstractNumId w:val="23"/>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4"/>
  </w:num>
  <w:num w:numId="43">
    <w:abstractNumId w:val="36"/>
  </w:num>
  <w:num w:numId="44">
    <w:abstractNumId w:val="6"/>
  </w:num>
  <w:num w:numId="45">
    <w:abstractNumId w:val="31"/>
  </w:num>
  <w:num w:numId="46">
    <w:abstractNumId w:val="18"/>
  </w:num>
  <w:num w:numId="4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EB"/>
    <w:rsid w:val="00001A7A"/>
    <w:rsid w:val="000050A4"/>
    <w:rsid w:val="00006469"/>
    <w:rsid w:val="00010F14"/>
    <w:rsid w:val="00011D4F"/>
    <w:rsid w:val="000126BE"/>
    <w:rsid w:val="00014672"/>
    <w:rsid w:val="00014756"/>
    <w:rsid w:val="000209D9"/>
    <w:rsid w:val="00022C35"/>
    <w:rsid w:val="00024100"/>
    <w:rsid w:val="00024BFE"/>
    <w:rsid w:val="000270BA"/>
    <w:rsid w:val="00030357"/>
    <w:rsid w:val="00030696"/>
    <w:rsid w:val="00030F07"/>
    <w:rsid w:val="00035CE3"/>
    <w:rsid w:val="00036186"/>
    <w:rsid w:val="000367DD"/>
    <w:rsid w:val="000405DF"/>
    <w:rsid w:val="00040A53"/>
    <w:rsid w:val="00040D81"/>
    <w:rsid w:val="00044ADF"/>
    <w:rsid w:val="00046A7F"/>
    <w:rsid w:val="00047CCC"/>
    <w:rsid w:val="00050916"/>
    <w:rsid w:val="00051286"/>
    <w:rsid w:val="000522D8"/>
    <w:rsid w:val="00055486"/>
    <w:rsid w:val="00056BF6"/>
    <w:rsid w:val="0005714F"/>
    <w:rsid w:val="00057B3D"/>
    <w:rsid w:val="00063CBA"/>
    <w:rsid w:val="00064961"/>
    <w:rsid w:val="00070F66"/>
    <w:rsid w:val="00072102"/>
    <w:rsid w:val="00073E2A"/>
    <w:rsid w:val="00074ACC"/>
    <w:rsid w:val="0007518A"/>
    <w:rsid w:val="0007621A"/>
    <w:rsid w:val="00076EBE"/>
    <w:rsid w:val="00080EC4"/>
    <w:rsid w:val="000812FC"/>
    <w:rsid w:val="000813D2"/>
    <w:rsid w:val="00081AFE"/>
    <w:rsid w:val="00084A4D"/>
    <w:rsid w:val="00085061"/>
    <w:rsid w:val="0008573C"/>
    <w:rsid w:val="000867B2"/>
    <w:rsid w:val="00087527"/>
    <w:rsid w:val="00092263"/>
    <w:rsid w:val="00093131"/>
    <w:rsid w:val="00093C5B"/>
    <w:rsid w:val="00096111"/>
    <w:rsid w:val="000A2518"/>
    <w:rsid w:val="000A2DE6"/>
    <w:rsid w:val="000A4374"/>
    <w:rsid w:val="000A59BF"/>
    <w:rsid w:val="000A63E0"/>
    <w:rsid w:val="000A6C73"/>
    <w:rsid w:val="000A6FDF"/>
    <w:rsid w:val="000A746D"/>
    <w:rsid w:val="000B16E4"/>
    <w:rsid w:val="000B2E4E"/>
    <w:rsid w:val="000B3778"/>
    <w:rsid w:val="000B516E"/>
    <w:rsid w:val="000C002B"/>
    <w:rsid w:val="000C02F1"/>
    <w:rsid w:val="000C03A1"/>
    <w:rsid w:val="000C1023"/>
    <w:rsid w:val="000C18C6"/>
    <w:rsid w:val="000C1977"/>
    <w:rsid w:val="000C2061"/>
    <w:rsid w:val="000C2D6F"/>
    <w:rsid w:val="000C3A06"/>
    <w:rsid w:val="000C5991"/>
    <w:rsid w:val="000C676C"/>
    <w:rsid w:val="000D34D5"/>
    <w:rsid w:val="000D5EEA"/>
    <w:rsid w:val="000D7465"/>
    <w:rsid w:val="000D7680"/>
    <w:rsid w:val="000E00D7"/>
    <w:rsid w:val="000E3121"/>
    <w:rsid w:val="000E729A"/>
    <w:rsid w:val="000F1CE0"/>
    <w:rsid w:val="000F3F71"/>
    <w:rsid w:val="000F41AD"/>
    <w:rsid w:val="000F5448"/>
    <w:rsid w:val="000F5619"/>
    <w:rsid w:val="000F5D6E"/>
    <w:rsid w:val="00100351"/>
    <w:rsid w:val="00100C21"/>
    <w:rsid w:val="00100C4C"/>
    <w:rsid w:val="00102664"/>
    <w:rsid w:val="00102DB5"/>
    <w:rsid w:val="001042B4"/>
    <w:rsid w:val="00104468"/>
    <w:rsid w:val="00106FA7"/>
    <w:rsid w:val="0010753E"/>
    <w:rsid w:val="00114296"/>
    <w:rsid w:val="00117EB1"/>
    <w:rsid w:val="0012029B"/>
    <w:rsid w:val="00123C99"/>
    <w:rsid w:val="0012450B"/>
    <w:rsid w:val="00125A02"/>
    <w:rsid w:val="00127BEA"/>
    <w:rsid w:val="001307BE"/>
    <w:rsid w:val="00133BCB"/>
    <w:rsid w:val="00135504"/>
    <w:rsid w:val="00141D60"/>
    <w:rsid w:val="00141DEA"/>
    <w:rsid w:val="00141ED8"/>
    <w:rsid w:val="001432A0"/>
    <w:rsid w:val="001436C3"/>
    <w:rsid w:val="00143BB7"/>
    <w:rsid w:val="00143D85"/>
    <w:rsid w:val="00145515"/>
    <w:rsid w:val="00151E8C"/>
    <w:rsid w:val="00154BF5"/>
    <w:rsid w:val="00161467"/>
    <w:rsid w:val="001614FB"/>
    <w:rsid w:val="00162737"/>
    <w:rsid w:val="00164696"/>
    <w:rsid w:val="00164899"/>
    <w:rsid w:val="00165DF5"/>
    <w:rsid w:val="00167803"/>
    <w:rsid w:val="00171621"/>
    <w:rsid w:val="00182A12"/>
    <w:rsid w:val="00182FA2"/>
    <w:rsid w:val="00186CB2"/>
    <w:rsid w:val="00186DB7"/>
    <w:rsid w:val="00191679"/>
    <w:rsid w:val="001938B4"/>
    <w:rsid w:val="001938C2"/>
    <w:rsid w:val="00194242"/>
    <w:rsid w:val="001954A2"/>
    <w:rsid w:val="00195AE8"/>
    <w:rsid w:val="0019773E"/>
    <w:rsid w:val="001A0CAB"/>
    <w:rsid w:val="001A0F50"/>
    <w:rsid w:val="001A1313"/>
    <w:rsid w:val="001A1594"/>
    <w:rsid w:val="001A727A"/>
    <w:rsid w:val="001A7FB2"/>
    <w:rsid w:val="001B40AD"/>
    <w:rsid w:val="001B47DA"/>
    <w:rsid w:val="001B56BC"/>
    <w:rsid w:val="001B77AA"/>
    <w:rsid w:val="001B7FFE"/>
    <w:rsid w:val="001C071A"/>
    <w:rsid w:val="001C1F1F"/>
    <w:rsid w:val="001C4722"/>
    <w:rsid w:val="001C66A8"/>
    <w:rsid w:val="001C73B5"/>
    <w:rsid w:val="001C7975"/>
    <w:rsid w:val="001D253D"/>
    <w:rsid w:val="001D33E0"/>
    <w:rsid w:val="001D6082"/>
    <w:rsid w:val="001E096F"/>
    <w:rsid w:val="001E20FC"/>
    <w:rsid w:val="001E40A5"/>
    <w:rsid w:val="001E6EEF"/>
    <w:rsid w:val="001F1226"/>
    <w:rsid w:val="001F1771"/>
    <w:rsid w:val="001F1D27"/>
    <w:rsid w:val="001F24EF"/>
    <w:rsid w:val="001F35FE"/>
    <w:rsid w:val="001F3F56"/>
    <w:rsid w:val="001F4301"/>
    <w:rsid w:val="001F5858"/>
    <w:rsid w:val="001F60D3"/>
    <w:rsid w:val="001F7316"/>
    <w:rsid w:val="001F78E4"/>
    <w:rsid w:val="001F7B8F"/>
    <w:rsid w:val="0020008B"/>
    <w:rsid w:val="002021F3"/>
    <w:rsid w:val="00203F64"/>
    <w:rsid w:val="002040DB"/>
    <w:rsid w:val="00210C4F"/>
    <w:rsid w:val="002110F6"/>
    <w:rsid w:val="0021133B"/>
    <w:rsid w:val="00211972"/>
    <w:rsid w:val="002144B3"/>
    <w:rsid w:val="0021623F"/>
    <w:rsid w:val="00217FA5"/>
    <w:rsid w:val="002201B9"/>
    <w:rsid w:val="00223FA0"/>
    <w:rsid w:val="002241F6"/>
    <w:rsid w:val="00225A52"/>
    <w:rsid w:val="00225E57"/>
    <w:rsid w:val="0022657A"/>
    <w:rsid w:val="002269E2"/>
    <w:rsid w:val="00230540"/>
    <w:rsid w:val="00232FA1"/>
    <w:rsid w:val="00233963"/>
    <w:rsid w:val="00236D72"/>
    <w:rsid w:val="00240932"/>
    <w:rsid w:val="00240A0A"/>
    <w:rsid w:val="00240EAD"/>
    <w:rsid w:val="00244602"/>
    <w:rsid w:val="00245BC8"/>
    <w:rsid w:val="00246651"/>
    <w:rsid w:val="00246C8D"/>
    <w:rsid w:val="00250112"/>
    <w:rsid w:val="0025101A"/>
    <w:rsid w:val="002520EE"/>
    <w:rsid w:val="002524E2"/>
    <w:rsid w:val="00252A36"/>
    <w:rsid w:val="00252CCD"/>
    <w:rsid w:val="00253A0F"/>
    <w:rsid w:val="0025547B"/>
    <w:rsid w:val="002558E4"/>
    <w:rsid w:val="00256831"/>
    <w:rsid w:val="00256905"/>
    <w:rsid w:val="0025754A"/>
    <w:rsid w:val="00257B06"/>
    <w:rsid w:val="00257D7E"/>
    <w:rsid w:val="00260AC1"/>
    <w:rsid w:val="00262FD5"/>
    <w:rsid w:val="002669EF"/>
    <w:rsid w:val="0027007A"/>
    <w:rsid w:val="00270E97"/>
    <w:rsid w:val="00272AA0"/>
    <w:rsid w:val="0027331D"/>
    <w:rsid w:val="00274D57"/>
    <w:rsid w:val="00274F35"/>
    <w:rsid w:val="00276558"/>
    <w:rsid w:val="002767DB"/>
    <w:rsid w:val="00282224"/>
    <w:rsid w:val="00283BB4"/>
    <w:rsid w:val="00285116"/>
    <w:rsid w:val="002877DC"/>
    <w:rsid w:val="002878EB"/>
    <w:rsid w:val="00290E33"/>
    <w:rsid w:val="00292A20"/>
    <w:rsid w:val="00295469"/>
    <w:rsid w:val="002959ED"/>
    <w:rsid w:val="00295C16"/>
    <w:rsid w:val="00297B3F"/>
    <w:rsid w:val="002A112F"/>
    <w:rsid w:val="002A19E9"/>
    <w:rsid w:val="002A2DD4"/>
    <w:rsid w:val="002A5B45"/>
    <w:rsid w:val="002A5FB3"/>
    <w:rsid w:val="002A623F"/>
    <w:rsid w:val="002A6802"/>
    <w:rsid w:val="002A7432"/>
    <w:rsid w:val="002A7822"/>
    <w:rsid w:val="002B1584"/>
    <w:rsid w:val="002B19EF"/>
    <w:rsid w:val="002B20E1"/>
    <w:rsid w:val="002B2D70"/>
    <w:rsid w:val="002B330B"/>
    <w:rsid w:val="002B4EA7"/>
    <w:rsid w:val="002B6026"/>
    <w:rsid w:val="002B6645"/>
    <w:rsid w:val="002C07ED"/>
    <w:rsid w:val="002C13EF"/>
    <w:rsid w:val="002C31E1"/>
    <w:rsid w:val="002C3A6D"/>
    <w:rsid w:val="002C3FD6"/>
    <w:rsid w:val="002C41D0"/>
    <w:rsid w:val="002C57CD"/>
    <w:rsid w:val="002D3ADB"/>
    <w:rsid w:val="002D4A62"/>
    <w:rsid w:val="002D5294"/>
    <w:rsid w:val="002E49C6"/>
    <w:rsid w:val="002E6F5D"/>
    <w:rsid w:val="002E7A32"/>
    <w:rsid w:val="002E7DEF"/>
    <w:rsid w:val="002E7F5A"/>
    <w:rsid w:val="002F1915"/>
    <w:rsid w:val="002F2B6D"/>
    <w:rsid w:val="002F41EB"/>
    <w:rsid w:val="002F5C7D"/>
    <w:rsid w:val="002F6570"/>
    <w:rsid w:val="002F7886"/>
    <w:rsid w:val="003012D7"/>
    <w:rsid w:val="003049DF"/>
    <w:rsid w:val="00305F18"/>
    <w:rsid w:val="003066CA"/>
    <w:rsid w:val="0030675A"/>
    <w:rsid w:val="00310909"/>
    <w:rsid w:val="00310DD5"/>
    <w:rsid w:val="00312652"/>
    <w:rsid w:val="00320F3E"/>
    <w:rsid w:val="003219B2"/>
    <w:rsid w:val="00322FAE"/>
    <w:rsid w:val="00323D24"/>
    <w:rsid w:val="003277F5"/>
    <w:rsid w:val="00330CB7"/>
    <w:rsid w:val="0033156C"/>
    <w:rsid w:val="003316C0"/>
    <w:rsid w:val="00332790"/>
    <w:rsid w:val="0033280D"/>
    <w:rsid w:val="00333ACD"/>
    <w:rsid w:val="00333AFE"/>
    <w:rsid w:val="00334810"/>
    <w:rsid w:val="00334CA4"/>
    <w:rsid w:val="00335A36"/>
    <w:rsid w:val="0033659E"/>
    <w:rsid w:val="003430BD"/>
    <w:rsid w:val="00343193"/>
    <w:rsid w:val="00346AB9"/>
    <w:rsid w:val="00346CD8"/>
    <w:rsid w:val="00351B05"/>
    <w:rsid w:val="0035235C"/>
    <w:rsid w:val="00352B67"/>
    <w:rsid w:val="00356CC3"/>
    <w:rsid w:val="00356FB3"/>
    <w:rsid w:val="00361085"/>
    <w:rsid w:val="00361833"/>
    <w:rsid w:val="00361BF0"/>
    <w:rsid w:val="0036382C"/>
    <w:rsid w:val="00363856"/>
    <w:rsid w:val="00364668"/>
    <w:rsid w:val="00364A2C"/>
    <w:rsid w:val="00366E34"/>
    <w:rsid w:val="003673A4"/>
    <w:rsid w:val="003678B8"/>
    <w:rsid w:val="0037220C"/>
    <w:rsid w:val="00372421"/>
    <w:rsid w:val="003728F5"/>
    <w:rsid w:val="003737EF"/>
    <w:rsid w:val="00373B52"/>
    <w:rsid w:val="003740B3"/>
    <w:rsid w:val="00374282"/>
    <w:rsid w:val="00374BFE"/>
    <w:rsid w:val="00375B28"/>
    <w:rsid w:val="003777F7"/>
    <w:rsid w:val="0037791A"/>
    <w:rsid w:val="00380FE9"/>
    <w:rsid w:val="00381115"/>
    <w:rsid w:val="00381C5F"/>
    <w:rsid w:val="0038293E"/>
    <w:rsid w:val="00382EDA"/>
    <w:rsid w:val="00386473"/>
    <w:rsid w:val="00387BDD"/>
    <w:rsid w:val="0039209E"/>
    <w:rsid w:val="00393507"/>
    <w:rsid w:val="003939C8"/>
    <w:rsid w:val="00393F80"/>
    <w:rsid w:val="00394448"/>
    <w:rsid w:val="00397279"/>
    <w:rsid w:val="003977EA"/>
    <w:rsid w:val="003A0649"/>
    <w:rsid w:val="003A1C58"/>
    <w:rsid w:val="003A21C8"/>
    <w:rsid w:val="003A24BC"/>
    <w:rsid w:val="003A408C"/>
    <w:rsid w:val="003A5486"/>
    <w:rsid w:val="003A5A7C"/>
    <w:rsid w:val="003A5ACA"/>
    <w:rsid w:val="003A6179"/>
    <w:rsid w:val="003A6BBE"/>
    <w:rsid w:val="003B0AE7"/>
    <w:rsid w:val="003B1337"/>
    <w:rsid w:val="003B4CC5"/>
    <w:rsid w:val="003B4FDC"/>
    <w:rsid w:val="003B61B3"/>
    <w:rsid w:val="003C10A7"/>
    <w:rsid w:val="003C289C"/>
    <w:rsid w:val="003C2C57"/>
    <w:rsid w:val="003C2EA1"/>
    <w:rsid w:val="003C3FCD"/>
    <w:rsid w:val="003C41D0"/>
    <w:rsid w:val="003C5DFF"/>
    <w:rsid w:val="003C6162"/>
    <w:rsid w:val="003D4168"/>
    <w:rsid w:val="003D440B"/>
    <w:rsid w:val="003D6983"/>
    <w:rsid w:val="003D73AC"/>
    <w:rsid w:val="003E0D97"/>
    <w:rsid w:val="003E1E6D"/>
    <w:rsid w:val="003E1F43"/>
    <w:rsid w:val="003E3BD5"/>
    <w:rsid w:val="003E577F"/>
    <w:rsid w:val="003F0110"/>
    <w:rsid w:val="003F3977"/>
    <w:rsid w:val="003F540C"/>
    <w:rsid w:val="003F6B5B"/>
    <w:rsid w:val="00401547"/>
    <w:rsid w:val="00401C23"/>
    <w:rsid w:val="004029FD"/>
    <w:rsid w:val="00403F05"/>
    <w:rsid w:val="00404E96"/>
    <w:rsid w:val="00405ACF"/>
    <w:rsid w:val="00407EE2"/>
    <w:rsid w:val="004104DB"/>
    <w:rsid w:val="00411C96"/>
    <w:rsid w:val="00412005"/>
    <w:rsid w:val="00412DF1"/>
    <w:rsid w:val="00413C7F"/>
    <w:rsid w:val="00414E39"/>
    <w:rsid w:val="00414F86"/>
    <w:rsid w:val="00415199"/>
    <w:rsid w:val="00416E17"/>
    <w:rsid w:val="004171CD"/>
    <w:rsid w:val="00422BB1"/>
    <w:rsid w:val="004235E7"/>
    <w:rsid w:val="00424F17"/>
    <w:rsid w:val="0042588A"/>
    <w:rsid w:val="004278A7"/>
    <w:rsid w:val="00434D69"/>
    <w:rsid w:val="00434DB8"/>
    <w:rsid w:val="004412AD"/>
    <w:rsid w:val="004427B1"/>
    <w:rsid w:val="004431B4"/>
    <w:rsid w:val="00443275"/>
    <w:rsid w:val="00445101"/>
    <w:rsid w:val="00445A5F"/>
    <w:rsid w:val="00446628"/>
    <w:rsid w:val="00451991"/>
    <w:rsid w:val="00451E73"/>
    <w:rsid w:val="0045325A"/>
    <w:rsid w:val="00454A76"/>
    <w:rsid w:val="004556E8"/>
    <w:rsid w:val="004556EC"/>
    <w:rsid w:val="00460442"/>
    <w:rsid w:val="0046258D"/>
    <w:rsid w:val="004641A1"/>
    <w:rsid w:val="004652F5"/>
    <w:rsid w:val="00466AA8"/>
    <w:rsid w:val="0046702B"/>
    <w:rsid w:val="00467B01"/>
    <w:rsid w:val="00467BF3"/>
    <w:rsid w:val="004722B8"/>
    <w:rsid w:val="00474218"/>
    <w:rsid w:val="00475E05"/>
    <w:rsid w:val="004770EE"/>
    <w:rsid w:val="00482830"/>
    <w:rsid w:val="00484DAF"/>
    <w:rsid w:val="00485C6B"/>
    <w:rsid w:val="00486F06"/>
    <w:rsid w:val="004906EB"/>
    <w:rsid w:val="00492509"/>
    <w:rsid w:val="00493A57"/>
    <w:rsid w:val="00494B1C"/>
    <w:rsid w:val="00494BD9"/>
    <w:rsid w:val="004A34DB"/>
    <w:rsid w:val="004A4EA7"/>
    <w:rsid w:val="004B126C"/>
    <w:rsid w:val="004B2881"/>
    <w:rsid w:val="004B2DBD"/>
    <w:rsid w:val="004B454B"/>
    <w:rsid w:val="004B5D5F"/>
    <w:rsid w:val="004B62E1"/>
    <w:rsid w:val="004C14CB"/>
    <w:rsid w:val="004C2F21"/>
    <w:rsid w:val="004C7596"/>
    <w:rsid w:val="004D3E79"/>
    <w:rsid w:val="004D4DBF"/>
    <w:rsid w:val="004D5CD7"/>
    <w:rsid w:val="004D68FE"/>
    <w:rsid w:val="004D7B9B"/>
    <w:rsid w:val="004E0459"/>
    <w:rsid w:val="004E2BA1"/>
    <w:rsid w:val="004E4F78"/>
    <w:rsid w:val="004E6656"/>
    <w:rsid w:val="004F15D5"/>
    <w:rsid w:val="004F2CC6"/>
    <w:rsid w:val="004F2FC2"/>
    <w:rsid w:val="004F580B"/>
    <w:rsid w:val="004F5CC7"/>
    <w:rsid w:val="004F666B"/>
    <w:rsid w:val="005003EB"/>
    <w:rsid w:val="005017C9"/>
    <w:rsid w:val="005038BA"/>
    <w:rsid w:val="00504DBB"/>
    <w:rsid w:val="00505563"/>
    <w:rsid w:val="00506F3E"/>
    <w:rsid w:val="00507D7B"/>
    <w:rsid w:val="005101B3"/>
    <w:rsid w:val="005123EC"/>
    <w:rsid w:val="00512DC2"/>
    <w:rsid w:val="005134DB"/>
    <w:rsid w:val="005136D4"/>
    <w:rsid w:val="00513934"/>
    <w:rsid w:val="00513CE9"/>
    <w:rsid w:val="0051571D"/>
    <w:rsid w:val="00517765"/>
    <w:rsid w:val="00517B70"/>
    <w:rsid w:val="0052149E"/>
    <w:rsid w:val="00522668"/>
    <w:rsid w:val="005244DA"/>
    <w:rsid w:val="0052495A"/>
    <w:rsid w:val="00530066"/>
    <w:rsid w:val="00530604"/>
    <w:rsid w:val="0053102B"/>
    <w:rsid w:val="00533125"/>
    <w:rsid w:val="005349BA"/>
    <w:rsid w:val="00540275"/>
    <w:rsid w:val="00540ED9"/>
    <w:rsid w:val="00542178"/>
    <w:rsid w:val="005421C3"/>
    <w:rsid w:val="0054613E"/>
    <w:rsid w:val="005467D2"/>
    <w:rsid w:val="00546A1A"/>
    <w:rsid w:val="0054782B"/>
    <w:rsid w:val="00553D7B"/>
    <w:rsid w:val="005542C8"/>
    <w:rsid w:val="0055454C"/>
    <w:rsid w:val="0055474B"/>
    <w:rsid w:val="00562C2C"/>
    <w:rsid w:val="00562EF9"/>
    <w:rsid w:val="00564516"/>
    <w:rsid w:val="00564DF7"/>
    <w:rsid w:val="00566BD2"/>
    <w:rsid w:val="005733B4"/>
    <w:rsid w:val="0057555C"/>
    <w:rsid w:val="005758DD"/>
    <w:rsid w:val="00576CA8"/>
    <w:rsid w:val="00580490"/>
    <w:rsid w:val="00580EB1"/>
    <w:rsid w:val="0058315F"/>
    <w:rsid w:val="00583762"/>
    <w:rsid w:val="0058672B"/>
    <w:rsid w:val="00586733"/>
    <w:rsid w:val="0058707D"/>
    <w:rsid w:val="00587295"/>
    <w:rsid w:val="00587498"/>
    <w:rsid w:val="005902D3"/>
    <w:rsid w:val="005932DE"/>
    <w:rsid w:val="00593D9F"/>
    <w:rsid w:val="00594935"/>
    <w:rsid w:val="005975C4"/>
    <w:rsid w:val="005A10DB"/>
    <w:rsid w:val="005A29D9"/>
    <w:rsid w:val="005A2CD9"/>
    <w:rsid w:val="005A3C41"/>
    <w:rsid w:val="005A4369"/>
    <w:rsid w:val="005A4E6B"/>
    <w:rsid w:val="005A73E1"/>
    <w:rsid w:val="005A751D"/>
    <w:rsid w:val="005B1F6F"/>
    <w:rsid w:val="005B232C"/>
    <w:rsid w:val="005B546C"/>
    <w:rsid w:val="005B6907"/>
    <w:rsid w:val="005B7169"/>
    <w:rsid w:val="005C0F44"/>
    <w:rsid w:val="005C2080"/>
    <w:rsid w:val="005C2596"/>
    <w:rsid w:val="005C34D5"/>
    <w:rsid w:val="005C3AD5"/>
    <w:rsid w:val="005C5E1D"/>
    <w:rsid w:val="005C720E"/>
    <w:rsid w:val="005D1820"/>
    <w:rsid w:val="005D1967"/>
    <w:rsid w:val="005D3EC0"/>
    <w:rsid w:val="005D3EF4"/>
    <w:rsid w:val="005D67E1"/>
    <w:rsid w:val="005E16BD"/>
    <w:rsid w:val="005E1F65"/>
    <w:rsid w:val="005E20B4"/>
    <w:rsid w:val="005E36A4"/>
    <w:rsid w:val="005E3C8D"/>
    <w:rsid w:val="005E4E25"/>
    <w:rsid w:val="005E6B3E"/>
    <w:rsid w:val="005F4540"/>
    <w:rsid w:val="005F6F02"/>
    <w:rsid w:val="00600575"/>
    <w:rsid w:val="006029A0"/>
    <w:rsid w:val="0060411D"/>
    <w:rsid w:val="00606583"/>
    <w:rsid w:val="006110ED"/>
    <w:rsid w:val="006139C5"/>
    <w:rsid w:val="00613AED"/>
    <w:rsid w:val="00616B19"/>
    <w:rsid w:val="00617EAA"/>
    <w:rsid w:val="00621A98"/>
    <w:rsid w:val="00623D27"/>
    <w:rsid w:val="006264F4"/>
    <w:rsid w:val="006276E0"/>
    <w:rsid w:val="00627A77"/>
    <w:rsid w:val="00627F56"/>
    <w:rsid w:val="00630BCE"/>
    <w:rsid w:val="006312AB"/>
    <w:rsid w:val="006326D6"/>
    <w:rsid w:val="00633465"/>
    <w:rsid w:val="00634667"/>
    <w:rsid w:val="00640E9E"/>
    <w:rsid w:val="00645132"/>
    <w:rsid w:val="0064678A"/>
    <w:rsid w:val="00646A5A"/>
    <w:rsid w:val="006470A6"/>
    <w:rsid w:val="00650B56"/>
    <w:rsid w:val="00651F19"/>
    <w:rsid w:val="0065266D"/>
    <w:rsid w:val="006563AE"/>
    <w:rsid w:val="00656C4F"/>
    <w:rsid w:val="00660DFB"/>
    <w:rsid w:val="006622CB"/>
    <w:rsid w:val="006648B2"/>
    <w:rsid w:val="00664DCC"/>
    <w:rsid w:val="00665584"/>
    <w:rsid w:val="00667143"/>
    <w:rsid w:val="00671703"/>
    <w:rsid w:val="00671B9E"/>
    <w:rsid w:val="0067243E"/>
    <w:rsid w:val="00672BEC"/>
    <w:rsid w:val="00673004"/>
    <w:rsid w:val="006743D1"/>
    <w:rsid w:val="00675AC1"/>
    <w:rsid w:val="00676FBD"/>
    <w:rsid w:val="006775AA"/>
    <w:rsid w:val="0068014E"/>
    <w:rsid w:val="00682E6C"/>
    <w:rsid w:val="006842B6"/>
    <w:rsid w:val="0068552D"/>
    <w:rsid w:val="00691F05"/>
    <w:rsid w:val="00692454"/>
    <w:rsid w:val="00692FCC"/>
    <w:rsid w:val="0069393F"/>
    <w:rsid w:val="00693B83"/>
    <w:rsid w:val="00694CBA"/>
    <w:rsid w:val="00696682"/>
    <w:rsid w:val="006A0489"/>
    <w:rsid w:val="006A0E41"/>
    <w:rsid w:val="006A166E"/>
    <w:rsid w:val="006A4AC6"/>
    <w:rsid w:val="006A55C9"/>
    <w:rsid w:val="006A5EE1"/>
    <w:rsid w:val="006A6A7A"/>
    <w:rsid w:val="006A7015"/>
    <w:rsid w:val="006A7FAC"/>
    <w:rsid w:val="006B24CD"/>
    <w:rsid w:val="006B2904"/>
    <w:rsid w:val="006B34F8"/>
    <w:rsid w:val="006B355B"/>
    <w:rsid w:val="006B5348"/>
    <w:rsid w:val="006B5A3F"/>
    <w:rsid w:val="006B5CF6"/>
    <w:rsid w:val="006B6153"/>
    <w:rsid w:val="006B6F09"/>
    <w:rsid w:val="006B763F"/>
    <w:rsid w:val="006C0B46"/>
    <w:rsid w:val="006C2543"/>
    <w:rsid w:val="006C2B1B"/>
    <w:rsid w:val="006C31CC"/>
    <w:rsid w:val="006C36DE"/>
    <w:rsid w:val="006C59DE"/>
    <w:rsid w:val="006D2336"/>
    <w:rsid w:val="006D4BFA"/>
    <w:rsid w:val="006D691D"/>
    <w:rsid w:val="006E18E2"/>
    <w:rsid w:val="006E6339"/>
    <w:rsid w:val="006E6809"/>
    <w:rsid w:val="006E681F"/>
    <w:rsid w:val="006F05AE"/>
    <w:rsid w:val="006F1794"/>
    <w:rsid w:val="006F2D61"/>
    <w:rsid w:val="006F2F9B"/>
    <w:rsid w:val="006F37EF"/>
    <w:rsid w:val="006F3859"/>
    <w:rsid w:val="006F713E"/>
    <w:rsid w:val="0070041B"/>
    <w:rsid w:val="007005A8"/>
    <w:rsid w:val="00701795"/>
    <w:rsid w:val="00704294"/>
    <w:rsid w:val="0070470C"/>
    <w:rsid w:val="00705767"/>
    <w:rsid w:val="00705C21"/>
    <w:rsid w:val="00706D6C"/>
    <w:rsid w:val="007072EA"/>
    <w:rsid w:val="007126EB"/>
    <w:rsid w:val="007140E2"/>
    <w:rsid w:val="00715405"/>
    <w:rsid w:val="00715592"/>
    <w:rsid w:val="007174B1"/>
    <w:rsid w:val="00720BAB"/>
    <w:rsid w:val="00721CC4"/>
    <w:rsid w:val="0072204F"/>
    <w:rsid w:val="00723883"/>
    <w:rsid w:val="007255C4"/>
    <w:rsid w:val="00726E1D"/>
    <w:rsid w:val="0072751A"/>
    <w:rsid w:val="00733024"/>
    <w:rsid w:val="00733504"/>
    <w:rsid w:val="0073464A"/>
    <w:rsid w:val="00734797"/>
    <w:rsid w:val="007354DA"/>
    <w:rsid w:val="00735F30"/>
    <w:rsid w:val="0073621E"/>
    <w:rsid w:val="007427A0"/>
    <w:rsid w:val="007449AB"/>
    <w:rsid w:val="00744E6F"/>
    <w:rsid w:val="00745B59"/>
    <w:rsid w:val="007469BF"/>
    <w:rsid w:val="00747919"/>
    <w:rsid w:val="00750274"/>
    <w:rsid w:val="00750E20"/>
    <w:rsid w:val="00752145"/>
    <w:rsid w:val="007521A1"/>
    <w:rsid w:val="007523C9"/>
    <w:rsid w:val="00752635"/>
    <w:rsid w:val="007529C9"/>
    <w:rsid w:val="00752E4E"/>
    <w:rsid w:val="00756A48"/>
    <w:rsid w:val="0075736A"/>
    <w:rsid w:val="00757498"/>
    <w:rsid w:val="007608FD"/>
    <w:rsid w:val="007626EE"/>
    <w:rsid w:val="0076292E"/>
    <w:rsid w:val="00763360"/>
    <w:rsid w:val="00764416"/>
    <w:rsid w:val="00764488"/>
    <w:rsid w:val="00764AB7"/>
    <w:rsid w:val="007665C7"/>
    <w:rsid w:val="007710A8"/>
    <w:rsid w:val="00771FB5"/>
    <w:rsid w:val="0077383E"/>
    <w:rsid w:val="0077488F"/>
    <w:rsid w:val="00776D3E"/>
    <w:rsid w:val="0077749F"/>
    <w:rsid w:val="0078078B"/>
    <w:rsid w:val="00782DD5"/>
    <w:rsid w:val="0079024E"/>
    <w:rsid w:val="00793F07"/>
    <w:rsid w:val="007967E7"/>
    <w:rsid w:val="00796F49"/>
    <w:rsid w:val="00797556"/>
    <w:rsid w:val="00797723"/>
    <w:rsid w:val="007A0BE6"/>
    <w:rsid w:val="007A0C5E"/>
    <w:rsid w:val="007A2869"/>
    <w:rsid w:val="007A3B65"/>
    <w:rsid w:val="007A41BB"/>
    <w:rsid w:val="007B00B3"/>
    <w:rsid w:val="007B0642"/>
    <w:rsid w:val="007B3E00"/>
    <w:rsid w:val="007B6AC5"/>
    <w:rsid w:val="007B6DAD"/>
    <w:rsid w:val="007C10F5"/>
    <w:rsid w:val="007C12FE"/>
    <w:rsid w:val="007C297E"/>
    <w:rsid w:val="007C6528"/>
    <w:rsid w:val="007C6659"/>
    <w:rsid w:val="007D172B"/>
    <w:rsid w:val="007D2925"/>
    <w:rsid w:val="007D52DA"/>
    <w:rsid w:val="007D6C69"/>
    <w:rsid w:val="007E057C"/>
    <w:rsid w:val="007E1654"/>
    <w:rsid w:val="007E1B67"/>
    <w:rsid w:val="007E2235"/>
    <w:rsid w:val="007E42DD"/>
    <w:rsid w:val="007E6300"/>
    <w:rsid w:val="007E70AD"/>
    <w:rsid w:val="007F3001"/>
    <w:rsid w:val="007F392D"/>
    <w:rsid w:val="007F4153"/>
    <w:rsid w:val="007F4213"/>
    <w:rsid w:val="007F5756"/>
    <w:rsid w:val="007F6A8B"/>
    <w:rsid w:val="007F779D"/>
    <w:rsid w:val="008006C0"/>
    <w:rsid w:val="00801740"/>
    <w:rsid w:val="00801A09"/>
    <w:rsid w:val="0080297E"/>
    <w:rsid w:val="00802C12"/>
    <w:rsid w:val="00806BE7"/>
    <w:rsid w:val="0080715F"/>
    <w:rsid w:val="00807DB8"/>
    <w:rsid w:val="00812292"/>
    <w:rsid w:val="00812FC6"/>
    <w:rsid w:val="00816CB8"/>
    <w:rsid w:val="00816E5B"/>
    <w:rsid w:val="00817A35"/>
    <w:rsid w:val="00817DC5"/>
    <w:rsid w:val="0082476F"/>
    <w:rsid w:val="00824C9E"/>
    <w:rsid w:val="00825485"/>
    <w:rsid w:val="0082584B"/>
    <w:rsid w:val="00831D49"/>
    <w:rsid w:val="00832615"/>
    <w:rsid w:val="008327D4"/>
    <w:rsid w:val="00833808"/>
    <w:rsid w:val="00833E1F"/>
    <w:rsid w:val="00834D18"/>
    <w:rsid w:val="008356E2"/>
    <w:rsid w:val="0083672B"/>
    <w:rsid w:val="0083712E"/>
    <w:rsid w:val="0084251D"/>
    <w:rsid w:val="00843912"/>
    <w:rsid w:val="00845748"/>
    <w:rsid w:val="00845F45"/>
    <w:rsid w:val="00846BE3"/>
    <w:rsid w:val="00846EB9"/>
    <w:rsid w:val="00847C4B"/>
    <w:rsid w:val="0085040A"/>
    <w:rsid w:val="00853F9E"/>
    <w:rsid w:val="0085492E"/>
    <w:rsid w:val="00855C41"/>
    <w:rsid w:val="0085613D"/>
    <w:rsid w:val="0085645F"/>
    <w:rsid w:val="0086172B"/>
    <w:rsid w:val="00861C46"/>
    <w:rsid w:val="008621AD"/>
    <w:rsid w:val="00862FC4"/>
    <w:rsid w:val="008632CF"/>
    <w:rsid w:val="008645A5"/>
    <w:rsid w:val="00865154"/>
    <w:rsid w:val="00865C5D"/>
    <w:rsid w:val="00871226"/>
    <w:rsid w:val="008730A6"/>
    <w:rsid w:val="008732B7"/>
    <w:rsid w:val="0087565F"/>
    <w:rsid w:val="00875A36"/>
    <w:rsid w:val="0088072B"/>
    <w:rsid w:val="00881A39"/>
    <w:rsid w:val="00882BC8"/>
    <w:rsid w:val="008870BF"/>
    <w:rsid w:val="00887D59"/>
    <w:rsid w:val="008900B3"/>
    <w:rsid w:val="00890A77"/>
    <w:rsid w:val="00890C0E"/>
    <w:rsid w:val="00891B08"/>
    <w:rsid w:val="00894CED"/>
    <w:rsid w:val="008955F6"/>
    <w:rsid w:val="00895621"/>
    <w:rsid w:val="00895CDE"/>
    <w:rsid w:val="00896C17"/>
    <w:rsid w:val="008A0997"/>
    <w:rsid w:val="008A1E22"/>
    <w:rsid w:val="008A271C"/>
    <w:rsid w:val="008A287D"/>
    <w:rsid w:val="008A356E"/>
    <w:rsid w:val="008A4282"/>
    <w:rsid w:val="008A510E"/>
    <w:rsid w:val="008A69FD"/>
    <w:rsid w:val="008B1660"/>
    <w:rsid w:val="008B1EB7"/>
    <w:rsid w:val="008B3769"/>
    <w:rsid w:val="008B3FCA"/>
    <w:rsid w:val="008B488D"/>
    <w:rsid w:val="008B6336"/>
    <w:rsid w:val="008B74DC"/>
    <w:rsid w:val="008C301B"/>
    <w:rsid w:val="008C72AC"/>
    <w:rsid w:val="008C7A4F"/>
    <w:rsid w:val="008D13BC"/>
    <w:rsid w:val="008D355B"/>
    <w:rsid w:val="008D361B"/>
    <w:rsid w:val="008D3CE3"/>
    <w:rsid w:val="008D6F09"/>
    <w:rsid w:val="008E06C8"/>
    <w:rsid w:val="008E2586"/>
    <w:rsid w:val="008E3B31"/>
    <w:rsid w:val="008F0BC2"/>
    <w:rsid w:val="008F20CB"/>
    <w:rsid w:val="008F2571"/>
    <w:rsid w:val="008F2960"/>
    <w:rsid w:val="008F337F"/>
    <w:rsid w:val="008F36A7"/>
    <w:rsid w:val="008F615D"/>
    <w:rsid w:val="008F62E6"/>
    <w:rsid w:val="008F730A"/>
    <w:rsid w:val="008F7DD1"/>
    <w:rsid w:val="00901DB1"/>
    <w:rsid w:val="00901FA9"/>
    <w:rsid w:val="00902BD8"/>
    <w:rsid w:val="00902D03"/>
    <w:rsid w:val="00902D57"/>
    <w:rsid w:val="00903B5E"/>
    <w:rsid w:val="00906B39"/>
    <w:rsid w:val="00906B79"/>
    <w:rsid w:val="009102C9"/>
    <w:rsid w:val="00912B80"/>
    <w:rsid w:val="00912D6C"/>
    <w:rsid w:val="009147C7"/>
    <w:rsid w:val="0091595A"/>
    <w:rsid w:val="00916C1A"/>
    <w:rsid w:val="00922D4E"/>
    <w:rsid w:val="009230F4"/>
    <w:rsid w:val="009249F2"/>
    <w:rsid w:val="00925833"/>
    <w:rsid w:val="009258B7"/>
    <w:rsid w:val="00926583"/>
    <w:rsid w:val="0093023E"/>
    <w:rsid w:val="009332F6"/>
    <w:rsid w:val="00933BD8"/>
    <w:rsid w:val="00933CC2"/>
    <w:rsid w:val="00933D08"/>
    <w:rsid w:val="00933FA4"/>
    <w:rsid w:val="009344FC"/>
    <w:rsid w:val="00934A48"/>
    <w:rsid w:val="009364AB"/>
    <w:rsid w:val="0093758C"/>
    <w:rsid w:val="009377B6"/>
    <w:rsid w:val="009409A5"/>
    <w:rsid w:val="00942CE8"/>
    <w:rsid w:val="00943727"/>
    <w:rsid w:val="0094694E"/>
    <w:rsid w:val="00946B07"/>
    <w:rsid w:val="0094785E"/>
    <w:rsid w:val="00953777"/>
    <w:rsid w:val="00954336"/>
    <w:rsid w:val="0095612E"/>
    <w:rsid w:val="00956E73"/>
    <w:rsid w:val="00960812"/>
    <w:rsid w:val="009610E5"/>
    <w:rsid w:val="00965C0C"/>
    <w:rsid w:val="00966307"/>
    <w:rsid w:val="00971694"/>
    <w:rsid w:val="00975896"/>
    <w:rsid w:val="009771AB"/>
    <w:rsid w:val="0097732A"/>
    <w:rsid w:val="00977868"/>
    <w:rsid w:val="00977CF6"/>
    <w:rsid w:val="0098126D"/>
    <w:rsid w:val="009819E9"/>
    <w:rsid w:val="00983180"/>
    <w:rsid w:val="00985318"/>
    <w:rsid w:val="009859E8"/>
    <w:rsid w:val="00987264"/>
    <w:rsid w:val="00994E1D"/>
    <w:rsid w:val="00995E6A"/>
    <w:rsid w:val="009961B8"/>
    <w:rsid w:val="00996430"/>
    <w:rsid w:val="00997BFA"/>
    <w:rsid w:val="009A05DE"/>
    <w:rsid w:val="009A0A31"/>
    <w:rsid w:val="009A2C60"/>
    <w:rsid w:val="009A407F"/>
    <w:rsid w:val="009A5A8A"/>
    <w:rsid w:val="009A6CEA"/>
    <w:rsid w:val="009A7A82"/>
    <w:rsid w:val="009B10A9"/>
    <w:rsid w:val="009B2A23"/>
    <w:rsid w:val="009B3B09"/>
    <w:rsid w:val="009B47CC"/>
    <w:rsid w:val="009B54F3"/>
    <w:rsid w:val="009B5B26"/>
    <w:rsid w:val="009B63FA"/>
    <w:rsid w:val="009C0345"/>
    <w:rsid w:val="009C45CD"/>
    <w:rsid w:val="009C60E5"/>
    <w:rsid w:val="009C70B6"/>
    <w:rsid w:val="009D310D"/>
    <w:rsid w:val="009D34FF"/>
    <w:rsid w:val="009D578B"/>
    <w:rsid w:val="009E0735"/>
    <w:rsid w:val="009E0DCA"/>
    <w:rsid w:val="009E0E18"/>
    <w:rsid w:val="009E1871"/>
    <w:rsid w:val="009E1F58"/>
    <w:rsid w:val="009E2648"/>
    <w:rsid w:val="009E4B01"/>
    <w:rsid w:val="009E7BBC"/>
    <w:rsid w:val="009F15E0"/>
    <w:rsid w:val="009F2118"/>
    <w:rsid w:val="009F349D"/>
    <w:rsid w:val="009F4FEE"/>
    <w:rsid w:val="009F512A"/>
    <w:rsid w:val="009F56C2"/>
    <w:rsid w:val="009F5F15"/>
    <w:rsid w:val="009F628D"/>
    <w:rsid w:val="009F7F45"/>
    <w:rsid w:val="00A01341"/>
    <w:rsid w:val="00A01D73"/>
    <w:rsid w:val="00A05652"/>
    <w:rsid w:val="00A058B7"/>
    <w:rsid w:val="00A0789B"/>
    <w:rsid w:val="00A10998"/>
    <w:rsid w:val="00A118B4"/>
    <w:rsid w:val="00A1223D"/>
    <w:rsid w:val="00A13E09"/>
    <w:rsid w:val="00A1461B"/>
    <w:rsid w:val="00A14B58"/>
    <w:rsid w:val="00A15641"/>
    <w:rsid w:val="00A204EA"/>
    <w:rsid w:val="00A2311A"/>
    <w:rsid w:val="00A2468E"/>
    <w:rsid w:val="00A25331"/>
    <w:rsid w:val="00A25ED9"/>
    <w:rsid w:val="00A26BF2"/>
    <w:rsid w:val="00A27746"/>
    <w:rsid w:val="00A32686"/>
    <w:rsid w:val="00A350F2"/>
    <w:rsid w:val="00A3647C"/>
    <w:rsid w:val="00A36641"/>
    <w:rsid w:val="00A40204"/>
    <w:rsid w:val="00A41555"/>
    <w:rsid w:val="00A42D7A"/>
    <w:rsid w:val="00A42F7D"/>
    <w:rsid w:val="00A46599"/>
    <w:rsid w:val="00A47444"/>
    <w:rsid w:val="00A5117A"/>
    <w:rsid w:val="00A54E47"/>
    <w:rsid w:val="00A5616D"/>
    <w:rsid w:val="00A563EE"/>
    <w:rsid w:val="00A57201"/>
    <w:rsid w:val="00A60692"/>
    <w:rsid w:val="00A61E65"/>
    <w:rsid w:val="00A62781"/>
    <w:rsid w:val="00A650C3"/>
    <w:rsid w:val="00A67CCA"/>
    <w:rsid w:val="00A707B2"/>
    <w:rsid w:val="00A709F7"/>
    <w:rsid w:val="00A732F9"/>
    <w:rsid w:val="00A73A4F"/>
    <w:rsid w:val="00A74CAE"/>
    <w:rsid w:val="00A75071"/>
    <w:rsid w:val="00A7576D"/>
    <w:rsid w:val="00A764C2"/>
    <w:rsid w:val="00A7734E"/>
    <w:rsid w:val="00A77799"/>
    <w:rsid w:val="00A828B4"/>
    <w:rsid w:val="00A82CAB"/>
    <w:rsid w:val="00A83062"/>
    <w:rsid w:val="00A8446E"/>
    <w:rsid w:val="00A84D8D"/>
    <w:rsid w:val="00A84E0D"/>
    <w:rsid w:val="00A85478"/>
    <w:rsid w:val="00A8634F"/>
    <w:rsid w:val="00A87A8A"/>
    <w:rsid w:val="00A90F09"/>
    <w:rsid w:val="00A9282B"/>
    <w:rsid w:val="00A96E45"/>
    <w:rsid w:val="00AA1098"/>
    <w:rsid w:val="00AA10B8"/>
    <w:rsid w:val="00AA10C3"/>
    <w:rsid w:val="00AA1C95"/>
    <w:rsid w:val="00AA2108"/>
    <w:rsid w:val="00AA3F41"/>
    <w:rsid w:val="00AA57C8"/>
    <w:rsid w:val="00AA6299"/>
    <w:rsid w:val="00AA62E3"/>
    <w:rsid w:val="00AB0494"/>
    <w:rsid w:val="00AB0529"/>
    <w:rsid w:val="00AB1308"/>
    <w:rsid w:val="00AB14A8"/>
    <w:rsid w:val="00AB3DFB"/>
    <w:rsid w:val="00AB52EB"/>
    <w:rsid w:val="00AB6DC8"/>
    <w:rsid w:val="00AB7ABF"/>
    <w:rsid w:val="00AC042D"/>
    <w:rsid w:val="00AC1314"/>
    <w:rsid w:val="00AC3914"/>
    <w:rsid w:val="00AC4462"/>
    <w:rsid w:val="00AD0EA3"/>
    <w:rsid w:val="00AD2800"/>
    <w:rsid w:val="00AD5649"/>
    <w:rsid w:val="00AD684E"/>
    <w:rsid w:val="00AD70F9"/>
    <w:rsid w:val="00AE1EF7"/>
    <w:rsid w:val="00AE26AF"/>
    <w:rsid w:val="00AE3BA2"/>
    <w:rsid w:val="00AE5937"/>
    <w:rsid w:val="00AE6A73"/>
    <w:rsid w:val="00AE6DA7"/>
    <w:rsid w:val="00AE7804"/>
    <w:rsid w:val="00AF083C"/>
    <w:rsid w:val="00AF18E3"/>
    <w:rsid w:val="00AF31E7"/>
    <w:rsid w:val="00AF3CA2"/>
    <w:rsid w:val="00AF52E2"/>
    <w:rsid w:val="00B001B4"/>
    <w:rsid w:val="00B01893"/>
    <w:rsid w:val="00B02398"/>
    <w:rsid w:val="00B04FBD"/>
    <w:rsid w:val="00B07B8E"/>
    <w:rsid w:val="00B07CD9"/>
    <w:rsid w:val="00B112E6"/>
    <w:rsid w:val="00B126B2"/>
    <w:rsid w:val="00B13026"/>
    <w:rsid w:val="00B208A1"/>
    <w:rsid w:val="00B21FC3"/>
    <w:rsid w:val="00B2476E"/>
    <w:rsid w:val="00B26D84"/>
    <w:rsid w:val="00B2707D"/>
    <w:rsid w:val="00B306D3"/>
    <w:rsid w:val="00B334E0"/>
    <w:rsid w:val="00B3602D"/>
    <w:rsid w:val="00B36F51"/>
    <w:rsid w:val="00B4136A"/>
    <w:rsid w:val="00B41C92"/>
    <w:rsid w:val="00B43E08"/>
    <w:rsid w:val="00B4518C"/>
    <w:rsid w:val="00B459D4"/>
    <w:rsid w:val="00B461CE"/>
    <w:rsid w:val="00B47A33"/>
    <w:rsid w:val="00B53341"/>
    <w:rsid w:val="00B54F65"/>
    <w:rsid w:val="00B56B91"/>
    <w:rsid w:val="00B607B5"/>
    <w:rsid w:val="00B615F9"/>
    <w:rsid w:val="00B61DDF"/>
    <w:rsid w:val="00B66210"/>
    <w:rsid w:val="00B66CD8"/>
    <w:rsid w:val="00B67E1E"/>
    <w:rsid w:val="00B702FE"/>
    <w:rsid w:val="00B7037A"/>
    <w:rsid w:val="00B72AA2"/>
    <w:rsid w:val="00B72F26"/>
    <w:rsid w:val="00B740A2"/>
    <w:rsid w:val="00B74320"/>
    <w:rsid w:val="00B759DD"/>
    <w:rsid w:val="00B7610A"/>
    <w:rsid w:val="00B764ED"/>
    <w:rsid w:val="00B76A1E"/>
    <w:rsid w:val="00B77048"/>
    <w:rsid w:val="00B77A24"/>
    <w:rsid w:val="00B77BDF"/>
    <w:rsid w:val="00B77D70"/>
    <w:rsid w:val="00B80B55"/>
    <w:rsid w:val="00B837BC"/>
    <w:rsid w:val="00B83A71"/>
    <w:rsid w:val="00B84DCE"/>
    <w:rsid w:val="00B8511F"/>
    <w:rsid w:val="00B85695"/>
    <w:rsid w:val="00B9047B"/>
    <w:rsid w:val="00B92054"/>
    <w:rsid w:val="00B93132"/>
    <w:rsid w:val="00BA0212"/>
    <w:rsid w:val="00BA1FE0"/>
    <w:rsid w:val="00BA26E0"/>
    <w:rsid w:val="00BA2972"/>
    <w:rsid w:val="00BA5254"/>
    <w:rsid w:val="00BA729D"/>
    <w:rsid w:val="00BB0A4C"/>
    <w:rsid w:val="00BB1661"/>
    <w:rsid w:val="00BB6553"/>
    <w:rsid w:val="00BB7207"/>
    <w:rsid w:val="00BB79C2"/>
    <w:rsid w:val="00BC02BC"/>
    <w:rsid w:val="00BC1C71"/>
    <w:rsid w:val="00BC3DD8"/>
    <w:rsid w:val="00BC3EB5"/>
    <w:rsid w:val="00BC3ED5"/>
    <w:rsid w:val="00BC4A03"/>
    <w:rsid w:val="00BC4D52"/>
    <w:rsid w:val="00BD3181"/>
    <w:rsid w:val="00BD5005"/>
    <w:rsid w:val="00BD6723"/>
    <w:rsid w:val="00BD6E87"/>
    <w:rsid w:val="00BD7816"/>
    <w:rsid w:val="00BE0FAF"/>
    <w:rsid w:val="00BE1187"/>
    <w:rsid w:val="00BE1BEA"/>
    <w:rsid w:val="00BE2CB6"/>
    <w:rsid w:val="00BE40CA"/>
    <w:rsid w:val="00BE604D"/>
    <w:rsid w:val="00BF44BF"/>
    <w:rsid w:val="00BF490A"/>
    <w:rsid w:val="00BF54E1"/>
    <w:rsid w:val="00BF69BE"/>
    <w:rsid w:val="00C033DF"/>
    <w:rsid w:val="00C03FB2"/>
    <w:rsid w:val="00C040E7"/>
    <w:rsid w:val="00C0737D"/>
    <w:rsid w:val="00C12C29"/>
    <w:rsid w:val="00C144FF"/>
    <w:rsid w:val="00C14A35"/>
    <w:rsid w:val="00C2080C"/>
    <w:rsid w:val="00C22004"/>
    <w:rsid w:val="00C30826"/>
    <w:rsid w:val="00C30B91"/>
    <w:rsid w:val="00C35135"/>
    <w:rsid w:val="00C4199E"/>
    <w:rsid w:val="00C41E1F"/>
    <w:rsid w:val="00C4275C"/>
    <w:rsid w:val="00C4374A"/>
    <w:rsid w:val="00C4419A"/>
    <w:rsid w:val="00C44C34"/>
    <w:rsid w:val="00C44F31"/>
    <w:rsid w:val="00C45B67"/>
    <w:rsid w:val="00C461FB"/>
    <w:rsid w:val="00C5210D"/>
    <w:rsid w:val="00C52970"/>
    <w:rsid w:val="00C53AD7"/>
    <w:rsid w:val="00C54430"/>
    <w:rsid w:val="00C5485C"/>
    <w:rsid w:val="00C54A5B"/>
    <w:rsid w:val="00C5579B"/>
    <w:rsid w:val="00C56C49"/>
    <w:rsid w:val="00C575D1"/>
    <w:rsid w:val="00C60067"/>
    <w:rsid w:val="00C60DB3"/>
    <w:rsid w:val="00C643C8"/>
    <w:rsid w:val="00C644EB"/>
    <w:rsid w:val="00C64FB8"/>
    <w:rsid w:val="00C652F5"/>
    <w:rsid w:val="00C71A28"/>
    <w:rsid w:val="00C72810"/>
    <w:rsid w:val="00C73BFB"/>
    <w:rsid w:val="00C77425"/>
    <w:rsid w:val="00C777DF"/>
    <w:rsid w:val="00C77AB2"/>
    <w:rsid w:val="00C8160D"/>
    <w:rsid w:val="00C818EF"/>
    <w:rsid w:val="00C81DEB"/>
    <w:rsid w:val="00C84E06"/>
    <w:rsid w:val="00C85A78"/>
    <w:rsid w:val="00C85C29"/>
    <w:rsid w:val="00C8602D"/>
    <w:rsid w:val="00C905B4"/>
    <w:rsid w:val="00C93AC6"/>
    <w:rsid w:val="00C93CA1"/>
    <w:rsid w:val="00C959AD"/>
    <w:rsid w:val="00C9747C"/>
    <w:rsid w:val="00CA33D6"/>
    <w:rsid w:val="00CA4D10"/>
    <w:rsid w:val="00CA6EC1"/>
    <w:rsid w:val="00CB0259"/>
    <w:rsid w:val="00CB0661"/>
    <w:rsid w:val="00CB15C1"/>
    <w:rsid w:val="00CB2483"/>
    <w:rsid w:val="00CB2C22"/>
    <w:rsid w:val="00CB33FD"/>
    <w:rsid w:val="00CB3E70"/>
    <w:rsid w:val="00CB4BCF"/>
    <w:rsid w:val="00CB4CC1"/>
    <w:rsid w:val="00CB5B7A"/>
    <w:rsid w:val="00CB5DFE"/>
    <w:rsid w:val="00CB6830"/>
    <w:rsid w:val="00CB695F"/>
    <w:rsid w:val="00CC65B1"/>
    <w:rsid w:val="00CC7611"/>
    <w:rsid w:val="00CC7802"/>
    <w:rsid w:val="00CD1BB6"/>
    <w:rsid w:val="00CD3FC2"/>
    <w:rsid w:val="00CD41F1"/>
    <w:rsid w:val="00CD57F5"/>
    <w:rsid w:val="00CD6862"/>
    <w:rsid w:val="00CD6C61"/>
    <w:rsid w:val="00CD72E3"/>
    <w:rsid w:val="00CE0488"/>
    <w:rsid w:val="00CE0720"/>
    <w:rsid w:val="00CE341D"/>
    <w:rsid w:val="00CE46A3"/>
    <w:rsid w:val="00CE6C30"/>
    <w:rsid w:val="00CF0B93"/>
    <w:rsid w:val="00CF2F63"/>
    <w:rsid w:val="00CF55C8"/>
    <w:rsid w:val="00CF58E0"/>
    <w:rsid w:val="00CF76C6"/>
    <w:rsid w:val="00D029B6"/>
    <w:rsid w:val="00D03895"/>
    <w:rsid w:val="00D13EDC"/>
    <w:rsid w:val="00D14FD2"/>
    <w:rsid w:val="00D20104"/>
    <w:rsid w:val="00D26CDD"/>
    <w:rsid w:val="00D271BA"/>
    <w:rsid w:val="00D2728F"/>
    <w:rsid w:val="00D30A10"/>
    <w:rsid w:val="00D318FB"/>
    <w:rsid w:val="00D3288F"/>
    <w:rsid w:val="00D42B04"/>
    <w:rsid w:val="00D42F97"/>
    <w:rsid w:val="00D431E2"/>
    <w:rsid w:val="00D4337F"/>
    <w:rsid w:val="00D44509"/>
    <w:rsid w:val="00D44F46"/>
    <w:rsid w:val="00D45C66"/>
    <w:rsid w:val="00D50A60"/>
    <w:rsid w:val="00D52D45"/>
    <w:rsid w:val="00D53DC8"/>
    <w:rsid w:val="00D55EBD"/>
    <w:rsid w:val="00D56E3D"/>
    <w:rsid w:val="00D6041A"/>
    <w:rsid w:val="00D60C51"/>
    <w:rsid w:val="00D62053"/>
    <w:rsid w:val="00D649D9"/>
    <w:rsid w:val="00D64E0F"/>
    <w:rsid w:val="00D65040"/>
    <w:rsid w:val="00D6505D"/>
    <w:rsid w:val="00D6529C"/>
    <w:rsid w:val="00D71FAF"/>
    <w:rsid w:val="00D729B9"/>
    <w:rsid w:val="00D72C33"/>
    <w:rsid w:val="00D73394"/>
    <w:rsid w:val="00D74BF4"/>
    <w:rsid w:val="00D74D4C"/>
    <w:rsid w:val="00D74DA6"/>
    <w:rsid w:val="00D7509C"/>
    <w:rsid w:val="00D75965"/>
    <w:rsid w:val="00D75BEF"/>
    <w:rsid w:val="00D76701"/>
    <w:rsid w:val="00D802A3"/>
    <w:rsid w:val="00D81302"/>
    <w:rsid w:val="00D82383"/>
    <w:rsid w:val="00D83C96"/>
    <w:rsid w:val="00D86422"/>
    <w:rsid w:val="00D8709C"/>
    <w:rsid w:val="00D87EE3"/>
    <w:rsid w:val="00D915C0"/>
    <w:rsid w:val="00D94552"/>
    <w:rsid w:val="00DA2D48"/>
    <w:rsid w:val="00DA633A"/>
    <w:rsid w:val="00DA7456"/>
    <w:rsid w:val="00DB175F"/>
    <w:rsid w:val="00DB235A"/>
    <w:rsid w:val="00DB40BE"/>
    <w:rsid w:val="00DB4B03"/>
    <w:rsid w:val="00DB6B81"/>
    <w:rsid w:val="00DB751D"/>
    <w:rsid w:val="00DB7BFE"/>
    <w:rsid w:val="00DC3FE9"/>
    <w:rsid w:val="00DC5145"/>
    <w:rsid w:val="00DC5F4B"/>
    <w:rsid w:val="00DD0225"/>
    <w:rsid w:val="00DD1FF7"/>
    <w:rsid w:val="00DD2322"/>
    <w:rsid w:val="00DD2915"/>
    <w:rsid w:val="00DD2CC9"/>
    <w:rsid w:val="00DD3DF8"/>
    <w:rsid w:val="00DE0B9F"/>
    <w:rsid w:val="00DE3323"/>
    <w:rsid w:val="00DE34A1"/>
    <w:rsid w:val="00DE3BE9"/>
    <w:rsid w:val="00DE587B"/>
    <w:rsid w:val="00DE726A"/>
    <w:rsid w:val="00DF0C87"/>
    <w:rsid w:val="00DF271A"/>
    <w:rsid w:val="00DF2F7D"/>
    <w:rsid w:val="00DF2FC4"/>
    <w:rsid w:val="00DF4D6F"/>
    <w:rsid w:val="00DF4FE2"/>
    <w:rsid w:val="00E0164E"/>
    <w:rsid w:val="00E01DB1"/>
    <w:rsid w:val="00E03020"/>
    <w:rsid w:val="00E033FC"/>
    <w:rsid w:val="00E04C5D"/>
    <w:rsid w:val="00E04CAF"/>
    <w:rsid w:val="00E0561B"/>
    <w:rsid w:val="00E05828"/>
    <w:rsid w:val="00E11534"/>
    <w:rsid w:val="00E1289B"/>
    <w:rsid w:val="00E14459"/>
    <w:rsid w:val="00E153F4"/>
    <w:rsid w:val="00E17E42"/>
    <w:rsid w:val="00E205E1"/>
    <w:rsid w:val="00E21635"/>
    <w:rsid w:val="00E21BD5"/>
    <w:rsid w:val="00E2240E"/>
    <w:rsid w:val="00E22B86"/>
    <w:rsid w:val="00E256F6"/>
    <w:rsid w:val="00E27EBA"/>
    <w:rsid w:val="00E30656"/>
    <w:rsid w:val="00E406BC"/>
    <w:rsid w:val="00E409BD"/>
    <w:rsid w:val="00E44B46"/>
    <w:rsid w:val="00E4675F"/>
    <w:rsid w:val="00E53A20"/>
    <w:rsid w:val="00E55433"/>
    <w:rsid w:val="00E570F9"/>
    <w:rsid w:val="00E60368"/>
    <w:rsid w:val="00E614E6"/>
    <w:rsid w:val="00E625D5"/>
    <w:rsid w:val="00E639F4"/>
    <w:rsid w:val="00E649C4"/>
    <w:rsid w:val="00E70C69"/>
    <w:rsid w:val="00E72928"/>
    <w:rsid w:val="00E729C0"/>
    <w:rsid w:val="00E75852"/>
    <w:rsid w:val="00E75C0C"/>
    <w:rsid w:val="00E76994"/>
    <w:rsid w:val="00E77599"/>
    <w:rsid w:val="00E80437"/>
    <w:rsid w:val="00E82188"/>
    <w:rsid w:val="00E8362C"/>
    <w:rsid w:val="00E913EE"/>
    <w:rsid w:val="00E94591"/>
    <w:rsid w:val="00E94C72"/>
    <w:rsid w:val="00E962A7"/>
    <w:rsid w:val="00EA065C"/>
    <w:rsid w:val="00EA4224"/>
    <w:rsid w:val="00EA6B0F"/>
    <w:rsid w:val="00EB0777"/>
    <w:rsid w:val="00EB12B1"/>
    <w:rsid w:val="00EB1B60"/>
    <w:rsid w:val="00EB1C35"/>
    <w:rsid w:val="00EB3B48"/>
    <w:rsid w:val="00EB557E"/>
    <w:rsid w:val="00EB5EDE"/>
    <w:rsid w:val="00EB69DD"/>
    <w:rsid w:val="00EB7BA3"/>
    <w:rsid w:val="00EB7ECC"/>
    <w:rsid w:val="00ED28A8"/>
    <w:rsid w:val="00ED2A8D"/>
    <w:rsid w:val="00ED3608"/>
    <w:rsid w:val="00ED521D"/>
    <w:rsid w:val="00EE1C81"/>
    <w:rsid w:val="00EE3351"/>
    <w:rsid w:val="00EE5388"/>
    <w:rsid w:val="00EE6DBF"/>
    <w:rsid w:val="00EF02CF"/>
    <w:rsid w:val="00EF1672"/>
    <w:rsid w:val="00EF3C47"/>
    <w:rsid w:val="00EF4FC2"/>
    <w:rsid w:val="00F00C5B"/>
    <w:rsid w:val="00F01344"/>
    <w:rsid w:val="00F02869"/>
    <w:rsid w:val="00F04A09"/>
    <w:rsid w:val="00F05220"/>
    <w:rsid w:val="00F070A2"/>
    <w:rsid w:val="00F072A9"/>
    <w:rsid w:val="00F10081"/>
    <w:rsid w:val="00F10A38"/>
    <w:rsid w:val="00F132B1"/>
    <w:rsid w:val="00F15D77"/>
    <w:rsid w:val="00F246E4"/>
    <w:rsid w:val="00F25433"/>
    <w:rsid w:val="00F25DAF"/>
    <w:rsid w:val="00F26039"/>
    <w:rsid w:val="00F32C7D"/>
    <w:rsid w:val="00F343A3"/>
    <w:rsid w:val="00F363DB"/>
    <w:rsid w:val="00F37B2C"/>
    <w:rsid w:val="00F40082"/>
    <w:rsid w:val="00F40B6B"/>
    <w:rsid w:val="00F4156C"/>
    <w:rsid w:val="00F4310B"/>
    <w:rsid w:val="00F44B53"/>
    <w:rsid w:val="00F45AAB"/>
    <w:rsid w:val="00F461BA"/>
    <w:rsid w:val="00F4639E"/>
    <w:rsid w:val="00F4670E"/>
    <w:rsid w:val="00F5073D"/>
    <w:rsid w:val="00F50DEF"/>
    <w:rsid w:val="00F54C62"/>
    <w:rsid w:val="00F57A76"/>
    <w:rsid w:val="00F57DEF"/>
    <w:rsid w:val="00F60175"/>
    <w:rsid w:val="00F61C21"/>
    <w:rsid w:val="00F658A2"/>
    <w:rsid w:val="00F659C1"/>
    <w:rsid w:val="00F66900"/>
    <w:rsid w:val="00F707FF"/>
    <w:rsid w:val="00F72D02"/>
    <w:rsid w:val="00F73FA1"/>
    <w:rsid w:val="00F77F3C"/>
    <w:rsid w:val="00F80691"/>
    <w:rsid w:val="00F8086E"/>
    <w:rsid w:val="00F80BE7"/>
    <w:rsid w:val="00F813A1"/>
    <w:rsid w:val="00F8185A"/>
    <w:rsid w:val="00F81AFC"/>
    <w:rsid w:val="00F82A7B"/>
    <w:rsid w:val="00F83919"/>
    <w:rsid w:val="00F83D40"/>
    <w:rsid w:val="00F859A6"/>
    <w:rsid w:val="00F85B33"/>
    <w:rsid w:val="00F87719"/>
    <w:rsid w:val="00F87DCC"/>
    <w:rsid w:val="00F90318"/>
    <w:rsid w:val="00F9054A"/>
    <w:rsid w:val="00F90DF9"/>
    <w:rsid w:val="00F91EEE"/>
    <w:rsid w:val="00F935B9"/>
    <w:rsid w:val="00F9393D"/>
    <w:rsid w:val="00F94BFE"/>
    <w:rsid w:val="00F97213"/>
    <w:rsid w:val="00FA26F9"/>
    <w:rsid w:val="00FA27A6"/>
    <w:rsid w:val="00FA3377"/>
    <w:rsid w:val="00FA41EB"/>
    <w:rsid w:val="00FA66AC"/>
    <w:rsid w:val="00FA6E3E"/>
    <w:rsid w:val="00FB1137"/>
    <w:rsid w:val="00FB13A8"/>
    <w:rsid w:val="00FB2036"/>
    <w:rsid w:val="00FB386A"/>
    <w:rsid w:val="00FB4D9E"/>
    <w:rsid w:val="00FC17BB"/>
    <w:rsid w:val="00FC5D02"/>
    <w:rsid w:val="00FC765B"/>
    <w:rsid w:val="00FC7E14"/>
    <w:rsid w:val="00FD13FF"/>
    <w:rsid w:val="00FD15BC"/>
    <w:rsid w:val="00FD25EB"/>
    <w:rsid w:val="00FD397E"/>
    <w:rsid w:val="00FD47BC"/>
    <w:rsid w:val="00FE16B7"/>
    <w:rsid w:val="00FE335D"/>
    <w:rsid w:val="00FE61B4"/>
    <w:rsid w:val="00FE776C"/>
    <w:rsid w:val="00FE79A8"/>
    <w:rsid w:val="00FF17CB"/>
    <w:rsid w:val="00FF645C"/>
    <w:rsid w:val="00FF66EC"/>
    <w:rsid w:val="00FF67CF"/>
    <w:rsid w:val="00FF7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82F7E7-29AC-4F0B-AD6A-AF938155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EB"/>
    <w:pPr>
      <w:spacing w:after="200" w:line="276" w:lineRule="auto"/>
    </w:pPr>
    <w:rPr>
      <w:rFonts w:cs="Calibri"/>
      <w:lang w:eastAsia="en-US"/>
    </w:rPr>
  </w:style>
  <w:style w:type="paragraph" w:styleId="Ttulo1">
    <w:name w:val="heading 1"/>
    <w:basedOn w:val="Normal"/>
    <w:next w:val="Normal"/>
    <w:link w:val="Ttulo1Car"/>
    <w:qFormat/>
    <w:rsid w:val="00372421"/>
    <w:pPr>
      <w:keepNext/>
      <w:tabs>
        <w:tab w:val="num" w:pos="0"/>
      </w:tabs>
      <w:suppressAutoHyphens/>
      <w:spacing w:after="0" w:line="240" w:lineRule="auto"/>
      <w:jc w:val="center"/>
      <w:outlineLvl w:val="0"/>
    </w:pPr>
    <w:rPr>
      <w:rFonts w:ascii="Helvetica" w:eastAsia="Times New Roman" w:hAnsi="Helvetica" w:cs="Helvetica"/>
      <w:sz w:val="28"/>
      <w:szCs w:val="28"/>
      <w:u w:val="single"/>
      <w:lang w:val="es-ES_tradnl" w:eastAsia="ar-SA"/>
    </w:rPr>
  </w:style>
  <w:style w:type="paragraph" w:styleId="Ttulo2">
    <w:name w:val="heading 2"/>
    <w:basedOn w:val="Normal"/>
    <w:next w:val="Normal"/>
    <w:link w:val="Ttulo2Car"/>
    <w:qFormat/>
    <w:locked/>
    <w:rsid w:val="00D65040"/>
    <w:pPr>
      <w:spacing w:before="120" w:after="0" w:line="240" w:lineRule="auto"/>
      <w:jc w:val="both"/>
      <w:outlineLvl w:val="1"/>
    </w:pPr>
    <w:rPr>
      <w:rFonts w:ascii="Arial" w:eastAsia="Times New Roman" w:hAnsi="Arial" w:cs="Times New Roman"/>
      <w:b/>
      <w:sz w:val="24"/>
      <w:szCs w:val="20"/>
      <w:lang w:val="es-ES_tradnl" w:eastAsia="es-ES"/>
    </w:rPr>
  </w:style>
  <w:style w:type="paragraph" w:styleId="Ttulo3">
    <w:name w:val="heading 3"/>
    <w:basedOn w:val="Normal"/>
    <w:next w:val="Normal"/>
    <w:link w:val="Ttulo3Car"/>
    <w:qFormat/>
    <w:rsid w:val="00903B5E"/>
    <w:pPr>
      <w:keepNext/>
      <w:keepLines/>
      <w:spacing w:before="200" w:after="0"/>
      <w:outlineLvl w:val="2"/>
    </w:pPr>
    <w:rPr>
      <w:rFonts w:ascii="Cambria" w:eastAsia="Times New Roman" w:hAnsi="Cambria" w:cs="Cambria"/>
      <w:b/>
      <w:bCs/>
      <w:color w:val="4F81BD"/>
    </w:rPr>
  </w:style>
  <w:style w:type="paragraph" w:styleId="Ttulo4">
    <w:name w:val="heading 4"/>
    <w:basedOn w:val="Normal"/>
    <w:next w:val="Sangranormal"/>
    <w:link w:val="Ttulo4Car"/>
    <w:qFormat/>
    <w:locked/>
    <w:rsid w:val="00D65040"/>
    <w:pPr>
      <w:spacing w:after="0" w:line="240" w:lineRule="auto"/>
      <w:ind w:left="354"/>
      <w:jc w:val="both"/>
      <w:outlineLvl w:val="3"/>
    </w:pPr>
    <w:rPr>
      <w:rFonts w:ascii="Times New Roman" w:eastAsia="Times New Roman" w:hAnsi="Times New Roman" w:cs="Times New Roman"/>
      <w:sz w:val="24"/>
      <w:szCs w:val="20"/>
      <w:u w:val="single"/>
      <w:lang w:val="es-ES_tradnl" w:eastAsia="es-ES"/>
    </w:rPr>
  </w:style>
  <w:style w:type="paragraph" w:styleId="Ttulo5">
    <w:name w:val="heading 5"/>
    <w:basedOn w:val="Normal"/>
    <w:next w:val="Sangranormal"/>
    <w:link w:val="Ttulo5Car"/>
    <w:qFormat/>
    <w:locked/>
    <w:rsid w:val="00D65040"/>
    <w:pPr>
      <w:spacing w:after="0" w:line="240" w:lineRule="auto"/>
      <w:ind w:left="708"/>
      <w:jc w:val="both"/>
      <w:outlineLvl w:val="4"/>
    </w:pPr>
    <w:rPr>
      <w:rFonts w:ascii="Times New Roman" w:eastAsia="Times New Roman" w:hAnsi="Times New Roman" w:cs="Times New Roman"/>
      <w:b/>
      <w:sz w:val="20"/>
      <w:szCs w:val="20"/>
      <w:lang w:val="es-ES_tradnl" w:eastAsia="es-ES"/>
    </w:rPr>
  </w:style>
  <w:style w:type="paragraph" w:styleId="Ttulo6">
    <w:name w:val="heading 6"/>
    <w:basedOn w:val="Normal"/>
    <w:next w:val="Sangranormal"/>
    <w:link w:val="Ttulo6Car"/>
    <w:qFormat/>
    <w:locked/>
    <w:rsid w:val="00D65040"/>
    <w:pPr>
      <w:spacing w:after="0" w:line="240" w:lineRule="auto"/>
      <w:ind w:left="708"/>
      <w:jc w:val="both"/>
      <w:outlineLvl w:val="5"/>
    </w:pPr>
    <w:rPr>
      <w:rFonts w:ascii="Times New Roman" w:eastAsia="Times New Roman" w:hAnsi="Times New Roman" w:cs="Times New Roman"/>
      <w:sz w:val="20"/>
      <w:szCs w:val="20"/>
      <w:u w:val="single"/>
      <w:lang w:val="es-ES_tradnl" w:eastAsia="es-ES"/>
    </w:rPr>
  </w:style>
  <w:style w:type="paragraph" w:styleId="Ttulo7">
    <w:name w:val="heading 7"/>
    <w:basedOn w:val="Normal"/>
    <w:next w:val="Sangranormal"/>
    <w:link w:val="Ttulo7Car"/>
    <w:qFormat/>
    <w:locked/>
    <w:rsid w:val="00D65040"/>
    <w:pPr>
      <w:spacing w:after="0" w:line="240" w:lineRule="auto"/>
      <w:ind w:left="708"/>
      <w:jc w:val="both"/>
      <w:outlineLvl w:val="6"/>
    </w:pPr>
    <w:rPr>
      <w:rFonts w:ascii="Times New Roman" w:eastAsia="Times New Roman" w:hAnsi="Times New Roman" w:cs="Times New Roman"/>
      <w:i/>
      <w:sz w:val="20"/>
      <w:szCs w:val="20"/>
      <w:lang w:val="es-ES_tradnl" w:eastAsia="es-ES"/>
    </w:rPr>
  </w:style>
  <w:style w:type="paragraph" w:styleId="Ttulo8">
    <w:name w:val="heading 8"/>
    <w:basedOn w:val="Normal"/>
    <w:next w:val="Sangranormal"/>
    <w:link w:val="Ttulo8Car"/>
    <w:qFormat/>
    <w:locked/>
    <w:rsid w:val="00D65040"/>
    <w:pPr>
      <w:spacing w:after="0" w:line="240" w:lineRule="auto"/>
      <w:ind w:left="708"/>
      <w:jc w:val="both"/>
      <w:outlineLvl w:val="7"/>
    </w:pPr>
    <w:rPr>
      <w:rFonts w:ascii="Times New Roman" w:eastAsia="Times New Roman" w:hAnsi="Times New Roman" w:cs="Times New Roman"/>
      <w:i/>
      <w:sz w:val="20"/>
      <w:szCs w:val="20"/>
      <w:lang w:val="es-ES_tradnl" w:eastAsia="es-ES"/>
    </w:rPr>
  </w:style>
  <w:style w:type="paragraph" w:styleId="Ttulo9">
    <w:name w:val="heading 9"/>
    <w:basedOn w:val="Normal"/>
    <w:next w:val="Sangranormal"/>
    <w:link w:val="Ttulo9Car"/>
    <w:qFormat/>
    <w:locked/>
    <w:rsid w:val="00D65040"/>
    <w:pPr>
      <w:spacing w:after="0" w:line="240" w:lineRule="auto"/>
      <w:ind w:left="708"/>
      <w:jc w:val="both"/>
      <w:outlineLvl w:val="8"/>
    </w:pPr>
    <w:rPr>
      <w:rFonts w:ascii="Times New Roman" w:eastAsia="Times New Roman" w:hAnsi="Times New Roman" w:cs="Times New Roman"/>
      <w:i/>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93758C"/>
    <w:rPr>
      <w:rFonts w:ascii="Cambria" w:hAnsi="Cambria" w:cs="Cambria"/>
      <w:b/>
      <w:bCs/>
      <w:kern w:val="32"/>
      <w:sz w:val="32"/>
      <w:szCs w:val="32"/>
      <w:lang w:eastAsia="en-US"/>
    </w:rPr>
  </w:style>
  <w:style w:type="character" w:customStyle="1" w:styleId="Ttulo3Car">
    <w:name w:val="Título 3 Car"/>
    <w:basedOn w:val="Fuentedeprrafopredeter"/>
    <w:link w:val="Ttulo3"/>
    <w:locked/>
    <w:rsid w:val="00903B5E"/>
    <w:rPr>
      <w:rFonts w:ascii="Cambria" w:hAnsi="Cambria" w:cs="Cambria"/>
      <w:b/>
      <w:bCs/>
      <w:color w:val="4F81BD"/>
      <w:sz w:val="22"/>
      <w:szCs w:val="22"/>
      <w:lang w:val="es-ES" w:eastAsia="en-US"/>
    </w:rPr>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rsid w:val="005003EB"/>
    <w:pPr>
      <w:tabs>
        <w:tab w:val="center" w:pos="4252"/>
        <w:tab w:val="right" w:pos="8504"/>
      </w:tabs>
      <w:spacing w:after="0" w:line="240" w:lineRule="auto"/>
    </w:pPr>
  </w:style>
  <w:style w:type="character" w:customStyle="1" w:styleId="EncabezadoCar">
    <w:name w:val="Encabezado Car"/>
    <w:aliases w:val=" Car Car1, Car Car Car Car Car Car Car Car1, Car Car Car Car Car Car Car Car Car Car Car Car Car Car, Car Car Car Car Car Car Car Car Car Car Car Car Car1, Car Car Car Car Car Car Car Car Car Car Car Car Car Car Car Car Car Car Car"/>
    <w:basedOn w:val="Fuentedeprrafopredeter"/>
    <w:link w:val="Encabezado"/>
    <w:locked/>
    <w:rsid w:val="005003EB"/>
    <w:rPr>
      <w:rFonts w:ascii="Calibri" w:hAnsi="Calibri" w:cs="Calibri"/>
    </w:rPr>
  </w:style>
  <w:style w:type="paragraph" w:styleId="Piedepgina">
    <w:name w:val="footer"/>
    <w:aliases w:val=" Car Car Car Car Car Car Car Car,Car Car Car Car Car Car Car Car,Pie de página1, Car Car Car Car, Car9, Car Car,Car Car,Car9"/>
    <w:basedOn w:val="Normal"/>
    <w:link w:val="PiedepginaCar"/>
    <w:rsid w:val="005003EB"/>
    <w:pPr>
      <w:tabs>
        <w:tab w:val="center" w:pos="4252"/>
        <w:tab w:val="right" w:pos="8504"/>
      </w:tabs>
      <w:spacing w:after="0" w:line="240" w:lineRule="auto"/>
    </w:pPr>
  </w:style>
  <w:style w:type="character" w:customStyle="1" w:styleId="PiedepginaCar">
    <w:name w:val="Pie de página Car"/>
    <w:aliases w:val=" Car Car Car Car Car Car Car Car Car,Car Car Car Car Car Car Car Car Car,Pie de página1 Car, Car Car Car Car Car, Car9 Car, Car Car Car,Car Car Car1,Car9 Car"/>
    <w:basedOn w:val="Fuentedeprrafopredeter"/>
    <w:link w:val="Piedepgina"/>
    <w:locked/>
    <w:rsid w:val="005003EB"/>
    <w:rPr>
      <w:rFonts w:ascii="Calibri" w:hAnsi="Calibri" w:cs="Calibri"/>
    </w:rPr>
  </w:style>
  <w:style w:type="table" w:styleId="Tablaconcuadrcula">
    <w:name w:val="Table Grid"/>
    <w:basedOn w:val="Tablanormal"/>
    <w:uiPriority w:val="59"/>
    <w:rsid w:val="00C7281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C72810"/>
    <w:pPr>
      <w:ind w:left="720"/>
    </w:pPr>
  </w:style>
  <w:style w:type="paragraph" w:styleId="Textoindependiente">
    <w:name w:val="Body Text"/>
    <w:aliases w:val="Car Car Car,Car Car Car Car"/>
    <w:basedOn w:val="Normal"/>
    <w:link w:val="TextoindependienteCar"/>
    <w:rsid w:val="00372421"/>
    <w:pPr>
      <w:suppressAutoHyphens/>
      <w:spacing w:after="0" w:line="240" w:lineRule="auto"/>
      <w:jc w:val="both"/>
    </w:pPr>
    <w:rPr>
      <w:rFonts w:ascii="Helvetica" w:eastAsia="Times New Roman" w:hAnsi="Helvetica" w:cs="Helvetica"/>
      <w:sz w:val="28"/>
      <w:szCs w:val="28"/>
      <w:lang w:eastAsia="ar-SA"/>
    </w:rPr>
  </w:style>
  <w:style w:type="character" w:customStyle="1" w:styleId="TextoindependienteCar">
    <w:name w:val="Texto independiente Car"/>
    <w:aliases w:val="Car Car Car Car1,Car Car Car Car Car"/>
    <w:basedOn w:val="Fuentedeprrafopredeter"/>
    <w:link w:val="Textoindependiente"/>
    <w:locked/>
    <w:rsid w:val="0093758C"/>
    <w:rPr>
      <w:rFonts w:cs="Times New Roman"/>
      <w:lang w:eastAsia="en-US"/>
    </w:rPr>
  </w:style>
  <w:style w:type="paragraph" w:customStyle="1" w:styleId="1">
    <w:name w:val="1"/>
    <w:basedOn w:val="Normal"/>
    <w:next w:val="Sangradetextonormal"/>
    <w:uiPriority w:val="99"/>
    <w:rsid w:val="00372421"/>
    <w:pPr>
      <w:suppressAutoHyphens/>
      <w:spacing w:after="0" w:line="360" w:lineRule="auto"/>
      <w:ind w:right="-360" w:firstLine="720"/>
      <w:jc w:val="both"/>
    </w:pPr>
    <w:rPr>
      <w:rFonts w:ascii="Arial" w:eastAsia="Times New Roman" w:hAnsi="Arial" w:cs="Arial"/>
      <w:caps/>
      <w:sz w:val="24"/>
      <w:szCs w:val="24"/>
      <w:lang w:eastAsia="ar-SA"/>
    </w:rPr>
  </w:style>
  <w:style w:type="paragraph" w:styleId="Sangradetextonormal">
    <w:name w:val="Body Text Indent"/>
    <w:basedOn w:val="Normal"/>
    <w:link w:val="SangradetextonormalCar"/>
    <w:rsid w:val="00372421"/>
    <w:pPr>
      <w:spacing w:after="120"/>
      <w:ind w:left="283"/>
    </w:pPr>
  </w:style>
  <w:style w:type="character" w:customStyle="1" w:styleId="SangradetextonormalCar">
    <w:name w:val="Sangría de texto normal Car"/>
    <w:basedOn w:val="Fuentedeprrafopredeter"/>
    <w:link w:val="Sangradetextonormal"/>
    <w:locked/>
    <w:rsid w:val="0093758C"/>
    <w:rPr>
      <w:rFonts w:cs="Times New Roman"/>
      <w:lang w:eastAsia="en-US"/>
    </w:rPr>
  </w:style>
  <w:style w:type="paragraph" w:styleId="HTMLconformatoprevio">
    <w:name w:val="HTML Preformatted"/>
    <w:basedOn w:val="Normal"/>
    <w:link w:val="HTMLconformatoprevioCar"/>
    <w:uiPriority w:val="99"/>
    <w:rsid w:val="000F3F71"/>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locked/>
    <w:rsid w:val="0093758C"/>
    <w:rPr>
      <w:rFonts w:ascii="Courier New" w:hAnsi="Courier New" w:cs="Courier New"/>
      <w:sz w:val="20"/>
      <w:szCs w:val="20"/>
      <w:lang w:eastAsia="en-US"/>
    </w:rPr>
  </w:style>
  <w:style w:type="paragraph" w:customStyle="1" w:styleId="Prrafodelista1">
    <w:name w:val="Párrafo de lista1"/>
    <w:basedOn w:val="Normal"/>
    <w:uiPriority w:val="99"/>
    <w:rsid w:val="00C040E7"/>
    <w:pPr>
      <w:ind w:left="720"/>
    </w:pPr>
    <w:rPr>
      <w:rFonts w:eastAsia="Times New Roman"/>
      <w:lang w:val="es-MX"/>
    </w:rPr>
  </w:style>
  <w:style w:type="paragraph" w:styleId="Saludo">
    <w:name w:val="Salutation"/>
    <w:basedOn w:val="Normal"/>
    <w:next w:val="Normal"/>
    <w:link w:val="SaludoCar"/>
    <w:uiPriority w:val="99"/>
    <w:rsid w:val="002B4EA7"/>
    <w:rPr>
      <w:lang w:val="es-MX"/>
    </w:rPr>
  </w:style>
  <w:style w:type="character" w:customStyle="1" w:styleId="SaludoCar">
    <w:name w:val="Saludo Car"/>
    <w:basedOn w:val="Fuentedeprrafopredeter"/>
    <w:link w:val="Saludo"/>
    <w:uiPriority w:val="99"/>
    <w:locked/>
    <w:rsid w:val="002B4EA7"/>
    <w:rPr>
      <w:rFonts w:ascii="Calibri" w:hAnsi="Calibri" w:cs="Calibri"/>
      <w:sz w:val="22"/>
      <w:szCs w:val="22"/>
      <w:lang w:eastAsia="en-US"/>
    </w:rPr>
  </w:style>
  <w:style w:type="character" w:styleId="nfasis">
    <w:name w:val="Emphasis"/>
    <w:basedOn w:val="Fuentedeprrafopredeter"/>
    <w:uiPriority w:val="99"/>
    <w:qFormat/>
    <w:rsid w:val="00903B5E"/>
    <w:rPr>
      <w:rFonts w:cs="Times New Roman"/>
      <w:i/>
      <w:iCs/>
    </w:rPr>
  </w:style>
  <w:style w:type="paragraph" w:customStyle="1" w:styleId="ecxmsonormal">
    <w:name w:val="ecxmsonormal"/>
    <w:basedOn w:val="Normal"/>
    <w:rsid w:val="005C3AD5"/>
    <w:pPr>
      <w:spacing w:after="324" w:line="240" w:lineRule="auto"/>
    </w:pPr>
    <w:rPr>
      <w:rFonts w:ascii="Times New Roman" w:eastAsia="Times New Roman" w:hAnsi="Times New Roman" w:cs="Times New Roman"/>
      <w:sz w:val="24"/>
      <w:szCs w:val="24"/>
      <w:lang w:val="es-MX" w:eastAsia="es-MX"/>
    </w:rPr>
  </w:style>
  <w:style w:type="paragraph" w:customStyle="1" w:styleId="xl22">
    <w:name w:val="xl22"/>
    <w:basedOn w:val="Normal"/>
    <w:rsid w:val="00F15D77"/>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Default">
    <w:name w:val="Default"/>
    <w:rsid w:val="002E7A32"/>
    <w:pPr>
      <w:autoSpaceDE w:val="0"/>
      <w:autoSpaceDN w:val="0"/>
      <w:adjustRightInd w:val="0"/>
    </w:pPr>
    <w:rPr>
      <w:rFonts w:ascii="Garamond" w:hAnsi="Garamond" w:cs="Garamond"/>
      <w:color w:val="000000"/>
      <w:sz w:val="24"/>
      <w:szCs w:val="24"/>
      <w:lang w:val="es-MX" w:eastAsia="en-US"/>
    </w:rPr>
  </w:style>
  <w:style w:type="character" w:customStyle="1" w:styleId="Ttulo2Car">
    <w:name w:val="Título 2 Car"/>
    <w:basedOn w:val="Fuentedeprrafopredeter"/>
    <w:link w:val="Ttulo2"/>
    <w:rsid w:val="00D65040"/>
    <w:rPr>
      <w:rFonts w:ascii="Arial" w:eastAsia="Times New Roman" w:hAnsi="Arial"/>
      <w:b/>
      <w:sz w:val="24"/>
      <w:szCs w:val="20"/>
      <w:lang w:val="es-ES_tradnl"/>
    </w:rPr>
  </w:style>
  <w:style w:type="character" w:customStyle="1" w:styleId="Ttulo4Car">
    <w:name w:val="Título 4 Car"/>
    <w:basedOn w:val="Fuentedeprrafopredeter"/>
    <w:link w:val="Ttulo4"/>
    <w:rsid w:val="00D65040"/>
    <w:rPr>
      <w:rFonts w:ascii="Times New Roman" w:eastAsia="Times New Roman" w:hAnsi="Times New Roman"/>
      <w:sz w:val="24"/>
      <w:szCs w:val="20"/>
      <w:u w:val="single"/>
      <w:lang w:val="es-ES_tradnl"/>
    </w:rPr>
  </w:style>
  <w:style w:type="character" w:customStyle="1" w:styleId="Ttulo5Car">
    <w:name w:val="Título 5 Car"/>
    <w:basedOn w:val="Fuentedeprrafopredeter"/>
    <w:link w:val="Ttulo5"/>
    <w:rsid w:val="00D65040"/>
    <w:rPr>
      <w:rFonts w:ascii="Times New Roman" w:eastAsia="Times New Roman" w:hAnsi="Times New Roman"/>
      <w:b/>
      <w:sz w:val="20"/>
      <w:szCs w:val="20"/>
      <w:lang w:val="es-ES_tradnl"/>
    </w:rPr>
  </w:style>
  <w:style w:type="character" w:customStyle="1" w:styleId="Ttulo6Car">
    <w:name w:val="Título 6 Car"/>
    <w:basedOn w:val="Fuentedeprrafopredeter"/>
    <w:link w:val="Ttulo6"/>
    <w:rsid w:val="00D65040"/>
    <w:rPr>
      <w:rFonts w:ascii="Times New Roman" w:eastAsia="Times New Roman" w:hAnsi="Times New Roman"/>
      <w:sz w:val="20"/>
      <w:szCs w:val="20"/>
      <w:u w:val="single"/>
      <w:lang w:val="es-ES_tradnl"/>
    </w:rPr>
  </w:style>
  <w:style w:type="character" w:customStyle="1" w:styleId="Ttulo7Car">
    <w:name w:val="Título 7 Car"/>
    <w:basedOn w:val="Fuentedeprrafopredeter"/>
    <w:link w:val="Ttulo7"/>
    <w:rsid w:val="00D65040"/>
    <w:rPr>
      <w:rFonts w:ascii="Times New Roman" w:eastAsia="Times New Roman" w:hAnsi="Times New Roman"/>
      <w:i/>
      <w:sz w:val="20"/>
      <w:szCs w:val="20"/>
      <w:lang w:val="es-ES_tradnl"/>
    </w:rPr>
  </w:style>
  <w:style w:type="character" w:customStyle="1" w:styleId="Ttulo8Car">
    <w:name w:val="Título 8 Car"/>
    <w:basedOn w:val="Fuentedeprrafopredeter"/>
    <w:link w:val="Ttulo8"/>
    <w:rsid w:val="00D65040"/>
    <w:rPr>
      <w:rFonts w:ascii="Times New Roman" w:eastAsia="Times New Roman" w:hAnsi="Times New Roman"/>
      <w:i/>
      <w:sz w:val="20"/>
      <w:szCs w:val="20"/>
      <w:lang w:val="es-ES_tradnl"/>
    </w:rPr>
  </w:style>
  <w:style w:type="character" w:customStyle="1" w:styleId="Ttulo9Car">
    <w:name w:val="Título 9 Car"/>
    <w:basedOn w:val="Fuentedeprrafopredeter"/>
    <w:link w:val="Ttulo9"/>
    <w:rsid w:val="00D65040"/>
    <w:rPr>
      <w:rFonts w:ascii="Times New Roman" w:eastAsia="Times New Roman" w:hAnsi="Times New Roman"/>
      <w:i/>
      <w:sz w:val="20"/>
      <w:szCs w:val="20"/>
      <w:lang w:val="es-ES_tradnl"/>
    </w:rPr>
  </w:style>
  <w:style w:type="numbering" w:customStyle="1" w:styleId="Sinlista1">
    <w:name w:val="Sin lista1"/>
    <w:next w:val="Sinlista"/>
    <w:uiPriority w:val="99"/>
    <w:semiHidden/>
    <w:unhideWhenUsed/>
    <w:rsid w:val="00D65040"/>
  </w:style>
  <w:style w:type="paragraph" w:styleId="Textodeglobo">
    <w:name w:val="Balloon Text"/>
    <w:basedOn w:val="Normal"/>
    <w:link w:val="TextodegloboCar"/>
    <w:uiPriority w:val="99"/>
    <w:semiHidden/>
    <w:unhideWhenUsed/>
    <w:rsid w:val="00D65040"/>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D65040"/>
    <w:rPr>
      <w:rFonts w:ascii="Tahoma" w:hAnsi="Tahoma" w:cs="Tahoma"/>
      <w:sz w:val="16"/>
      <w:szCs w:val="16"/>
      <w:lang w:val="es-MX" w:eastAsia="en-US"/>
    </w:rPr>
  </w:style>
  <w:style w:type="table" w:customStyle="1" w:styleId="Tablaconcuadrcula1">
    <w:name w:val="Tabla con cuadrícula1"/>
    <w:basedOn w:val="Tablanormal"/>
    <w:next w:val="Tablaconcuadrcula"/>
    <w:uiPriority w:val="59"/>
    <w:rsid w:val="00D65040"/>
    <w:rPr>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65040"/>
    <w:rPr>
      <w:lang w:val="es-MX"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D65040"/>
    <w:pPr>
      <w:spacing w:after="0" w:line="240" w:lineRule="auto"/>
    </w:pPr>
    <w:rPr>
      <w:rFonts w:cs="Times New Roman"/>
      <w:sz w:val="20"/>
      <w:szCs w:val="20"/>
      <w:lang w:val="es-MX"/>
    </w:rPr>
  </w:style>
  <w:style w:type="character" w:customStyle="1" w:styleId="TextonotapieCar">
    <w:name w:val="Texto nota pie Car"/>
    <w:basedOn w:val="Fuentedeprrafopredeter"/>
    <w:link w:val="Textonotapie"/>
    <w:uiPriority w:val="99"/>
    <w:semiHidden/>
    <w:rsid w:val="00D65040"/>
    <w:rPr>
      <w:sz w:val="20"/>
      <w:szCs w:val="20"/>
      <w:lang w:val="es-MX" w:eastAsia="en-US"/>
    </w:rPr>
  </w:style>
  <w:style w:type="character" w:styleId="Refdenotaalpie">
    <w:name w:val="footnote reference"/>
    <w:basedOn w:val="Fuentedeprrafopredeter"/>
    <w:unhideWhenUsed/>
    <w:rsid w:val="00D65040"/>
    <w:rPr>
      <w:vertAlign w:val="superscript"/>
    </w:rPr>
  </w:style>
  <w:style w:type="table" w:customStyle="1" w:styleId="Sombreadomedio2-nfasis31">
    <w:name w:val="Sombreado medio 2 - Énfasis 31"/>
    <w:basedOn w:val="Tablanormal"/>
    <w:next w:val="Sombreadomedio2-nfasis3"/>
    <w:uiPriority w:val="64"/>
    <w:rsid w:val="00D65040"/>
    <w:rPr>
      <w:lang w:val="es-MX"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unhideWhenUsed/>
    <w:rsid w:val="00D65040"/>
    <w:rPr>
      <w:sz w:val="16"/>
      <w:szCs w:val="16"/>
    </w:rPr>
  </w:style>
  <w:style w:type="paragraph" w:styleId="Textocomentario">
    <w:name w:val="annotation text"/>
    <w:basedOn w:val="Normal"/>
    <w:link w:val="TextocomentarioCar"/>
    <w:uiPriority w:val="99"/>
    <w:semiHidden/>
    <w:unhideWhenUsed/>
    <w:rsid w:val="00D65040"/>
    <w:pPr>
      <w:spacing w:line="240" w:lineRule="auto"/>
    </w:pPr>
    <w:rPr>
      <w:rFonts w:cs="Times New Roman"/>
      <w:sz w:val="20"/>
      <w:szCs w:val="20"/>
      <w:lang w:val="es-MX"/>
    </w:rPr>
  </w:style>
  <w:style w:type="character" w:customStyle="1" w:styleId="TextocomentarioCar">
    <w:name w:val="Texto comentario Car"/>
    <w:basedOn w:val="Fuentedeprrafopredeter"/>
    <w:link w:val="Textocomentario"/>
    <w:uiPriority w:val="99"/>
    <w:semiHidden/>
    <w:rsid w:val="00D65040"/>
    <w:rPr>
      <w:sz w:val="20"/>
      <w:szCs w:val="20"/>
      <w:lang w:val="es-MX" w:eastAsia="en-US"/>
    </w:rPr>
  </w:style>
  <w:style w:type="paragraph" w:styleId="Asuntodelcomentario">
    <w:name w:val="annotation subject"/>
    <w:basedOn w:val="Textocomentario"/>
    <w:next w:val="Textocomentario"/>
    <w:link w:val="AsuntodelcomentarioCar"/>
    <w:uiPriority w:val="99"/>
    <w:unhideWhenUsed/>
    <w:rsid w:val="00D65040"/>
    <w:rPr>
      <w:b/>
      <w:bCs/>
    </w:rPr>
  </w:style>
  <w:style w:type="character" w:customStyle="1" w:styleId="AsuntodelcomentarioCar">
    <w:name w:val="Asunto del comentario Car"/>
    <w:basedOn w:val="TextocomentarioCar"/>
    <w:link w:val="Asuntodelcomentario"/>
    <w:uiPriority w:val="99"/>
    <w:rsid w:val="00D65040"/>
    <w:rPr>
      <w:b/>
      <w:bCs/>
      <w:sz w:val="20"/>
      <w:szCs w:val="20"/>
      <w:lang w:val="es-MX" w:eastAsia="en-US"/>
    </w:rPr>
  </w:style>
  <w:style w:type="table" w:customStyle="1" w:styleId="Tablaconcuadrcula2">
    <w:name w:val="Tabla con cuadrícula2"/>
    <w:basedOn w:val="Tablanormal"/>
    <w:next w:val="Tablaconcuadrcula"/>
    <w:uiPriority w:val="59"/>
    <w:rsid w:val="00D65040"/>
    <w:rPr>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
    <w:name w:val="Cuadrícula media 31"/>
    <w:basedOn w:val="Tablanormal"/>
    <w:next w:val="Cuadrculamedia3"/>
    <w:uiPriority w:val="69"/>
    <w:rsid w:val="00D65040"/>
    <w:rPr>
      <w:lang w:val="es-MX"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Sinlista11">
    <w:name w:val="Sin lista11"/>
    <w:next w:val="Sinlista"/>
    <w:uiPriority w:val="99"/>
    <w:semiHidden/>
    <w:unhideWhenUsed/>
    <w:rsid w:val="00D65040"/>
  </w:style>
  <w:style w:type="paragraph" w:styleId="Sangranormal">
    <w:name w:val="Normal Indent"/>
    <w:basedOn w:val="Normal"/>
    <w:rsid w:val="00D65040"/>
    <w:pPr>
      <w:spacing w:after="0" w:line="240" w:lineRule="auto"/>
      <w:ind w:left="708"/>
      <w:jc w:val="both"/>
    </w:pPr>
    <w:rPr>
      <w:rFonts w:ascii="Helvetica" w:eastAsia="Times New Roman" w:hAnsi="Helvetica" w:cs="Times New Roman"/>
      <w:sz w:val="28"/>
      <w:szCs w:val="20"/>
      <w:lang w:val="es-ES_tradnl" w:eastAsia="es-ES"/>
    </w:rPr>
  </w:style>
  <w:style w:type="paragraph" w:styleId="Sangra3detindependiente">
    <w:name w:val="Body Text Indent 3"/>
    <w:basedOn w:val="Normal"/>
    <w:link w:val="Sangra3detindependienteCar"/>
    <w:rsid w:val="00D65040"/>
    <w:pPr>
      <w:spacing w:after="0" w:line="240" w:lineRule="auto"/>
      <w:ind w:left="567"/>
      <w:jc w:val="both"/>
    </w:pPr>
    <w:rPr>
      <w:rFonts w:ascii="Helvetica" w:eastAsia="Times New Roman" w:hAnsi="Helvetica"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D65040"/>
    <w:rPr>
      <w:rFonts w:ascii="Helvetica" w:eastAsia="Times New Roman" w:hAnsi="Helvetica"/>
      <w:sz w:val="24"/>
      <w:szCs w:val="20"/>
      <w:lang w:val="es-ES_tradnl"/>
    </w:rPr>
  </w:style>
  <w:style w:type="paragraph" w:styleId="Textoindependiente2">
    <w:name w:val="Body Text 2"/>
    <w:basedOn w:val="Normal"/>
    <w:link w:val="Textoindependiente2Car"/>
    <w:uiPriority w:val="99"/>
    <w:rsid w:val="00D65040"/>
    <w:pPr>
      <w:tabs>
        <w:tab w:val="num" w:pos="360"/>
      </w:tabs>
      <w:spacing w:after="0" w:line="240" w:lineRule="auto"/>
      <w:jc w:val="both"/>
    </w:pPr>
    <w:rPr>
      <w:rFonts w:ascii="Helvetica" w:eastAsia="Times New Roman" w:hAnsi="Helvetica" w:cs="Times New Roman"/>
      <w:sz w:val="24"/>
      <w:szCs w:val="20"/>
      <w:lang w:val="es-ES_tradnl" w:eastAsia="es-ES"/>
    </w:rPr>
  </w:style>
  <w:style w:type="character" w:customStyle="1" w:styleId="Textoindependiente2Car">
    <w:name w:val="Texto independiente 2 Car"/>
    <w:basedOn w:val="Fuentedeprrafopredeter"/>
    <w:link w:val="Textoindependiente2"/>
    <w:uiPriority w:val="99"/>
    <w:rsid w:val="00D65040"/>
    <w:rPr>
      <w:rFonts w:ascii="Helvetica" w:eastAsia="Times New Roman" w:hAnsi="Helvetica"/>
      <w:sz w:val="24"/>
      <w:szCs w:val="20"/>
      <w:lang w:val="es-ES_tradnl"/>
    </w:rPr>
  </w:style>
  <w:style w:type="paragraph" w:styleId="Sangra2detindependiente">
    <w:name w:val="Body Text Indent 2"/>
    <w:basedOn w:val="Normal"/>
    <w:link w:val="Sangra2detindependienteCar"/>
    <w:rsid w:val="00D65040"/>
    <w:pPr>
      <w:spacing w:after="0" w:line="240" w:lineRule="auto"/>
      <w:ind w:left="567"/>
      <w:jc w:val="both"/>
    </w:pPr>
    <w:rPr>
      <w:rFonts w:ascii="Helvetica" w:eastAsia="Times New Roman" w:hAnsi="Helvetica" w:cs="Times New Roman"/>
      <w:sz w:val="28"/>
      <w:szCs w:val="20"/>
      <w:lang w:val="es-ES_tradnl" w:eastAsia="es-ES"/>
    </w:rPr>
  </w:style>
  <w:style w:type="character" w:customStyle="1" w:styleId="Sangra2detindependienteCar">
    <w:name w:val="Sangría 2 de t. independiente Car"/>
    <w:basedOn w:val="Fuentedeprrafopredeter"/>
    <w:link w:val="Sangra2detindependiente"/>
    <w:rsid w:val="00D65040"/>
    <w:rPr>
      <w:rFonts w:ascii="Helvetica" w:eastAsia="Times New Roman" w:hAnsi="Helvetica"/>
      <w:sz w:val="28"/>
      <w:szCs w:val="20"/>
      <w:lang w:val="es-ES_tradnl"/>
    </w:rPr>
  </w:style>
  <w:style w:type="paragraph" w:styleId="Textoindependiente3">
    <w:name w:val="Body Text 3"/>
    <w:basedOn w:val="Normal"/>
    <w:link w:val="Textoindependiente3Car"/>
    <w:uiPriority w:val="99"/>
    <w:rsid w:val="00D65040"/>
    <w:pPr>
      <w:spacing w:after="0" w:line="240" w:lineRule="auto"/>
      <w:jc w:val="both"/>
    </w:pPr>
    <w:rPr>
      <w:rFonts w:ascii="Times New Roman" w:eastAsia="Times New Roman" w:hAnsi="Times New Roman" w:cs="Times New Roman"/>
      <w:b/>
      <w:sz w:val="24"/>
      <w:szCs w:val="20"/>
      <w:lang w:eastAsia="es-ES"/>
    </w:rPr>
  </w:style>
  <w:style w:type="character" w:customStyle="1" w:styleId="Textoindependiente3Car">
    <w:name w:val="Texto independiente 3 Car"/>
    <w:basedOn w:val="Fuentedeprrafopredeter"/>
    <w:link w:val="Textoindependiente3"/>
    <w:uiPriority w:val="99"/>
    <w:rsid w:val="00D65040"/>
    <w:rPr>
      <w:rFonts w:ascii="Times New Roman" w:eastAsia="Times New Roman" w:hAnsi="Times New Roman"/>
      <w:b/>
      <w:sz w:val="24"/>
      <w:szCs w:val="20"/>
    </w:rPr>
  </w:style>
  <w:style w:type="paragraph" w:styleId="Listaconvietas">
    <w:name w:val="List Bullet"/>
    <w:basedOn w:val="Normal"/>
    <w:autoRedefine/>
    <w:rsid w:val="00D65040"/>
    <w:pPr>
      <w:tabs>
        <w:tab w:val="num" w:pos="360"/>
      </w:tabs>
      <w:spacing w:after="0" w:line="240" w:lineRule="auto"/>
      <w:ind w:left="360" w:hanging="360"/>
    </w:pPr>
    <w:rPr>
      <w:rFonts w:ascii="Times New Roman" w:eastAsia="Times New Roman" w:hAnsi="Times New Roman" w:cs="Times New Roman"/>
      <w:sz w:val="20"/>
      <w:szCs w:val="20"/>
      <w:lang w:eastAsia="es-ES"/>
    </w:rPr>
  </w:style>
  <w:style w:type="paragraph" w:styleId="Textodebloque">
    <w:name w:val="Block Text"/>
    <w:basedOn w:val="Normal"/>
    <w:rsid w:val="00D65040"/>
    <w:pPr>
      <w:spacing w:after="0" w:line="240" w:lineRule="auto"/>
      <w:ind w:left="510" w:right="-31"/>
      <w:jc w:val="both"/>
    </w:pPr>
    <w:rPr>
      <w:rFonts w:ascii="Arial" w:eastAsia="Times New Roman" w:hAnsi="Arial" w:cs="Times New Roman"/>
      <w:sz w:val="24"/>
      <w:szCs w:val="20"/>
      <w:lang w:val="es-ES_tradnl" w:eastAsia="es-ES"/>
    </w:rPr>
  </w:style>
  <w:style w:type="paragraph" w:styleId="Lista">
    <w:name w:val="List"/>
    <w:basedOn w:val="Normal"/>
    <w:rsid w:val="00D65040"/>
    <w:pPr>
      <w:spacing w:after="0" w:line="240" w:lineRule="auto"/>
      <w:ind w:left="360" w:hanging="360"/>
      <w:jc w:val="both"/>
    </w:pPr>
    <w:rPr>
      <w:rFonts w:ascii="Helvetica" w:eastAsia="Times New Roman" w:hAnsi="Helvetica" w:cs="Times New Roman"/>
      <w:sz w:val="28"/>
      <w:szCs w:val="20"/>
      <w:lang w:val="es-ES_tradnl" w:eastAsia="es-ES"/>
    </w:rPr>
  </w:style>
  <w:style w:type="paragraph" w:customStyle="1" w:styleId="helvetica">
    <w:name w:val="helvetica"/>
    <w:basedOn w:val="Normal"/>
    <w:rsid w:val="00D65040"/>
    <w:pPr>
      <w:spacing w:after="0" w:line="240" w:lineRule="auto"/>
      <w:jc w:val="both"/>
    </w:pPr>
    <w:rPr>
      <w:rFonts w:ascii="Times New Roman" w:eastAsia="Times New Roman" w:hAnsi="Times New Roman" w:cs="Times New Roman"/>
      <w:sz w:val="24"/>
      <w:szCs w:val="24"/>
      <w:lang w:val="es-MX" w:eastAsia="es-ES"/>
    </w:rPr>
  </w:style>
  <w:style w:type="paragraph" w:customStyle="1" w:styleId="xl32">
    <w:name w:val="xl32"/>
    <w:basedOn w:val="Normal"/>
    <w:rsid w:val="00D65040"/>
    <w:pPr>
      <w:spacing w:before="100" w:beforeAutospacing="1" w:after="100" w:afterAutospacing="1" w:line="240" w:lineRule="auto"/>
      <w:textAlignment w:val="top"/>
    </w:pPr>
    <w:rPr>
      <w:rFonts w:ascii="Arial" w:eastAsia="Arial Unicode MS" w:hAnsi="Arial" w:cs="Arial"/>
      <w:sz w:val="16"/>
      <w:szCs w:val="16"/>
      <w:lang w:eastAsia="es-ES"/>
    </w:rPr>
  </w:style>
  <w:style w:type="paragraph" w:customStyle="1" w:styleId="xl27">
    <w:name w:val="xl27"/>
    <w:basedOn w:val="Normal"/>
    <w:rsid w:val="00D65040"/>
    <w:pPr>
      <w:spacing w:before="100" w:beforeAutospacing="1" w:after="100" w:afterAutospacing="1" w:line="240" w:lineRule="auto"/>
      <w:textAlignment w:val="center"/>
    </w:pPr>
    <w:rPr>
      <w:rFonts w:ascii="Arial" w:eastAsia="Arial Unicode MS" w:hAnsi="Arial" w:cs="Arial"/>
      <w:sz w:val="24"/>
      <w:szCs w:val="24"/>
      <w:lang w:eastAsia="es-ES"/>
    </w:rPr>
  </w:style>
  <w:style w:type="paragraph" w:customStyle="1" w:styleId="xl26">
    <w:name w:val="xl26"/>
    <w:basedOn w:val="Normal"/>
    <w:rsid w:val="00D65040"/>
    <w:pPr>
      <w:pBdr>
        <w:bottom w:val="single" w:sz="8" w:space="0" w:color="auto"/>
        <w:right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es-ES"/>
    </w:rPr>
  </w:style>
  <w:style w:type="character" w:styleId="Nmerodepgina">
    <w:name w:val="page number"/>
    <w:basedOn w:val="Fuentedeprrafopredeter"/>
    <w:rsid w:val="00D65040"/>
  </w:style>
  <w:style w:type="paragraph" w:customStyle="1" w:styleId="NormaARIAL">
    <w:name w:val="Norma+ARIAL"/>
    <w:basedOn w:val="Textoindependiente2"/>
    <w:rsid w:val="00D65040"/>
    <w:pPr>
      <w:tabs>
        <w:tab w:val="clear" w:pos="360"/>
      </w:tabs>
      <w:spacing w:line="360" w:lineRule="atLeast"/>
    </w:pPr>
    <w:rPr>
      <w:rFonts w:ascii="Arial" w:hAnsi="Arial" w:cs="Arial"/>
      <w:bCs/>
      <w:sz w:val="28"/>
      <w:lang w:val="es-MX"/>
    </w:rPr>
  </w:style>
  <w:style w:type="paragraph" w:customStyle="1" w:styleId="Helveticaa">
    <w:name w:val="Helvetica+a"/>
    <w:basedOn w:val="Textoindependiente"/>
    <w:rsid w:val="00D65040"/>
    <w:pPr>
      <w:keepNext/>
      <w:numPr>
        <w:numId w:val="11"/>
      </w:numPr>
      <w:suppressAutoHyphens w:val="0"/>
      <w:outlineLvl w:val="0"/>
    </w:pPr>
    <w:rPr>
      <w:rFonts w:ascii="Arial" w:hAnsi="Arial" w:cs="Arial"/>
      <w:sz w:val="24"/>
      <w:szCs w:val="24"/>
      <w:lang w:eastAsia="es-ES"/>
    </w:rPr>
  </w:style>
  <w:style w:type="table" w:customStyle="1" w:styleId="Tablaconcuadrcula3">
    <w:name w:val="Tabla con cuadrícula3"/>
    <w:basedOn w:val="Tablanormal"/>
    <w:next w:val="Tablaconcuadrcula"/>
    <w:uiPriority w:val="59"/>
    <w:rsid w:val="00D65040"/>
    <w:pPr>
      <w:jc w:val="both"/>
    </w:pPr>
    <w:rPr>
      <w:rFonts w:ascii="Times New Roman" w:eastAsia="SimSu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ica0">
    <w:name w:val="Helvetica"/>
    <w:basedOn w:val="Normal"/>
    <w:rsid w:val="00D65040"/>
    <w:pPr>
      <w:spacing w:after="0" w:line="240" w:lineRule="auto"/>
      <w:jc w:val="both"/>
    </w:pPr>
    <w:rPr>
      <w:rFonts w:ascii="Times New Roman" w:eastAsia="Times New Roman" w:hAnsi="Times New Roman" w:cs="Times New Roman"/>
      <w:sz w:val="24"/>
      <w:szCs w:val="24"/>
      <w:lang w:eastAsia="es-ES"/>
    </w:rPr>
  </w:style>
  <w:style w:type="paragraph" w:styleId="Puesto">
    <w:name w:val="Title"/>
    <w:basedOn w:val="Normal"/>
    <w:link w:val="PuestoCar"/>
    <w:qFormat/>
    <w:locked/>
    <w:rsid w:val="00D65040"/>
    <w:pPr>
      <w:spacing w:after="0" w:line="240" w:lineRule="auto"/>
      <w:jc w:val="center"/>
    </w:pPr>
    <w:rPr>
      <w:rFonts w:ascii="Arial" w:eastAsia="Times New Roman" w:hAnsi="Arial" w:cs="Arial"/>
      <w:sz w:val="28"/>
      <w:szCs w:val="24"/>
      <w:lang w:eastAsia="es-ES"/>
    </w:rPr>
  </w:style>
  <w:style w:type="character" w:customStyle="1" w:styleId="PuestoCar">
    <w:name w:val="Puesto Car"/>
    <w:basedOn w:val="Fuentedeprrafopredeter"/>
    <w:link w:val="Puesto"/>
    <w:rsid w:val="00D65040"/>
    <w:rPr>
      <w:rFonts w:ascii="Arial" w:eastAsia="Times New Roman" w:hAnsi="Arial" w:cs="Arial"/>
      <w:sz w:val="28"/>
      <w:szCs w:val="24"/>
    </w:rPr>
  </w:style>
  <w:style w:type="paragraph" w:customStyle="1" w:styleId="Contenidodelatabla">
    <w:name w:val="Contenido de la tabla"/>
    <w:basedOn w:val="Normal"/>
    <w:rsid w:val="00D65040"/>
    <w:pPr>
      <w:widowControl w:val="0"/>
      <w:suppressLineNumbers/>
      <w:suppressAutoHyphens/>
      <w:spacing w:after="0" w:line="240" w:lineRule="auto"/>
    </w:pPr>
    <w:rPr>
      <w:rFonts w:ascii="Times New Roman" w:eastAsia="Lucida Sans Unicode" w:hAnsi="Times New Roman" w:cs="Times New Roman"/>
      <w:sz w:val="24"/>
      <w:szCs w:val="24"/>
      <w:lang w:val="es-MX" w:eastAsia="es-ES"/>
    </w:rPr>
  </w:style>
  <w:style w:type="paragraph" w:customStyle="1" w:styleId="xl30">
    <w:name w:val="xl30"/>
    <w:basedOn w:val="Normal"/>
    <w:rsid w:val="00D65040"/>
    <w:pPr>
      <w:spacing w:before="100" w:beforeAutospacing="1" w:after="100" w:afterAutospacing="1" w:line="240" w:lineRule="auto"/>
      <w:jc w:val="center"/>
    </w:pPr>
    <w:rPr>
      <w:rFonts w:ascii="Arial" w:eastAsia="Arial Unicode MS" w:hAnsi="Arial" w:cs="Arial"/>
      <w:sz w:val="24"/>
      <w:szCs w:val="24"/>
      <w:lang w:eastAsia="es-ES"/>
    </w:rPr>
  </w:style>
  <w:style w:type="character" w:styleId="Hipervnculo">
    <w:name w:val="Hyperlink"/>
    <w:basedOn w:val="Fuentedeprrafopredeter"/>
    <w:rsid w:val="00D65040"/>
    <w:rPr>
      <w:color w:val="0000FF"/>
      <w:u w:val="single"/>
    </w:rPr>
  </w:style>
  <w:style w:type="paragraph" w:customStyle="1" w:styleId="NormalJUSTIFICADl">
    <w:name w:val="Normal + JUSTIFICADl"/>
    <w:basedOn w:val="Normal"/>
    <w:rsid w:val="00D65040"/>
    <w:pPr>
      <w:tabs>
        <w:tab w:val="num" w:pos="907"/>
      </w:tabs>
      <w:spacing w:after="0" w:line="240" w:lineRule="auto"/>
      <w:ind w:left="907" w:hanging="453"/>
      <w:jc w:val="both"/>
    </w:pPr>
    <w:rPr>
      <w:rFonts w:ascii="Arial" w:eastAsia="Times New Roman" w:hAnsi="Arial" w:cs="Arial"/>
      <w:sz w:val="24"/>
      <w:szCs w:val="24"/>
      <w:lang w:val="es-MX" w:eastAsia="es-MX"/>
    </w:rPr>
  </w:style>
  <w:style w:type="paragraph" w:customStyle="1" w:styleId="xl28">
    <w:name w:val="xl28"/>
    <w:basedOn w:val="Normal"/>
    <w:rsid w:val="00D65040"/>
    <w:pP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Oficios">
    <w:name w:val="Oficios"/>
    <w:basedOn w:val="Normal"/>
    <w:next w:val="Normal"/>
    <w:rsid w:val="00D65040"/>
    <w:pPr>
      <w:spacing w:after="0" w:line="240" w:lineRule="auto"/>
      <w:jc w:val="both"/>
    </w:pPr>
    <w:rPr>
      <w:rFonts w:ascii="Arial" w:eastAsia="Times New Roman" w:hAnsi="Arial" w:cs="Times New Roman"/>
      <w:sz w:val="24"/>
      <w:szCs w:val="20"/>
      <w:lang w:val="es-ES_tradnl" w:eastAsia="es-ES"/>
    </w:rPr>
  </w:style>
  <w:style w:type="character" w:customStyle="1" w:styleId="TextocomentarioCar1">
    <w:name w:val="Texto comentario Car1"/>
    <w:basedOn w:val="Fuentedeprrafopredeter"/>
    <w:uiPriority w:val="99"/>
    <w:semiHidden/>
    <w:rsid w:val="00D65040"/>
    <w:rPr>
      <w:rFonts w:ascii="Helvetica" w:eastAsia="Times New Roman" w:hAnsi="Helvetica"/>
      <w:lang w:val="es-ES_tradnl" w:eastAsia="es-ES"/>
    </w:rPr>
  </w:style>
  <w:style w:type="paragraph" w:customStyle="1" w:styleId="Fuentedeprrafopredeter1">
    <w:name w:val="Fuente de párrafo predeter.1"/>
    <w:next w:val="Normal"/>
    <w:rsid w:val="00D65040"/>
    <w:rPr>
      <w:rFonts w:ascii="Roman PS" w:eastAsia="Times New Roman" w:hAnsi="Roman PS"/>
      <w:sz w:val="20"/>
      <w:szCs w:val="20"/>
      <w:lang w:val="es-MX"/>
    </w:rPr>
  </w:style>
  <w:style w:type="character" w:customStyle="1" w:styleId="CarCarCarCarCarCarCarCarCarCar">
    <w:name w:val="Car Car Car Car Car Car Car Car Car Car"/>
    <w:basedOn w:val="Fuentedeprrafopredeter"/>
    <w:rsid w:val="00D65040"/>
    <w:rPr>
      <w:rFonts w:ascii="Helvetica" w:hAnsi="Helvetica"/>
      <w:sz w:val="28"/>
      <w:lang w:val="es-ES_tradnl" w:eastAsia="es-ES" w:bidi="ar-SA"/>
    </w:rPr>
  </w:style>
  <w:style w:type="paragraph" w:customStyle="1" w:styleId="Fuentedeprrafopredeter2">
    <w:name w:val="Fuente de párrafo predeter.2"/>
    <w:next w:val="Normal"/>
    <w:rsid w:val="00D65040"/>
    <w:rPr>
      <w:rFonts w:ascii="Roman PS" w:eastAsia="Times New Roman" w:hAnsi="Roman PS"/>
      <w:sz w:val="20"/>
      <w:szCs w:val="20"/>
    </w:rPr>
  </w:style>
  <w:style w:type="paragraph" w:customStyle="1" w:styleId="texto">
    <w:name w:val="texto"/>
    <w:basedOn w:val="Normal"/>
    <w:rsid w:val="00D65040"/>
    <w:pPr>
      <w:spacing w:after="101" w:line="216" w:lineRule="atLeast"/>
      <w:ind w:firstLine="288"/>
      <w:jc w:val="both"/>
    </w:pPr>
    <w:rPr>
      <w:rFonts w:ascii="Arial" w:eastAsia="Times New Roman" w:hAnsi="Arial" w:cs="Arial"/>
      <w:sz w:val="18"/>
      <w:szCs w:val="20"/>
      <w:lang w:val="es-MX" w:eastAsia="es-ES"/>
    </w:rPr>
  </w:style>
  <w:style w:type="paragraph" w:styleId="Textosinformato">
    <w:name w:val="Plain Text"/>
    <w:basedOn w:val="Normal"/>
    <w:link w:val="TextosinformatoCar"/>
    <w:rsid w:val="00D6504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D65040"/>
    <w:rPr>
      <w:rFonts w:ascii="Courier New" w:eastAsia="Times New Roman" w:hAnsi="Courier New" w:cs="Courier New"/>
      <w:sz w:val="20"/>
      <w:szCs w:val="20"/>
    </w:rPr>
  </w:style>
  <w:style w:type="paragraph" w:styleId="Sinespaciado">
    <w:name w:val="No Spacing"/>
    <w:uiPriority w:val="1"/>
    <w:qFormat/>
    <w:rsid w:val="00D65040"/>
    <w:rPr>
      <w:rFonts w:ascii="Times New Roman" w:eastAsia="Times New Roman" w:hAnsi="Times New Roman"/>
      <w:sz w:val="24"/>
      <w:szCs w:val="24"/>
      <w:lang w:val="es-ES_tradnl" w:eastAsia="es-ES_tradnl"/>
    </w:rPr>
  </w:style>
  <w:style w:type="numbering" w:customStyle="1" w:styleId="Sinlista2">
    <w:name w:val="Sin lista2"/>
    <w:next w:val="Sinlista"/>
    <w:uiPriority w:val="99"/>
    <w:semiHidden/>
    <w:unhideWhenUsed/>
    <w:rsid w:val="00D65040"/>
  </w:style>
  <w:style w:type="table" w:customStyle="1" w:styleId="Tablaconcuadrcula4">
    <w:name w:val="Tabla con cuadrícula4"/>
    <w:basedOn w:val="Tablanormal"/>
    <w:next w:val="Tablaconcuadrcula"/>
    <w:uiPriority w:val="59"/>
    <w:rsid w:val="00D65040"/>
    <w:pPr>
      <w:jc w:val="both"/>
    </w:pPr>
    <w:rPr>
      <w:rFonts w:ascii="Times New Roman" w:eastAsia="SimSu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311">
    <w:name w:val="Sombreado medio 2 - Énfasis 311"/>
    <w:basedOn w:val="Tablanormal"/>
    <w:next w:val="Sombreadomedio2-nfasis3"/>
    <w:uiPriority w:val="64"/>
    <w:rsid w:val="00D65040"/>
    <w:rPr>
      <w:lang w:val="es-MX"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3">
    <w:name w:val="Sin lista3"/>
    <w:next w:val="Sinlista"/>
    <w:uiPriority w:val="99"/>
    <w:semiHidden/>
    <w:unhideWhenUsed/>
    <w:rsid w:val="00D65040"/>
  </w:style>
  <w:style w:type="table" w:customStyle="1" w:styleId="Tablaconcuadrcula5">
    <w:name w:val="Tabla con cuadrícula5"/>
    <w:basedOn w:val="Tablanormal"/>
    <w:next w:val="Tablaconcuadrcula"/>
    <w:uiPriority w:val="59"/>
    <w:rsid w:val="00D65040"/>
    <w:pPr>
      <w:jc w:val="both"/>
    </w:pPr>
    <w:rPr>
      <w:rFonts w:ascii="Times New Roman" w:eastAsia="SimSu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65040"/>
    <w:rPr>
      <w:lang w:val="es-MX" w:eastAsia="en-US"/>
    </w:rPr>
  </w:style>
  <w:style w:type="table" w:customStyle="1" w:styleId="Cuadrculavistosa-nfasis31">
    <w:name w:val="Cuadrícula vistosa - Énfasis 31"/>
    <w:basedOn w:val="Tablanormal"/>
    <w:next w:val="Cuadrculavistosa-nfasis3"/>
    <w:uiPriority w:val="73"/>
    <w:rsid w:val="00D65040"/>
    <w:rPr>
      <w:color w:val="000000"/>
      <w:lang w:val="es-MX"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numbering" w:customStyle="1" w:styleId="Sinlista4">
    <w:name w:val="Sin lista4"/>
    <w:next w:val="Sinlista"/>
    <w:uiPriority w:val="99"/>
    <w:semiHidden/>
    <w:unhideWhenUsed/>
    <w:rsid w:val="00D65040"/>
  </w:style>
  <w:style w:type="table" w:customStyle="1" w:styleId="Tablaconcuadrcula6">
    <w:name w:val="Tabla con cuadrícula6"/>
    <w:basedOn w:val="Tablanormal"/>
    <w:next w:val="Tablaconcuadrcula"/>
    <w:uiPriority w:val="59"/>
    <w:rsid w:val="00D65040"/>
    <w:pPr>
      <w:jc w:val="both"/>
    </w:pPr>
    <w:rPr>
      <w:rFonts w:ascii="Times New Roman" w:eastAsia="SimSu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65040"/>
    <w:rPr>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3">
    <w:name w:val="Medium Shading 2 Accent 3"/>
    <w:basedOn w:val="Tablanormal"/>
    <w:uiPriority w:val="64"/>
    <w:unhideWhenUsed/>
    <w:rsid w:val="00D650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
    <w:name w:val="Medium Grid 3"/>
    <w:basedOn w:val="Tablanormal"/>
    <w:uiPriority w:val="69"/>
    <w:unhideWhenUsed/>
    <w:rsid w:val="00D650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vistosa-nfasis3">
    <w:name w:val="Colorful Grid Accent 3"/>
    <w:basedOn w:val="Tablanormal"/>
    <w:uiPriority w:val="73"/>
    <w:unhideWhenUsed/>
    <w:rsid w:val="00D6504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5">
    <w:name w:val="Sin lista5"/>
    <w:next w:val="Sinlista"/>
    <w:uiPriority w:val="99"/>
    <w:semiHidden/>
    <w:unhideWhenUsed/>
    <w:rsid w:val="002878EB"/>
  </w:style>
  <w:style w:type="character" w:customStyle="1" w:styleId="apple-converted-space">
    <w:name w:val="apple-converted-space"/>
    <w:basedOn w:val="Fuentedeprrafopredeter"/>
    <w:rsid w:val="002878EB"/>
  </w:style>
  <w:style w:type="character" w:customStyle="1" w:styleId="PrrafodelistaCar">
    <w:name w:val="Párrafo de lista Car"/>
    <w:basedOn w:val="Fuentedeprrafopredeter"/>
    <w:link w:val="Prrafodelista"/>
    <w:uiPriority w:val="34"/>
    <w:rsid w:val="0091595A"/>
    <w:rPr>
      <w:rFonts w:cs="Calibri"/>
      <w:lang w:eastAsia="en-US"/>
    </w:rPr>
  </w:style>
  <w:style w:type="paragraph" w:customStyle="1" w:styleId="Informe">
    <w:name w:val="Informe"/>
    <w:basedOn w:val="Prrafodelista"/>
    <w:link w:val="InformeCar"/>
    <w:qFormat/>
    <w:rsid w:val="0091595A"/>
    <w:pPr>
      <w:numPr>
        <w:numId w:val="19"/>
      </w:numPr>
      <w:spacing w:after="0" w:line="240" w:lineRule="auto"/>
      <w:contextualSpacing/>
      <w:jc w:val="both"/>
    </w:pPr>
    <w:rPr>
      <w:rFonts w:ascii="Arial" w:eastAsia="Times New Roman" w:hAnsi="Arial" w:cs="Arial"/>
      <w:bCs/>
      <w:sz w:val="24"/>
      <w:szCs w:val="24"/>
      <w:lang w:eastAsia="es-ES"/>
    </w:rPr>
  </w:style>
  <w:style w:type="character" w:customStyle="1" w:styleId="InformeCar">
    <w:name w:val="Informe Car"/>
    <w:link w:val="Informe"/>
    <w:rsid w:val="0091595A"/>
    <w:rPr>
      <w:rFonts w:ascii="Arial" w:eastAsia="Times New Roman" w:hAnsi="Arial" w:cs="Arial"/>
      <w:bCs/>
      <w:sz w:val="24"/>
      <w:szCs w:val="24"/>
    </w:rPr>
  </w:style>
  <w:style w:type="paragraph" w:customStyle="1" w:styleId="INFORME0">
    <w:name w:val="INFORME"/>
    <w:basedOn w:val="Textoindependiente"/>
    <w:link w:val="INFORMECar0"/>
    <w:qFormat/>
    <w:rsid w:val="0091595A"/>
    <w:pPr>
      <w:suppressAutoHyphens w:val="0"/>
      <w:spacing w:after="120"/>
    </w:pPr>
    <w:rPr>
      <w:rFonts w:ascii="Arial" w:hAnsi="Arial" w:cs="Arial"/>
      <w:sz w:val="24"/>
      <w:szCs w:val="24"/>
      <w:lang w:eastAsia="es-ES"/>
    </w:rPr>
  </w:style>
  <w:style w:type="character" w:customStyle="1" w:styleId="INFORMECar0">
    <w:name w:val="INFORME Car"/>
    <w:link w:val="INFORME0"/>
    <w:rsid w:val="0091595A"/>
    <w:rPr>
      <w:rFonts w:ascii="Arial" w:eastAsia="Times New Roman" w:hAnsi="Arial" w:cs="Arial"/>
      <w:sz w:val="24"/>
      <w:szCs w:val="24"/>
    </w:rPr>
  </w:style>
  <w:style w:type="paragraph" w:customStyle="1" w:styleId="NormalArial0">
    <w:name w:val="Normal + Arial"/>
    <w:aliases w:val="Justificado,Negrita,Subrayado"/>
    <w:basedOn w:val="Normal"/>
    <w:rsid w:val="0091595A"/>
    <w:pPr>
      <w:spacing w:after="0" w:line="240" w:lineRule="auto"/>
      <w:jc w:val="both"/>
    </w:pPr>
    <w:rPr>
      <w:rFonts w:ascii="Times New Roman" w:eastAsia="Times New Roman" w:hAnsi="Times New Roman" w:cs="Times New Roman"/>
      <w:sz w:val="20"/>
      <w:szCs w:val="24"/>
      <w:lang w:eastAsia="es-ES"/>
    </w:rPr>
  </w:style>
  <w:style w:type="paragraph" w:customStyle="1" w:styleId="NormalArial">
    <w:name w:val="Normal+Arial"/>
    <w:basedOn w:val="Textoindependiente2"/>
    <w:rsid w:val="0091595A"/>
    <w:pPr>
      <w:numPr>
        <w:numId w:val="20"/>
      </w:numPr>
    </w:pPr>
    <w:rPr>
      <w:rFonts w:ascii="Arial" w:hAnsi="Arial" w:cs="Arial"/>
      <w:bCs/>
      <w:color w:val="333333"/>
      <w:szCs w:val="24"/>
      <w:lang w:val="es-ES"/>
    </w:rPr>
  </w:style>
  <w:style w:type="paragraph" w:styleId="Mapadeldocumento">
    <w:name w:val="Document Map"/>
    <w:basedOn w:val="Normal"/>
    <w:link w:val="MapadeldocumentoCar"/>
    <w:uiPriority w:val="99"/>
    <w:unhideWhenUsed/>
    <w:rsid w:val="0091595A"/>
    <w:pPr>
      <w:spacing w:after="0" w:line="240" w:lineRule="auto"/>
    </w:pPr>
    <w:rPr>
      <w:rFonts w:ascii="Tahoma" w:eastAsia="MS Mincho" w:hAnsi="Tahoma" w:cs="Tahoma"/>
      <w:sz w:val="16"/>
      <w:szCs w:val="16"/>
      <w:lang w:eastAsia="ja-JP"/>
    </w:rPr>
  </w:style>
  <w:style w:type="character" w:customStyle="1" w:styleId="MapadeldocumentoCar">
    <w:name w:val="Mapa del documento Car"/>
    <w:basedOn w:val="Fuentedeprrafopredeter"/>
    <w:link w:val="Mapadeldocumento"/>
    <w:uiPriority w:val="99"/>
    <w:rsid w:val="0091595A"/>
    <w:rPr>
      <w:rFonts w:ascii="Tahoma" w:eastAsia="MS Mincho" w:hAnsi="Tahoma" w:cs="Tahoma"/>
      <w:sz w:val="16"/>
      <w:szCs w:val="16"/>
      <w:lang w:eastAsia="ja-JP"/>
    </w:rPr>
  </w:style>
  <w:style w:type="character" w:styleId="Textoennegrita">
    <w:name w:val="Strong"/>
    <w:qFormat/>
    <w:locked/>
    <w:rsid w:val="0091595A"/>
    <w:rPr>
      <w:b/>
      <w:bCs/>
    </w:rPr>
  </w:style>
  <w:style w:type="paragraph" w:customStyle="1" w:styleId="informe1">
    <w:name w:val="informe"/>
    <w:basedOn w:val="Prrafodelista"/>
    <w:link w:val="informeCar1"/>
    <w:qFormat/>
    <w:rsid w:val="0091595A"/>
    <w:pPr>
      <w:spacing w:after="0" w:line="240" w:lineRule="auto"/>
      <w:ind w:left="0"/>
      <w:contextualSpacing/>
      <w:jc w:val="both"/>
    </w:pPr>
    <w:rPr>
      <w:rFonts w:ascii="Arial" w:eastAsia="Times New Roman" w:hAnsi="Arial" w:cs="Arial"/>
      <w:sz w:val="24"/>
      <w:szCs w:val="24"/>
    </w:rPr>
  </w:style>
  <w:style w:type="character" w:customStyle="1" w:styleId="informeCar1">
    <w:name w:val="informe Car"/>
    <w:basedOn w:val="PrrafodelistaCar"/>
    <w:link w:val="informe1"/>
    <w:rsid w:val="0091595A"/>
    <w:rPr>
      <w:rFonts w:ascii="Arial" w:eastAsia="Times New Roman" w:hAnsi="Arial" w:cs="Arial"/>
      <w:sz w:val="24"/>
      <w:szCs w:val="24"/>
      <w:lang w:eastAsia="en-US"/>
    </w:rPr>
  </w:style>
  <w:style w:type="character" w:customStyle="1" w:styleId="TextoindependienteCar1">
    <w:name w:val="Texto independiente Car1"/>
    <w:basedOn w:val="Fuentedeprrafopredeter"/>
    <w:uiPriority w:val="99"/>
    <w:semiHidden/>
    <w:rsid w:val="000D7465"/>
  </w:style>
  <w:style w:type="paragraph" w:customStyle="1" w:styleId="Body1">
    <w:name w:val="Body 1"/>
    <w:rsid w:val="0037791A"/>
    <w:pPr>
      <w:outlineLvl w:val="0"/>
    </w:pPr>
    <w:rPr>
      <w:rFonts w:ascii="Times New Roman" w:eastAsia="Arial Unicode MS" w:hAnsi="Times New Roman"/>
      <w:color w:val="000000"/>
      <w:sz w:val="24"/>
      <w:szCs w:val="20"/>
      <w:u w:color="000000"/>
      <w:lang w:val="es-MX" w:eastAsia="es-MX"/>
    </w:rPr>
  </w:style>
  <w:style w:type="paragraph" w:styleId="Subttulo">
    <w:name w:val="Subtitle"/>
    <w:basedOn w:val="Normal"/>
    <w:next w:val="Normal"/>
    <w:link w:val="SubttuloCar"/>
    <w:qFormat/>
    <w:locked/>
    <w:rsid w:val="001E096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1E096F"/>
    <w:rPr>
      <w:rFonts w:asciiTheme="minorHAnsi" w:eastAsiaTheme="minorEastAsia" w:hAnsiTheme="minorHAnsi" w:cstheme="minorBidi"/>
      <w:color w:val="5A5A5A" w:themeColor="text1" w:themeTint="A5"/>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566">
      <w:bodyDiv w:val="1"/>
      <w:marLeft w:val="0"/>
      <w:marRight w:val="0"/>
      <w:marTop w:val="0"/>
      <w:marBottom w:val="0"/>
      <w:divBdr>
        <w:top w:val="none" w:sz="0" w:space="0" w:color="auto"/>
        <w:left w:val="none" w:sz="0" w:space="0" w:color="auto"/>
        <w:bottom w:val="none" w:sz="0" w:space="0" w:color="auto"/>
        <w:right w:val="none" w:sz="0" w:space="0" w:color="auto"/>
      </w:divBdr>
    </w:div>
    <w:div w:id="485321225">
      <w:marLeft w:val="0"/>
      <w:marRight w:val="0"/>
      <w:marTop w:val="0"/>
      <w:marBottom w:val="0"/>
      <w:divBdr>
        <w:top w:val="none" w:sz="0" w:space="0" w:color="auto"/>
        <w:left w:val="none" w:sz="0" w:space="0" w:color="auto"/>
        <w:bottom w:val="none" w:sz="0" w:space="0" w:color="auto"/>
        <w:right w:val="none" w:sz="0" w:space="0" w:color="auto"/>
      </w:divBdr>
    </w:div>
    <w:div w:id="485321226">
      <w:marLeft w:val="0"/>
      <w:marRight w:val="0"/>
      <w:marTop w:val="0"/>
      <w:marBottom w:val="0"/>
      <w:divBdr>
        <w:top w:val="none" w:sz="0" w:space="0" w:color="auto"/>
        <w:left w:val="none" w:sz="0" w:space="0" w:color="auto"/>
        <w:bottom w:val="none" w:sz="0" w:space="0" w:color="auto"/>
        <w:right w:val="none" w:sz="0" w:space="0" w:color="auto"/>
      </w:divBdr>
    </w:div>
    <w:div w:id="485321227">
      <w:marLeft w:val="0"/>
      <w:marRight w:val="0"/>
      <w:marTop w:val="0"/>
      <w:marBottom w:val="0"/>
      <w:divBdr>
        <w:top w:val="none" w:sz="0" w:space="0" w:color="auto"/>
        <w:left w:val="none" w:sz="0" w:space="0" w:color="auto"/>
        <w:bottom w:val="none" w:sz="0" w:space="0" w:color="auto"/>
        <w:right w:val="none" w:sz="0" w:space="0" w:color="auto"/>
      </w:divBdr>
    </w:div>
    <w:div w:id="485321228">
      <w:marLeft w:val="0"/>
      <w:marRight w:val="0"/>
      <w:marTop w:val="0"/>
      <w:marBottom w:val="0"/>
      <w:divBdr>
        <w:top w:val="none" w:sz="0" w:space="0" w:color="auto"/>
        <w:left w:val="none" w:sz="0" w:space="0" w:color="auto"/>
        <w:bottom w:val="none" w:sz="0" w:space="0" w:color="auto"/>
        <w:right w:val="none" w:sz="0" w:space="0" w:color="auto"/>
      </w:divBdr>
    </w:div>
    <w:div w:id="485321229">
      <w:marLeft w:val="0"/>
      <w:marRight w:val="0"/>
      <w:marTop w:val="0"/>
      <w:marBottom w:val="0"/>
      <w:divBdr>
        <w:top w:val="none" w:sz="0" w:space="0" w:color="auto"/>
        <w:left w:val="none" w:sz="0" w:space="0" w:color="auto"/>
        <w:bottom w:val="none" w:sz="0" w:space="0" w:color="auto"/>
        <w:right w:val="none" w:sz="0" w:space="0" w:color="auto"/>
      </w:divBdr>
    </w:div>
    <w:div w:id="485321230">
      <w:marLeft w:val="0"/>
      <w:marRight w:val="0"/>
      <w:marTop w:val="0"/>
      <w:marBottom w:val="0"/>
      <w:divBdr>
        <w:top w:val="none" w:sz="0" w:space="0" w:color="auto"/>
        <w:left w:val="none" w:sz="0" w:space="0" w:color="auto"/>
        <w:bottom w:val="none" w:sz="0" w:space="0" w:color="auto"/>
        <w:right w:val="none" w:sz="0" w:space="0" w:color="auto"/>
      </w:divBdr>
    </w:div>
    <w:div w:id="485321231">
      <w:marLeft w:val="0"/>
      <w:marRight w:val="0"/>
      <w:marTop w:val="0"/>
      <w:marBottom w:val="0"/>
      <w:divBdr>
        <w:top w:val="none" w:sz="0" w:space="0" w:color="auto"/>
        <w:left w:val="none" w:sz="0" w:space="0" w:color="auto"/>
        <w:bottom w:val="none" w:sz="0" w:space="0" w:color="auto"/>
        <w:right w:val="none" w:sz="0" w:space="0" w:color="auto"/>
      </w:divBdr>
    </w:div>
    <w:div w:id="485321232">
      <w:marLeft w:val="0"/>
      <w:marRight w:val="0"/>
      <w:marTop w:val="0"/>
      <w:marBottom w:val="0"/>
      <w:divBdr>
        <w:top w:val="none" w:sz="0" w:space="0" w:color="auto"/>
        <w:left w:val="none" w:sz="0" w:space="0" w:color="auto"/>
        <w:bottom w:val="none" w:sz="0" w:space="0" w:color="auto"/>
        <w:right w:val="none" w:sz="0" w:space="0" w:color="auto"/>
      </w:divBdr>
    </w:div>
    <w:div w:id="740757627">
      <w:bodyDiv w:val="1"/>
      <w:marLeft w:val="0"/>
      <w:marRight w:val="0"/>
      <w:marTop w:val="0"/>
      <w:marBottom w:val="0"/>
      <w:divBdr>
        <w:top w:val="none" w:sz="0" w:space="0" w:color="auto"/>
        <w:left w:val="none" w:sz="0" w:space="0" w:color="auto"/>
        <w:bottom w:val="none" w:sz="0" w:space="0" w:color="auto"/>
        <w:right w:val="none" w:sz="0" w:space="0" w:color="auto"/>
      </w:divBdr>
    </w:div>
    <w:div w:id="1652639859">
      <w:bodyDiv w:val="1"/>
      <w:marLeft w:val="0"/>
      <w:marRight w:val="0"/>
      <w:marTop w:val="0"/>
      <w:marBottom w:val="0"/>
      <w:divBdr>
        <w:top w:val="none" w:sz="0" w:space="0" w:color="auto"/>
        <w:left w:val="none" w:sz="0" w:space="0" w:color="auto"/>
        <w:bottom w:val="none" w:sz="0" w:space="0" w:color="auto"/>
        <w:right w:val="none" w:sz="0" w:space="0" w:color="auto"/>
      </w:divBdr>
    </w:div>
    <w:div w:id="1826968161">
      <w:bodyDiv w:val="1"/>
      <w:marLeft w:val="0"/>
      <w:marRight w:val="0"/>
      <w:marTop w:val="0"/>
      <w:marBottom w:val="0"/>
      <w:divBdr>
        <w:top w:val="none" w:sz="0" w:space="0" w:color="auto"/>
        <w:left w:val="none" w:sz="0" w:space="0" w:color="auto"/>
        <w:bottom w:val="none" w:sz="0" w:space="0" w:color="auto"/>
        <w:right w:val="none" w:sz="0" w:space="0" w:color="auto"/>
      </w:divBdr>
    </w:div>
    <w:div w:id="1920214052">
      <w:bodyDiv w:val="1"/>
      <w:marLeft w:val="0"/>
      <w:marRight w:val="0"/>
      <w:marTop w:val="0"/>
      <w:marBottom w:val="0"/>
      <w:divBdr>
        <w:top w:val="none" w:sz="0" w:space="0" w:color="auto"/>
        <w:left w:val="none" w:sz="0" w:space="0" w:color="auto"/>
        <w:bottom w:val="none" w:sz="0" w:space="0" w:color="auto"/>
        <w:right w:val="none" w:sz="0" w:space="0" w:color="auto"/>
      </w:divBdr>
    </w:div>
    <w:div w:id="194314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751EA-F920-415F-A8FA-614CA110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6442</Words>
  <Characters>35434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HONORABLE ASAMBLEA:</vt:lpstr>
    </vt:vector>
  </TitlesOfParts>
  <Company>Hewlett-Packard</Company>
  <LinksUpToDate>false</LinksUpToDate>
  <CharactersWithSpaces>41793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dc:title>
  <dc:creator>abi lozano hernandez</dc:creator>
  <cp:lastModifiedBy>operador_pc</cp:lastModifiedBy>
  <cp:revision>2</cp:revision>
  <cp:lastPrinted>2017-03-07T00:20:00Z</cp:lastPrinted>
  <dcterms:created xsi:type="dcterms:W3CDTF">2017-03-07T00:20:00Z</dcterms:created>
  <dcterms:modified xsi:type="dcterms:W3CDTF">2017-03-07T00:20:00Z</dcterms:modified>
</cp:coreProperties>
</file>