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493A57">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w:t>
      </w:r>
      <w:r w:rsidR="00833E1F" w:rsidRPr="00833E1F">
        <w:rPr>
          <w:rFonts w:ascii="Arial" w:hAnsi="Arial" w:cs="Arial"/>
          <w:sz w:val="24"/>
        </w:rPr>
        <w:t xml:space="preserve">del </w:t>
      </w:r>
      <w:r w:rsidR="00833E1F" w:rsidRPr="00833E1F">
        <w:rPr>
          <w:rFonts w:ascii="Arial" w:hAnsi="Arial" w:cs="Arial"/>
          <w:b/>
          <w:sz w:val="24"/>
        </w:rPr>
        <w:t>Fideico</w:t>
      </w:r>
      <w:r w:rsidR="00B208A1">
        <w:rPr>
          <w:rFonts w:ascii="Arial" w:hAnsi="Arial" w:cs="Arial"/>
          <w:b/>
          <w:sz w:val="24"/>
        </w:rPr>
        <w:t xml:space="preserve">miso Fondo para la Vivienda de </w:t>
      </w:r>
      <w:r w:rsidR="00833E1F" w:rsidRPr="00833E1F">
        <w:rPr>
          <w:rFonts w:ascii="Arial" w:hAnsi="Arial" w:cs="Arial"/>
          <w:b/>
          <w:sz w:val="24"/>
        </w:rPr>
        <w:t>los Trabajadores de la Educación</w:t>
      </w:r>
      <w:r w:rsidRPr="00833E1F">
        <w:rPr>
          <w:rFonts w:ascii="Arial" w:hAnsi="Arial" w:cs="Arial"/>
          <w:b/>
          <w:sz w:val="24"/>
        </w:rPr>
        <w:t xml:space="preserve">, </w:t>
      </w:r>
      <w:r w:rsidRPr="00117EB1">
        <w:rPr>
          <w:rFonts w:ascii="Arial" w:hAnsi="Arial" w:cs="Arial"/>
          <w:sz w:val="24"/>
        </w:rPr>
        <w:t xml:space="preserve">correspondiente a su Ejercicio Fiscal </w:t>
      </w:r>
      <w:r w:rsidR="00493A57">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493A57">
        <w:rPr>
          <w:rFonts w:ascii="Arial" w:hAnsi="Arial" w:cs="Arial"/>
          <w:b/>
          <w:sz w:val="24"/>
        </w:rPr>
        <w:t>10429</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493A57">
        <w:rPr>
          <w:rFonts w:ascii="Arial" w:hAnsi="Arial" w:cs="Arial"/>
          <w:sz w:val="24"/>
          <w:szCs w:val="24"/>
        </w:rPr>
        <w:t>uenta Pública del ejercicio 2015</w:t>
      </w:r>
      <w:r w:rsidRPr="00B67BEE">
        <w:rPr>
          <w:rFonts w:ascii="Arial" w:hAnsi="Arial" w:cs="Arial"/>
          <w:sz w:val="24"/>
          <w:szCs w:val="24"/>
        </w:rPr>
        <w:t xml:space="preserve"> </w:t>
      </w:r>
      <w:r w:rsidR="00B208A1" w:rsidRPr="00833E1F">
        <w:rPr>
          <w:rFonts w:ascii="Arial" w:hAnsi="Arial" w:cs="Arial"/>
          <w:sz w:val="24"/>
        </w:rPr>
        <w:t xml:space="preserve">del </w:t>
      </w:r>
      <w:r w:rsidR="00B208A1" w:rsidRPr="00833E1F">
        <w:rPr>
          <w:rFonts w:ascii="Arial" w:hAnsi="Arial" w:cs="Arial"/>
          <w:b/>
          <w:sz w:val="24"/>
        </w:rPr>
        <w:t>Fideico</w:t>
      </w:r>
      <w:r w:rsidR="00B208A1">
        <w:rPr>
          <w:rFonts w:ascii="Arial" w:hAnsi="Arial" w:cs="Arial"/>
          <w:b/>
          <w:sz w:val="24"/>
        </w:rPr>
        <w:t xml:space="preserve">miso Fondo para la Vivienda de </w:t>
      </w:r>
      <w:r w:rsidR="00B208A1" w:rsidRPr="00833E1F">
        <w:rPr>
          <w:rFonts w:ascii="Arial" w:hAnsi="Arial" w:cs="Arial"/>
          <w:b/>
          <w:sz w:val="24"/>
        </w:rPr>
        <w:t>los Trabajadores de la Educación</w:t>
      </w:r>
      <w:r w:rsidR="00B208A1">
        <w:rPr>
          <w:rFonts w:ascii="Arial" w:hAnsi="Arial" w:cs="Arial"/>
          <w:b/>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493A57">
        <w:rPr>
          <w:rFonts w:ascii="Arial" w:hAnsi="Arial" w:cs="Arial"/>
          <w:sz w:val="24"/>
          <w:szCs w:val="24"/>
        </w:rPr>
        <w:t>uenta Pública del ejercicio 2015</w:t>
      </w:r>
      <w:r w:rsidR="009C0345" w:rsidRPr="00B67BEE">
        <w:rPr>
          <w:rFonts w:ascii="Arial" w:hAnsi="Arial" w:cs="Arial"/>
          <w:sz w:val="24"/>
          <w:szCs w:val="24"/>
        </w:rPr>
        <w:t xml:space="preserve"> </w:t>
      </w:r>
      <w:r w:rsidR="00B208A1" w:rsidRPr="00833E1F">
        <w:rPr>
          <w:rFonts w:ascii="Arial" w:hAnsi="Arial" w:cs="Arial"/>
          <w:sz w:val="24"/>
        </w:rPr>
        <w:t xml:space="preserve">del </w:t>
      </w:r>
      <w:r w:rsidR="00B208A1" w:rsidRPr="00833E1F">
        <w:rPr>
          <w:rFonts w:ascii="Arial" w:hAnsi="Arial" w:cs="Arial"/>
          <w:b/>
          <w:sz w:val="24"/>
        </w:rPr>
        <w:t>Fideico</w:t>
      </w:r>
      <w:r w:rsidR="00B208A1">
        <w:rPr>
          <w:rFonts w:ascii="Arial" w:hAnsi="Arial" w:cs="Arial"/>
          <w:b/>
          <w:sz w:val="24"/>
        </w:rPr>
        <w:t xml:space="preserve">miso Fondo para la Vivienda de </w:t>
      </w:r>
      <w:r w:rsidR="00B208A1" w:rsidRPr="00833E1F">
        <w:rPr>
          <w:rFonts w:ascii="Arial" w:hAnsi="Arial" w:cs="Arial"/>
          <w:b/>
          <w:sz w:val="24"/>
        </w:rPr>
        <w:t xml:space="preserve">los Trabajadores de la Educación, </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B208A1" w:rsidRDefault="00B208A1" w:rsidP="00B208A1">
      <w:pPr>
        <w:tabs>
          <w:tab w:val="left" w:pos="2610"/>
        </w:tabs>
        <w:spacing w:line="360" w:lineRule="auto"/>
        <w:ind w:firstLine="709"/>
        <w:jc w:val="both"/>
        <w:rPr>
          <w:rFonts w:ascii="Arial" w:hAnsi="Arial" w:cs="Arial"/>
          <w:sz w:val="24"/>
        </w:rPr>
      </w:pPr>
    </w:p>
    <w:p w:rsidR="00B208A1" w:rsidRPr="00B208A1" w:rsidRDefault="00B208A1" w:rsidP="00B208A1">
      <w:pPr>
        <w:tabs>
          <w:tab w:val="left" w:pos="2610"/>
        </w:tabs>
        <w:spacing w:line="360" w:lineRule="auto"/>
        <w:ind w:firstLine="709"/>
        <w:jc w:val="both"/>
        <w:rPr>
          <w:rFonts w:ascii="Arial" w:hAnsi="Arial" w:cs="Arial"/>
          <w:sz w:val="24"/>
        </w:rPr>
      </w:pPr>
      <w:r w:rsidRPr="00B208A1">
        <w:rPr>
          <w:rFonts w:ascii="Arial" w:hAnsi="Arial" w:cs="Arial"/>
          <w:sz w:val="24"/>
        </w:rPr>
        <w:t>El Fideicomiso Fondo para la Vivienda de los Trabajadores de la Educación (Fovileon Educación), se constituye el 11 de enero de 1988 mediante el contrato privado F/18902-7 entre el Gobierno del Estado de Nuevo León como Fideicomitente y Bancomer, S.A. ahora BBVA Bancomer, S.A. como Institución Fiduciaria, teniendo como Fideicomisario a los trabajadores de la educación afiliados al Sindicato Nacional de los Trabajadore</w:t>
      </w:r>
      <w:r>
        <w:rPr>
          <w:rFonts w:ascii="Arial" w:hAnsi="Arial" w:cs="Arial"/>
          <w:sz w:val="24"/>
        </w:rPr>
        <w:t>s de la Educación (Sección 50).</w:t>
      </w:r>
    </w:p>
    <w:p w:rsidR="00B208A1" w:rsidRPr="00B208A1" w:rsidRDefault="00B208A1" w:rsidP="00B208A1">
      <w:pPr>
        <w:tabs>
          <w:tab w:val="left" w:pos="2610"/>
        </w:tabs>
        <w:spacing w:line="360" w:lineRule="auto"/>
        <w:ind w:firstLine="709"/>
        <w:jc w:val="both"/>
        <w:rPr>
          <w:rFonts w:ascii="Arial" w:hAnsi="Arial" w:cs="Arial"/>
          <w:sz w:val="24"/>
        </w:rPr>
      </w:pPr>
      <w:r w:rsidRPr="00B208A1">
        <w:rPr>
          <w:rFonts w:ascii="Arial" w:hAnsi="Arial" w:cs="Arial"/>
          <w:sz w:val="24"/>
        </w:rPr>
        <w:t xml:space="preserve">El objeto primordial del Fideicomiso es establecer y operar un sistema de financiamiento que facilite a los trabajadores que sean miembros del </w:t>
      </w:r>
      <w:r w:rsidRPr="00B208A1">
        <w:rPr>
          <w:rFonts w:ascii="Arial" w:hAnsi="Arial" w:cs="Arial"/>
          <w:sz w:val="24"/>
        </w:rPr>
        <w:lastRenderedPageBreak/>
        <w:t>Sindicato Nacional de Trabajadores de la Educación (Sección 50) la construcción, adquisición, remodelación, ampliación y mejoras de la vivienda.</w:t>
      </w:r>
    </w:p>
    <w:p w:rsidR="00322FAE" w:rsidRDefault="00322FAE" w:rsidP="00F072A9">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493A57">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493A57">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493A57">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493A57" w:rsidRPr="00190CC1" w:rsidTr="00493A57">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493A57" w:rsidRPr="00190CC1" w:rsidRDefault="00493A57" w:rsidP="00493A57">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493A57" w:rsidRPr="00190CC1" w:rsidRDefault="00493A57" w:rsidP="00493A57">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493A57" w:rsidRPr="00190CC1" w:rsidTr="00493A57">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493A57" w:rsidRPr="00190CC1" w:rsidRDefault="00493A57" w:rsidP="00493A57">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493A57" w:rsidRPr="00190CC1" w:rsidRDefault="00493A57" w:rsidP="00493A57">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493A57" w:rsidRPr="00C20EA5" w:rsidTr="00493A57">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color w:val="000000" w:themeColor="text1"/>
                <w:sz w:val="16"/>
                <w:szCs w:val="16"/>
              </w:rPr>
              <w:t>Fideicomiso Fondo para la Vivienda de los Trabajadores de la Educación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93A57" w:rsidRPr="00CC5535" w:rsidRDefault="00493A57" w:rsidP="00493A57">
            <w:pPr>
              <w:jc w:val="center"/>
              <w:rPr>
                <w:rFonts w:ascii="Arial" w:hAnsi="Arial" w:cs="Arial"/>
                <w:b/>
                <w:bCs/>
                <w:color w:val="000000" w:themeColor="text1"/>
                <w:sz w:val="14"/>
                <w:szCs w:val="14"/>
                <w:lang w:eastAsia="es-MX"/>
              </w:rPr>
            </w:pPr>
            <w:r w:rsidRPr="00CC5535">
              <w:rPr>
                <w:rFonts w:ascii="Arial" w:hAnsi="Arial" w:cs="Arial"/>
                <w:b/>
                <w:bCs/>
                <w:color w:val="000000" w:themeColor="text1"/>
                <w:sz w:val="14"/>
                <w:szCs w:val="14"/>
                <w:lang w:eastAsia="es-MX"/>
              </w:rPr>
              <w:t>1</w:t>
            </w:r>
          </w:p>
        </w:tc>
      </w:tr>
    </w:tbl>
    <w:p w:rsidR="00B208A1" w:rsidRDefault="00493A57" w:rsidP="00493A57">
      <w:pPr>
        <w:spacing w:before="34" w:line="250" w:lineRule="auto"/>
        <w:ind w:right="49"/>
        <w:jc w:val="center"/>
        <w:rPr>
          <w:rFonts w:ascii="Arial" w:hAnsi="Arial" w:cs="Arial"/>
          <w:bCs/>
          <w:sz w:val="16"/>
        </w:rPr>
      </w:pPr>
      <w:r w:rsidRPr="00840318">
        <w:rPr>
          <w:rFonts w:ascii="Arial" w:eastAsia="Arial" w:hAnsi="Arial" w:cs="Arial"/>
          <w:bCs/>
          <w:smallCaps/>
          <w:sz w:val="16"/>
        </w:rPr>
        <w:lastRenderedPageBreak/>
        <w:t>Cuadro. Auditorías programadas por ente público y tipo de auditoría</w:t>
      </w:r>
    </w:p>
    <w:p w:rsidR="00493A57" w:rsidRPr="00493A57" w:rsidRDefault="00493A57" w:rsidP="00493A57">
      <w:pPr>
        <w:spacing w:before="34" w:line="250" w:lineRule="auto"/>
        <w:ind w:right="49"/>
        <w:jc w:val="center"/>
        <w:rPr>
          <w:rFonts w:ascii="Arial" w:hAnsi="Arial" w:cs="Arial"/>
          <w:bCs/>
          <w:sz w:val="16"/>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493A57">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493A57">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B208A1" w:rsidRPr="0077749F" w:rsidRDefault="00B208A1" w:rsidP="00322FAE">
      <w:pPr>
        <w:spacing w:after="0" w:line="360" w:lineRule="auto"/>
        <w:ind w:firstLine="567"/>
        <w:jc w:val="both"/>
        <w:rPr>
          <w:rFonts w:ascii="Arial" w:eastAsia="Times New Roman" w:hAnsi="Arial" w:cs="Arial"/>
          <w:sz w:val="24"/>
          <w:lang w:eastAsia="es-ES"/>
        </w:rPr>
      </w:pP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lastRenderedPageBreak/>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276558">
        <w:rPr>
          <w:rFonts w:ascii="Arial" w:hAnsi="Arial" w:cs="Arial"/>
          <w:bCs/>
          <w:iCs/>
          <w:sz w:val="24"/>
        </w:rPr>
        <w:t>rograma Anual de Auditorías 2015</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 xml:space="preserve">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w:t>
      </w:r>
      <w:r w:rsidRPr="0077749F">
        <w:rPr>
          <w:rFonts w:ascii="Arial" w:hAnsi="Arial" w:cs="Arial"/>
          <w:bCs/>
          <w:iCs/>
          <w:sz w:val="24"/>
        </w:rPr>
        <w:lastRenderedPageBreak/>
        <w:t>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Default="009A7A82" w:rsidP="009A7A82">
      <w:pPr>
        <w:pStyle w:val="Prrafodelista"/>
        <w:contextualSpacing/>
        <w:rPr>
          <w:rFonts w:ascii="Arial" w:hAnsi="Arial" w:cs="Arial"/>
          <w:b/>
          <w:bCs/>
          <w:sz w:val="24"/>
        </w:rPr>
      </w:pPr>
    </w:p>
    <w:p w:rsidR="00B208A1" w:rsidRPr="00B208A1" w:rsidRDefault="00B208A1" w:rsidP="00B208A1">
      <w:pPr>
        <w:pStyle w:val="Prrafodelista"/>
        <w:spacing w:line="360" w:lineRule="auto"/>
        <w:ind w:left="0"/>
        <w:contextualSpacing/>
        <w:jc w:val="both"/>
        <w:rPr>
          <w:rFonts w:ascii="Arial" w:hAnsi="Arial" w:cs="Arial"/>
          <w:bCs/>
          <w:sz w:val="24"/>
        </w:rPr>
      </w:pPr>
      <w:r>
        <w:rPr>
          <w:rFonts w:ascii="Arial" w:hAnsi="Arial" w:cs="Arial"/>
          <w:bCs/>
          <w:sz w:val="24"/>
        </w:rPr>
        <w:tab/>
      </w:r>
      <w:r w:rsidRPr="00B208A1">
        <w:rPr>
          <w:rFonts w:ascii="Arial" w:hAnsi="Arial" w:cs="Arial"/>
          <w:bCs/>
          <w:sz w:val="24"/>
        </w:rPr>
        <w:t>Para tal efecto se consideraron los Estados Financieros adjuntos, y su presupuesto por el período del 1 de enero al 31 d</w:t>
      </w:r>
      <w:r w:rsidR="00493A57">
        <w:rPr>
          <w:rFonts w:ascii="Arial" w:hAnsi="Arial" w:cs="Arial"/>
          <w:bCs/>
          <w:sz w:val="24"/>
        </w:rPr>
        <w:t>e diciembre de 2015</w:t>
      </w:r>
      <w:r w:rsidRPr="00B208A1">
        <w:rPr>
          <w:rFonts w:ascii="Arial" w:hAnsi="Arial" w:cs="Arial"/>
          <w:bCs/>
          <w:sz w:val="24"/>
        </w:rPr>
        <w:t xml:space="preserve">, que el </w:t>
      </w:r>
      <w:r w:rsidRPr="00B208A1">
        <w:rPr>
          <w:rFonts w:ascii="Arial" w:hAnsi="Arial" w:cs="Arial"/>
          <w:bCs/>
          <w:sz w:val="24"/>
        </w:rPr>
        <w:lastRenderedPageBreak/>
        <w:t>Fideicomiso Fondo para la Vivienda de los Trabajadores de la Educación presentó como parte de la información que integra la Cuenta Pública.</w:t>
      </w:r>
    </w:p>
    <w:p w:rsidR="00B208A1" w:rsidRPr="00B208A1" w:rsidRDefault="00B208A1" w:rsidP="00B208A1">
      <w:pPr>
        <w:pStyle w:val="Prrafodelista"/>
        <w:spacing w:line="360" w:lineRule="auto"/>
        <w:contextualSpacing/>
        <w:jc w:val="both"/>
        <w:rPr>
          <w:rFonts w:ascii="Arial" w:hAnsi="Arial" w:cs="Arial"/>
          <w:bCs/>
          <w:sz w:val="24"/>
        </w:rPr>
      </w:pPr>
    </w:p>
    <w:p w:rsidR="00B208A1" w:rsidRPr="00B208A1" w:rsidRDefault="00B208A1" w:rsidP="00B208A1">
      <w:pPr>
        <w:pStyle w:val="Prrafodelista"/>
        <w:spacing w:line="360" w:lineRule="auto"/>
        <w:ind w:left="0"/>
        <w:contextualSpacing/>
        <w:jc w:val="both"/>
        <w:rPr>
          <w:rFonts w:ascii="Arial" w:hAnsi="Arial" w:cs="Arial"/>
          <w:bCs/>
          <w:sz w:val="24"/>
        </w:rPr>
      </w:pPr>
      <w:r>
        <w:rPr>
          <w:rFonts w:ascii="Arial" w:hAnsi="Arial" w:cs="Arial"/>
          <w:bCs/>
          <w:sz w:val="24"/>
        </w:rPr>
        <w:tab/>
      </w:r>
      <w:r w:rsidRPr="00B208A1">
        <w:rPr>
          <w:rFonts w:ascii="Arial" w:hAnsi="Arial" w:cs="Arial"/>
          <w:bCs/>
          <w:sz w:val="24"/>
        </w:rPr>
        <w:t>Para el desarrollo de la revisión de la i</w:t>
      </w:r>
      <w:r w:rsidR="00274D57">
        <w:rPr>
          <w:rFonts w:ascii="Arial" w:hAnsi="Arial" w:cs="Arial"/>
          <w:bCs/>
          <w:sz w:val="24"/>
        </w:rPr>
        <w:t>nformación antes mencionada, l</w:t>
      </w:r>
      <w:r w:rsidRPr="00B208A1">
        <w:rPr>
          <w:rFonts w:ascii="Arial" w:hAnsi="Arial" w:cs="Arial"/>
          <w:bCs/>
          <w:sz w:val="24"/>
        </w:rPr>
        <w:t>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B208A1" w:rsidRPr="00B208A1" w:rsidRDefault="00B208A1" w:rsidP="00B208A1">
      <w:pPr>
        <w:pStyle w:val="Prrafodelista"/>
        <w:spacing w:line="360" w:lineRule="auto"/>
        <w:contextualSpacing/>
        <w:jc w:val="both"/>
        <w:rPr>
          <w:rFonts w:ascii="Arial" w:hAnsi="Arial" w:cs="Arial"/>
          <w:bCs/>
          <w:sz w:val="24"/>
        </w:rPr>
      </w:pPr>
    </w:p>
    <w:p w:rsidR="00B208A1" w:rsidRDefault="00B208A1" w:rsidP="00B208A1">
      <w:pPr>
        <w:pStyle w:val="Prrafodelista"/>
        <w:spacing w:line="360" w:lineRule="auto"/>
        <w:ind w:left="0"/>
        <w:contextualSpacing/>
        <w:jc w:val="both"/>
        <w:rPr>
          <w:rFonts w:ascii="Arial" w:hAnsi="Arial" w:cs="Arial"/>
          <w:bCs/>
          <w:sz w:val="24"/>
        </w:rPr>
      </w:pPr>
      <w:r>
        <w:rPr>
          <w:rFonts w:ascii="Arial" w:hAnsi="Arial" w:cs="Arial"/>
          <w:bCs/>
          <w:sz w:val="24"/>
        </w:rPr>
        <w:tab/>
      </w:r>
      <w:r w:rsidRPr="00B208A1">
        <w:rPr>
          <w:rFonts w:ascii="Arial" w:hAnsi="Arial" w:cs="Arial"/>
          <w:bCs/>
          <w:sz w:val="24"/>
        </w:rPr>
        <w:t>Los Estados Financieros presentados en pesos del Fideicomiso Fondo para la Vivienda de los Trabajadores de la Educ</w:t>
      </w:r>
      <w:r w:rsidR="00493A57">
        <w:rPr>
          <w:rFonts w:ascii="Arial" w:hAnsi="Arial" w:cs="Arial"/>
          <w:bCs/>
          <w:sz w:val="24"/>
        </w:rPr>
        <w:t>ación al 31 de diciembre de 2015</w:t>
      </w:r>
      <w:r w:rsidRPr="00B208A1">
        <w:rPr>
          <w:rFonts w:ascii="Arial" w:hAnsi="Arial" w:cs="Arial"/>
          <w:bCs/>
          <w:sz w:val="24"/>
        </w:rPr>
        <w:t>, que se mencionan en la Cuenta Pública, son los que se muestran a continuación:</w:t>
      </w:r>
    </w:p>
    <w:p w:rsidR="00B208A1" w:rsidRDefault="00B208A1"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r>
        <w:rPr>
          <w:rFonts w:ascii="Arial" w:hAnsi="Arial" w:cs="Arial"/>
          <w:bCs/>
          <w:noProof/>
          <w:sz w:val="24"/>
          <w:lang w:val="es-MX" w:eastAsia="es-MX"/>
        </w:rPr>
        <w:lastRenderedPageBreak/>
        <w:drawing>
          <wp:inline distT="0" distB="0" distL="0" distR="0">
            <wp:extent cx="5248910" cy="3788410"/>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10" cy="3788410"/>
                    </a:xfrm>
                    <a:prstGeom prst="rect">
                      <a:avLst/>
                    </a:prstGeom>
                    <a:noFill/>
                    <a:ln>
                      <a:noFill/>
                    </a:ln>
                  </pic:spPr>
                </pic:pic>
              </a:graphicData>
            </a:graphic>
          </wp:inline>
        </w:drawing>
      </w:r>
    </w:p>
    <w:p w:rsidR="00493A57" w:rsidRPr="005054A0" w:rsidRDefault="00493A57" w:rsidP="00493A57">
      <w:pPr>
        <w:rPr>
          <w:color w:val="000000"/>
          <w:sz w:val="20"/>
          <w:lang w:val="es-MX" w:eastAsia="es-MX"/>
        </w:rPr>
      </w:pPr>
      <w:r>
        <w:rPr>
          <w:rFonts w:ascii="Arial" w:hAnsi="Arial" w:cs="Arial"/>
          <w:sz w:val="20"/>
        </w:rPr>
        <w:t>[</w:t>
      </w:r>
      <w:r w:rsidRPr="005054A0">
        <w:rPr>
          <w:rFonts w:ascii="Arial" w:hAnsi="Arial" w:cs="Arial"/>
          <w:sz w:val="20"/>
        </w:rPr>
        <w:t>Sic 1</w:t>
      </w:r>
      <w:r>
        <w:rPr>
          <w:rFonts w:ascii="Arial" w:hAnsi="Arial" w:cs="Arial"/>
          <w:sz w:val="20"/>
        </w:rPr>
        <w:t>]</w:t>
      </w:r>
      <w:r w:rsidRPr="005054A0">
        <w:rPr>
          <w:rFonts w:ascii="Arial" w:hAnsi="Arial" w:cs="Arial"/>
          <w:sz w:val="20"/>
        </w:rPr>
        <w:t xml:space="preserve">. El monto del Total de activos no circulantes 2014 debe ser  </w:t>
      </w:r>
      <w:r w:rsidRPr="009373E5">
        <w:rPr>
          <w:rFonts w:ascii="Arial" w:hAnsi="Arial" w:cs="Arial"/>
          <w:sz w:val="20"/>
        </w:rPr>
        <w:t>$</w:t>
      </w:r>
      <w:r w:rsidRPr="009373E5">
        <w:rPr>
          <w:rFonts w:ascii="Arial" w:hAnsi="Arial" w:cs="Arial"/>
          <w:color w:val="000000"/>
          <w:sz w:val="20"/>
          <w:lang w:val="es-MX" w:eastAsia="es-MX"/>
        </w:rPr>
        <w:t>157,992,376.</w:t>
      </w:r>
    </w:p>
    <w:p w:rsidR="00493A57" w:rsidRDefault="00493A57" w:rsidP="00B208A1">
      <w:pPr>
        <w:pStyle w:val="Prrafodelista"/>
        <w:spacing w:line="360" w:lineRule="auto"/>
        <w:ind w:left="0"/>
        <w:contextualSpacing/>
        <w:jc w:val="both"/>
        <w:rPr>
          <w:rFonts w:ascii="Arial" w:hAnsi="Arial" w:cs="Arial"/>
          <w:bCs/>
          <w:sz w:val="24"/>
          <w:lang w:val="es-MX"/>
        </w:rPr>
      </w:pPr>
      <w:r>
        <w:rPr>
          <w:rFonts w:ascii="Arial" w:hAnsi="Arial" w:cs="Arial"/>
          <w:bCs/>
          <w:noProof/>
          <w:sz w:val="24"/>
          <w:lang w:val="es-MX" w:eastAsia="es-MX"/>
        </w:rPr>
        <w:lastRenderedPageBreak/>
        <w:drawing>
          <wp:inline distT="0" distB="0" distL="0" distR="0">
            <wp:extent cx="5248910" cy="337248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910" cy="3372485"/>
                    </a:xfrm>
                    <a:prstGeom prst="rect">
                      <a:avLst/>
                    </a:prstGeom>
                    <a:noFill/>
                    <a:ln>
                      <a:noFill/>
                    </a:ln>
                  </pic:spPr>
                </pic:pic>
              </a:graphicData>
            </a:graphic>
          </wp:inline>
        </w:drawing>
      </w:r>
    </w:p>
    <w:p w:rsidR="00F90318" w:rsidRDefault="00F90318" w:rsidP="00B208A1">
      <w:pPr>
        <w:pStyle w:val="Prrafodelista"/>
        <w:spacing w:line="360" w:lineRule="auto"/>
        <w:ind w:left="0"/>
        <w:contextualSpacing/>
        <w:jc w:val="both"/>
        <w:rPr>
          <w:rFonts w:ascii="Arial" w:hAnsi="Arial" w:cs="Arial"/>
          <w:bCs/>
          <w:sz w:val="24"/>
          <w:lang w:val="es-MX"/>
        </w:rPr>
      </w:pPr>
    </w:p>
    <w:p w:rsidR="00F90318" w:rsidRPr="006117CF" w:rsidRDefault="00F90318" w:rsidP="00F90318">
      <w:pPr>
        <w:rPr>
          <w:rFonts w:ascii="Arial" w:hAnsi="Arial" w:cs="Arial"/>
          <w:sz w:val="24"/>
          <w:szCs w:val="24"/>
          <w:highlight w:val="yellow"/>
        </w:rPr>
      </w:pPr>
      <w:r w:rsidRPr="009D46F0">
        <w:rPr>
          <w:rFonts w:ascii="Arial" w:hAnsi="Arial" w:cs="Arial"/>
          <w:sz w:val="24"/>
          <w:szCs w:val="24"/>
        </w:rPr>
        <w:t>Los datos sobresalientes de los Estados Financieros al 31 de diciembre de 2015, son los que se indican a continuación y están presentados en pesos:</w:t>
      </w:r>
    </w:p>
    <w:tbl>
      <w:tblPr>
        <w:tblW w:w="0" w:type="auto"/>
        <w:jc w:val="center"/>
        <w:tblCellMar>
          <w:left w:w="70" w:type="dxa"/>
          <w:right w:w="70" w:type="dxa"/>
        </w:tblCellMar>
        <w:tblLook w:val="0000" w:firstRow="0" w:lastRow="0" w:firstColumn="0" w:lastColumn="0" w:noHBand="0" w:noVBand="0"/>
      </w:tblPr>
      <w:tblGrid>
        <w:gridCol w:w="3109"/>
        <w:gridCol w:w="252"/>
        <w:gridCol w:w="1286"/>
      </w:tblGrid>
      <w:tr w:rsidR="00F90318" w:rsidRPr="006117CF" w:rsidTr="00DF523D">
        <w:trPr>
          <w:cantSplit/>
          <w:jc w:val="center"/>
        </w:trPr>
        <w:tc>
          <w:tcPr>
            <w:tcW w:w="3109" w:type="dxa"/>
          </w:tcPr>
          <w:p w:rsidR="00F90318" w:rsidRPr="009D46F0" w:rsidRDefault="00F90318" w:rsidP="00DF523D">
            <w:pPr>
              <w:tabs>
                <w:tab w:val="left" w:pos="2610"/>
              </w:tabs>
              <w:jc w:val="center"/>
              <w:rPr>
                <w:rFonts w:ascii="Arial" w:hAnsi="Arial" w:cs="Arial"/>
                <w:sz w:val="20"/>
                <w:u w:val="single"/>
              </w:rPr>
            </w:pPr>
            <w:r w:rsidRPr="009D46F0">
              <w:rPr>
                <w:rFonts w:ascii="Arial" w:hAnsi="Arial" w:cs="Arial"/>
                <w:sz w:val="20"/>
                <w:u w:val="single"/>
              </w:rPr>
              <w:t>Concepto</w:t>
            </w:r>
          </w:p>
        </w:tc>
        <w:tc>
          <w:tcPr>
            <w:tcW w:w="0" w:type="auto"/>
          </w:tcPr>
          <w:p w:rsidR="00F90318" w:rsidRPr="009D46F0" w:rsidRDefault="00F90318" w:rsidP="00DF523D">
            <w:pPr>
              <w:tabs>
                <w:tab w:val="left" w:pos="2610"/>
              </w:tabs>
              <w:jc w:val="center"/>
              <w:rPr>
                <w:rFonts w:ascii="Arial" w:hAnsi="Arial" w:cs="Arial"/>
                <w:sz w:val="20"/>
                <w:u w:val="single"/>
              </w:rPr>
            </w:pPr>
          </w:p>
        </w:tc>
        <w:tc>
          <w:tcPr>
            <w:tcW w:w="1286" w:type="dxa"/>
          </w:tcPr>
          <w:p w:rsidR="00F90318" w:rsidRPr="009D46F0" w:rsidRDefault="00F90318" w:rsidP="00DF523D">
            <w:pPr>
              <w:tabs>
                <w:tab w:val="left" w:pos="2610"/>
              </w:tabs>
              <w:jc w:val="center"/>
              <w:rPr>
                <w:rFonts w:ascii="Arial" w:hAnsi="Arial" w:cs="Arial"/>
                <w:sz w:val="20"/>
                <w:u w:val="single"/>
              </w:rPr>
            </w:pPr>
            <w:r w:rsidRPr="009D46F0">
              <w:rPr>
                <w:rFonts w:ascii="Arial" w:hAnsi="Arial" w:cs="Arial"/>
                <w:sz w:val="20"/>
                <w:u w:val="single"/>
              </w:rPr>
              <w:t>Importe</w:t>
            </w:r>
          </w:p>
        </w:tc>
      </w:tr>
      <w:tr w:rsidR="00F90318" w:rsidRPr="006117CF" w:rsidTr="00DF523D">
        <w:trPr>
          <w:cantSplit/>
          <w:jc w:val="center"/>
        </w:trPr>
        <w:tc>
          <w:tcPr>
            <w:tcW w:w="3109" w:type="dxa"/>
          </w:tcPr>
          <w:p w:rsidR="00F90318" w:rsidRPr="006117CF" w:rsidRDefault="00F90318" w:rsidP="00DF523D">
            <w:pPr>
              <w:tabs>
                <w:tab w:val="left" w:pos="2610"/>
              </w:tabs>
              <w:rPr>
                <w:rFonts w:ascii="Arial" w:hAnsi="Arial" w:cs="Arial"/>
                <w:sz w:val="10"/>
                <w:szCs w:val="10"/>
                <w:highlight w:val="yellow"/>
              </w:rPr>
            </w:pPr>
          </w:p>
        </w:tc>
        <w:tc>
          <w:tcPr>
            <w:tcW w:w="0" w:type="auto"/>
          </w:tcPr>
          <w:p w:rsidR="00F90318" w:rsidRPr="006117CF" w:rsidRDefault="00F90318" w:rsidP="00DF523D">
            <w:pPr>
              <w:tabs>
                <w:tab w:val="left" w:pos="2610"/>
              </w:tabs>
              <w:jc w:val="right"/>
              <w:rPr>
                <w:rFonts w:ascii="Arial" w:hAnsi="Arial" w:cs="Arial"/>
                <w:sz w:val="10"/>
                <w:szCs w:val="10"/>
                <w:highlight w:val="yellow"/>
              </w:rPr>
            </w:pPr>
          </w:p>
        </w:tc>
        <w:tc>
          <w:tcPr>
            <w:tcW w:w="1286" w:type="dxa"/>
          </w:tcPr>
          <w:p w:rsidR="00F90318" w:rsidRPr="006117CF" w:rsidRDefault="00F90318" w:rsidP="00DF523D">
            <w:pPr>
              <w:tabs>
                <w:tab w:val="left" w:pos="2610"/>
              </w:tabs>
              <w:jc w:val="right"/>
              <w:rPr>
                <w:rFonts w:ascii="Arial" w:hAnsi="Arial" w:cs="Arial"/>
                <w:sz w:val="10"/>
                <w:szCs w:val="10"/>
                <w:highlight w:val="yellow"/>
              </w:rPr>
            </w:pPr>
          </w:p>
        </w:tc>
      </w:tr>
      <w:tr w:rsidR="00F90318" w:rsidRPr="009D46F0" w:rsidTr="00DF523D">
        <w:trPr>
          <w:cantSplit/>
          <w:jc w:val="center"/>
        </w:trPr>
        <w:tc>
          <w:tcPr>
            <w:tcW w:w="3109" w:type="dxa"/>
          </w:tcPr>
          <w:p w:rsidR="00F90318" w:rsidRPr="009D46F0" w:rsidRDefault="00F90318" w:rsidP="00DF523D">
            <w:pPr>
              <w:tabs>
                <w:tab w:val="left" w:pos="2610"/>
              </w:tabs>
              <w:rPr>
                <w:rFonts w:ascii="Arial" w:hAnsi="Arial" w:cs="Arial"/>
                <w:sz w:val="20"/>
              </w:rPr>
            </w:pPr>
            <w:r w:rsidRPr="009D46F0">
              <w:rPr>
                <w:rFonts w:ascii="Arial" w:hAnsi="Arial" w:cs="Arial"/>
                <w:sz w:val="20"/>
              </w:rPr>
              <w:t>a) Activo</w:t>
            </w:r>
          </w:p>
        </w:tc>
        <w:tc>
          <w:tcPr>
            <w:tcW w:w="0" w:type="auto"/>
          </w:tcPr>
          <w:p w:rsidR="00F90318" w:rsidRPr="009D46F0" w:rsidRDefault="00F90318" w:rsidP="00DF523D">
            <w:pPr>
              <w:tabs>
                <w:tab w:val="left" w:pos="2610"/>
              </w:tabs>
              <w:jc w:val="center"/>
              <w:rPr>
                <w:rFonts w:ascii="Arial" w:hAnsi="Arial" w:cs="Arial"/>
                <w:sz w:val="20"/>
              </w:rPr>
            </w:pPr>
            <w:r w:rsidRPr="009D46F0">
              <w:rPr>
                <w:rFonts w:ascii="Arial" w:hAnsi="Arial" w:cs="Arial"/>
                <w:sz w:val="20"/>
              </w:rPr>
              <w:t>$</w:t>
            </w:r>
          </w:p>
        </w:tc>
        <w:tc>
          <w:tcPr>
            <w:tcW w:w="1286" w:type="dxa"/>
          </w:tcPr>
          <w:p w:rsidR="00F90318" w:rsidRPr="009D46F0" w:rsidRDefault="00F90318" w:rsidP="00DF523D">
            <w:pPr>
              <w:tabs>
                <w:tab w:val="left" w:pos="-618"/>
              </w:tabs>
              <w:ind w:left="-618" w:firstLine="540"/>
              <w:jc w:val="right"/>
              <w:rPr>
                <w:rFonts w:ascii="Arial" w:hAnsi="Arial" w:cs="Arial"/>
                <w:sz w:val="20"/>
              </w:rPr>
            </w:pPr>
            <w:r w:rsidRPr="009D46F0">
              <w:rPr>
                <w:rFonts w:ascii="Arial" w:hAnsi="Arial" w:cs="Arial"/>
                <w:sz w:val="20"/>
              </w:rPr>
              <w:t>535,639,438</w:t>
            </w:r>
          </w:p>
        </w:tc>
      </w:tr>
      <w:tr w:rsidR="00F90318" w:rsidRPr="009D46F0" w:rsidTr="00DF523D">
        <w:trPr>
          <w:cantSplit/>
          <w:jc w:val="center"/>
        </w:trPr>
        <w:tc>
          <w:tcPr>
            <w:tcW w:w="3109" w:type="dxa"/>
          </w:tcPr>
          <w:p w:rsidR="00F90318" w:rsidRPr="009D46F0" w:rsidRDefault="00F90318" w:rsidP="00DF523D">
            <w:pPr>
              <w:tabs>
                <w:tab w:val="left" w:pos="2610"/>
              </w:tabs>
              <w:rPr>
                <w:rFonts w:ascii="Arial" w:hAnsi="Arial" w:cs="Arial"/>
                <w:sz w:val="20"/>
              </w:rPr>
            </w:pPr>
            <w:r w:rsidRPr="009D46F0">
              <w:rPr>
                <w:rFonts w:ascii="Arial" w:hAnsi="Arial" w:cs="Arial"/>
                <w:sz w:val="20"/>
              </w:rPr>
              <w:t>b) Pasivo</w:t>
            </w:r>
          </w:p>
        </w:tc>
        <w:tc>
          <w:tcPr>
            <w:tcW w:w="0" w:type="auto"/>
          </w:tcPr>
          <w:p w:rsidR="00F90318" w:rsidRPr="006117CF" w:rsidRDefault="00F90318" w:rsidP="00DF523D">
            <w:pPr>
              <w:tabs>
                <w:tab w:val="left" w:pos="2610"/>
              </w:tabs>
              <w:rPr>
                <w:rFonts w:ascii="Arial" w:hAnsi="Arial" w:cs="Arial"/>
                <w:sz w:val="20"/>
                <w:highlight w:val="yellow"/>
              </w:rPr>
            </w:pPr>
          </w:p>
        </w:tc>
        <w:tc>
          <w:tcPr>
            <w:tcW w:w="1286" w:type="dxa"/>
          </w:tcPr>
          <w:p w:rsidR="00F90318" w:rsidRPr="009D46F0" w:rsidRDefault="00F90318" w:rsidP="00DF523D">
            <w:pPr>
              <w:tabs>
                <w:tab w:val="left" w:pos="-618"/>
              </w:tabs>
              <w:ind w:left="-618" w:firstLine="540"/>
              <w:jc w:val="right"/>
              <w:rPr>
                <w:rFonts w:ascii="Arial" w:hAnsi="Arial" w:cs="Arial"/>
                <w:sz w:val="20"/>
              </w:rPr>
            </w:pPr>
            <w:r w:rsidRPr="009D46F0">
              <w:rPr>
                <w:rFonts w:ascii="Arial" w:hAnsi="Arial" w:cs="Arial"/>
                <w:sz w:val="20"/>
              </w:rPr>
              <w:t>5,143,205</w:t>
            </w:r>
          </w:p>
        </w:tc>
      </w:tr>
      <w:tr w:rsidR="00F90318" w:rsidRPr="006117CF" w:rsidTr="00DF523D">
        <w:trPr>
          <w:cantSplit/>
          <w:jc w:val="center"/>
        </w:trPr>
        <w:tc>
          <w:tcPr>
            <w:tcW w:w="3109" w:type="dxa"/>
          </w:tcPr>
          <w:p w:rsidR="00F90318" w:rsidRPr="009D46F0" w:rsidRDefault="00F90318" w:rsidP="00DF523D">
            <w:pPr>
              <w:tabs>
                <w:tab w:val="left" w:pos="2610"/>
              </w:tabs>
              <w:rPr>
                <w:rFonts w:ascii="Arial" w:hAnsi="Arial" w:cs="Arial"/>
                <w:sz w:val="20"/>
              </w:rPr>
            </w:pPr>
            <w:r w:rsidRPr="009D46F0">
              <w:rPr>
                <w:rFonts w:ascii="Arial" w:hAnsi="Arial" w:cs="Arial"/>
                <w:sz w:val="20"/>
              </w:rPr>
              <w:t>c) Hacienda pública / patrimonio</w:t>
            </w:r>
          </w:p>
        </w:tc>
        <w:tc>
          <w:tcPr>
            <w:tcW w:w="0" w:type="auto"/>
          </w:tcPr>
          <w:p w:rsidR="00F90318" w:rsidRPr="006117CF" w:rsidRDefault="00F90318" w:rsidP="00DF523D">
            <w:pPr>
              <w:tabs>
                <w:tab w:val="left" w:pos="2610"/>
              </w:tabs>
              <w:rPr>
                <w:rFonts w:ascii="Arial" w:hAnsi="Arial" w:cs="Arial"/>
                <w:sz w:val="20"/>
                <w:highlight w:val="yellow"/>
              </w:rPr>
            </w:pPr>
          </w:p>
        </w:tc>
        <w:tc>
          <w:tcPr>
            <w:tcW w:w="1286" w:type="dxa"/>
          </w:tcPr>
          <w:p w:rsidR="00F90318" w:rsidRPr="006117CF" w:rsidRDefault="00F90318" w:rsidP="00DF523D">
            <w:pPr>
              <w:tabs>
                <w:tab w:val="left" w:pos="-618"/>
              </w:tabs>
              <w:ind w:left="-618" w:firstLine="540"/>
              <w:jc w:val="right"/>
              <w:rPr>
                <w:rFonts w:ascii="Arial" w:hAnsi="Arial" w:cs="Arial"/>
                <w:sz w:val="20"/>
                <w:highlight w:val="yellow"/>
              </w:rPr>
            </w:pPr>
            <w:r w:rsidRPr="00D57CDF">
              <w:rPr>
                <w:rFonts w:ascii="Arial" w:hAnsi="Arial" w:cs="Arial"/>
                <w:sz w:val="20"/>
              </w:rPr>
              <w:t>530,496,233</w:t>
            </w:r>
          </w:p>
        </w:tc>
      </w:tr>
      <w:tr w:rsidR="00F90318" w:rsidRPr="006117CF" w:rsidTr="00DF523D">
        <w:trPr>
          <w:cantSplit/>
          <w:jc w:val="center"/>
        </w:trPr>
        <w:tc>
          <w:tcPr>
            <w:tcW w:w="3109" w:type="dxa"/>
          </w:tcPr>
          <w:p w:rsidR="00F90318" w:rsidRPr="009D46F0" w:rsidRDefault="00F90318" w:rsidP="00DF523D">
            <w:pPr>
              <w:tabs>
                <w:tab w:val="left" w:pos="2610"/>
              </w:tabs>
              <w:rPr>
                <w:rFonts w:ascii="Arial" w:hAnsi="Arial" w:cs="Arial"/>
                <w:sz w:val="20"/>
              </w:rPr>
            </w:pPr>
            <w:r w:rsidRPr="009D46F0">
              <w:rPr>
                <w:rFonts w:ascii="Arial" w:hAnsi="Arial" w:cs="Arial"/>
                <w:sz w:val="20"/>
              </w:rPr>
              <w:t>d) Ingresos y otros beneficios</w:t>
            </w:r>
          </w:p>
        </w:tc>
        <w:tc>
          <w:tcPr>
            <w:tcW w:w="0" w:type="auto"/>
          </w:tcPr>
          <w:p w:rsidR="00F90318" w:rsidRPr="006117CF" w:rsidRDefault="00F90318" w:rsidP="00DF523D">
            <w:pPr>
              <w:tabs>
                <w:tab w:val="left" w:pos="2610"/>
              </w:tabs>
              <w:rPr>
                <w:rFonts w:ascii="Arial" w:hAnsi="Arial" w:cs="Arial"/>
                <w:sz w:val="20"/>
                <w:highlight w:val="yellow"/>
              </w:rPr>
            </w:pPr>
          </w:p>
        </w:tc>
        <w:tc>
          <w:tcPr>
            <w:tcW w:w="1286" w:type="dxa"/>
          </w:tcPr>
          <w:p w:rsidR="00F90318" w:rsidRPr="006117CF" w:rsidRDefault="00F90318" w:rsidP="00DF523D">
            <w:pPr>
              <w:tabs>
                <w:tab w:val="left" w:pos="-618"/>
              </w:tabs>
              <w:ind w:left="-618" w:firstLine="540"/>
              <w:jc w:val="right"/>
              <w:rPr>
                <w:rFonts w:ascii="Arial" w:hAnsi="Arial" w:cs="Arial"/>
                <w:sz w:val="20"/>
                <w:highlight w:val="yellow"/>
              </w:rPr>
            </w:pPr>
            <w:r>
              <w:rPr>
                <w:rFonts w:ascii="Arial" w:hAnsi="Arial" w:cs="Arial"/>
                <w:sz w:val="20"/>
              </w:rPr>
              <w:t>27,608,530</w:t>
            </w:r>
          </w:p>
        </w:tc>
      </w:tr>
      <w:tr w:rsidR="00F90318" w:rsidRPr="006117CF" w:rsidTr="00DF523D">
        <w:trPr>
          <w:cantSplit/>
          <w:jc w:val="center"/>
        </w:trPr>
        <w:tc>
          <w:tcPr>
            <w:tcW w:w="3109" w:type="dxa"/>
          </w:tcPr>
          <w:p w:rsidR="00F90318" w:rsidRPr="009D46F0" w:rsidRDefault="00F90318" w:rsidP="00DF523D">
            <w:pPr>
              <w:tabs>
                <w:tab w:val="left" w:pos="2610"/>
              </w:tabs>
              <w:rPr>
                <w:rFonts w:ascii="Arial" w:hAnsi="Arial" w:cs="Arial"/>
                <w:sz w:val="20"/>
              </w:rPr>
            </w:pPr>
            <w:r w:rsidRPr="009D46F0">
              <w:rPr>
                <w:rFonts w:ascii="Arial" w:hAnsi="Arial" w:cs="Arial"/>
                <w:sz w:val="20"/>
              </w:rPr>
              <w:t>e) Gastos y otras pérdidas</w:t>
            </w:r>
          </w:p>
        </w:tc>
        <w:tc>
          <w:tcPr>
            <w:tcW w:w="0" w:type="auto"/>
          </w:tcPr>
          <w:p w:rsidR="00F90318" w:rsidRPr="006117CF" w:rsidRDefault="00F90318" w:rsidP="00DF523D">
            <w:pPr>
              <w:tabs>
                <w:tab w:val="left" w:pos="2610"/>
              </w:tabs>
              <w:rPr>
                <w:rFonts w:ascii="Arial" w:hAnsi="Arial" w:cs="Arial"/>
                <w:sz w:val="20"/>
                <w:highlight w:val="yellow"/>
              </w:rPr>
            </w:pPr>
          </w:p>
        </w:tc>
        <w:tc>
          <w:tcPr>
            <w:tcW w:w="1286" w:type="dxa"/>
          </w:tcPr>
          <w:p w:rsidR="00F90318" w:rsidRPr="006117CF" w:rsidRDefault="00F90318" w:rsidP="00DF523D">
            <w:pPr>
              <w:tabs>
                <w:tab w:val="left" w:pos="-618"/>
              </w:tabs>
              <w:ind w:left="-618" w:firstLine="540"/>
              <w:jc w:val="right"/>
              <w:rPr>
                <w:rFonts w:ascii="Arial" w:hAnsi="Arial" w:cs="Arial"/>
                <w:sz w:val="20"/>
                <w:highlight w:val="yellow"/>
              </w:rPr>
            </w:pPr>
            <w:r>
              <w:rPr>
                <w:rFonts w:ascii="Arial" w:hAnsi="Arial" w:cs="Arial"/>
                <w:sz w:val="20"/>
              </w:rPr>
              <w:t>6,221,869</w:t>
            </w:r>
          </w:p>
        </w:tc>
      </w:tr>
    </w:tbl>
    <w:p w:rsidR="00F90318" w:rsidRPr="00F90318" w:rsidRDefault="00F90318" w:rsidP="00B208A1">
      <w:pPr>
        <w:pStyle w:val="Prrafodelista"/>
        <w:spacing w:line="360" w:lineRule="auto"/>
        <w:ind w:left="0"/>
        <w:contextualSpacing/>
        <w:jc w:val="both"/>
        <w:rPr>
          <w:rFonts w:ascii="Arial" w:hAnsi="Arial" w:cs="Arial"/>
          <w:bCs/>
          <w:sz w:val="24"/>
        </w:rPr>
      </w:pPr>
    </w:p>
    <w:p w:rsidR="00493A57" w:rsidRDefault="00493A57" w:rsidP="00B208A1">
      <w:pPr>
        <w:pStyle w:val="Prrafodelista"/>
        <w:spacing w:line="360" w:lineRule="auto"/>
        <w:ind w:left="0"/>
        <w:contextualSpacing/>
        <w:jc w:val="both"/>
        <w:rPr>
          <w:rFonts w:ascii="Arial" w:hAnsi="Arial" w:cs="Arial"/>
          <w:bCs/>
          <w:sz w:val="24"/>
        </w:rPr>
      </w:pPr>
    </w:p>
    <w:p w:rsidR="00B208A1" w:rsidRDefault="00B208A1" w:rsidP="00B208A1">
      <w:pPr>
        <w:pStyle w:val="Prrafodelista"/>
        <w:spacing w:line="360" w:lineRule="auto"/>
        <w:ind w:left="0"/>
        <w:contextualSpacing/>
        <w:jc w:val="both"/>
        <w:rPr>
          <w:rFonts w:ascii="Arial" w:hAnsi="Arial" w:cs="Arial"/>
          <w:bCs/>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la administración del Fideicomiso son los siguientes:</w:t>
      </w:r>
    </w:p>
    <w:p w:rsidR="00C033DF" w:rsidRDefault="00C033DF" w:rsidP="005F4540">
      <w:pPr>
        <w:pStyle w:val="Textoindependiente"/>
        <w:spacing w:line="360" w:lineRule="auto"/>
        <w:rPr>
          <w:rFonts w:ascii="Arial" w:hAnsi="Arial" w:cs="Arial"/>
          <w:sz w:val="24"/>
          <w:szCs w:val="24"/>
          <w:lang w:val="es-MX"/>
        </w:rPr>
      </w:pPr>
    </w:p>
    <w:p w:rsidR="00381115" w:rsidRPr="00F90318" w:rsidRDefault="00F90318" w:rsidP="009C0345">
      <w:pPr>
        <w:spacing w:after="0"/>
        <w:contextualSpacing/>
        <w:jc w:val="both"/>
        <w:rPr>
          <w:rFonts w:ascii="Arial" w:eastAsia="Times New Roman" w:hAnsi="Arial" w:cs="Arial"/>
          <w:sz w:val="24"/>
          <w:szCs w:val="24"/>
          <w:lang w:eastAsia="ar-SA"/>
        </w:rPr>
      </w:pPr>
      <w:r>
        <w:rPr>
          <w:rFonts w:ascii="Arial" w:eastAsia="Times New Roman" w:hAnsi="Arial" w:cs="Arial"/>
          <w:noProof/>
          <w:sz w:val="24"/>
          <w:szCs w:val="24"/>
          <w:lang w:val="es-MX" w:eastAsia="es-MX"/>
        </w:rPr>
        <w:lastRenderedPageBreak/>
        <w:drawing>
          <wp:inline distT="0" distB="0" distL="0" distR="0">
            <wp:extent cx="5252720" cy="2009775"/>
            <wp:effectExtent l="0" t="0" r="508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720" cy="2009775"/>
                    </a:xfrm>
                    <a:prstGeom prst="rect">
                      <a:avLst/>
                    </a:prstGeom>
                    <a:noFill/>
                    <a:ln>
                      <a:noFill/>
                    </a:ln>
                  </pic:spPr>
                </pic:pic>
              </a:graphicData>
            </a:graphic>
          </wp:inline>
        </w:drawing>
      </w:r>
    </w:p>
    <w:p w:rsidR="00C033DF" w:rsidRPr="00253C6A" w:rsidRDefault="00C033DF" w:rsidP="009C0345">
      <w:pPr>
        <w:spacing w:after="0"/>
        <w:contextualSpacing/>
        <w:jc w:val="both"/>
        <w:rPr>
          <w:rFonts w:ascii="Arial" w:hAnsi="Arial" w:cs="Arial"/>
          <w:b/>
          <w:sz w:val="24"/>
        </w:rPr>
      </w:pPr>
    </w:p>
    <w:p w:rsidR="008B1EB7" w:rsidRPr="00C033DF" w:rsidRDefault="00C033DF" w:rsidP="00C033DF">
      <w:pPr>
        <w:pStyle w:val="Textoindependiente"/>
        <w:numPr>
          <w:ilvl w:val="0"/>
          <w:numId w:val="3"/>
        </w:numPr>
        <w:suppressAutoHyphens w:val="0"/>
        <w:ind w:left="284" w:hanging="284"/>
        <w:rPr>
          <w:rFonts w:ascii="Arial" w:hAnsi="Arial" w:cs="Arial"/>
          <w:b/>
          <w:sz w:val="24"/>
          <w:szCs w:val="24"/>
          <w:lang w:val="es-MX"/>
        </w:rPr>
      </w:pPr>
      <w:r w:rsidRPr="0090708F">
        <w:rPr>
          <w:rFonts w:ascii="Arial" w:hAnsi="Arial" w:cs="Arial"/>
          <w:b/>
          <w:sz w:val="24"/>
          <w:szCs w:val="24"/>
          <w:lang w:val="es-MX"/>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hAnsi="Arial" w:cs="Arial"/>
          <w:b/>
          <w:sz w:val="24"/>
          <w:szCs w:val="24"/>
          <w:lang w:val="es-MX"/>
        </w:rPr>
        <w:t>.</w:t>
      </w:r>
    </w:p>
    <w:p w:rsidR="008B1EB7" w:rsidRDefault="008B1EB7" w:rsidP="008B1EB7">
      <w:pPr>
        <w:spacing w:after="0"/>
        <w:contextualSpacing/>
        <w:jc w:val="both"/>
        <w:rPr>
          <w:rFonts w:ascii="Arial" w:hAnsi="Arial" w:cs="Arial"/>
          <w:sz w:val="24"/>
        </w:rPr>
      </w:pPr>
    </w:p>
    <w:p w:rsidR="00C033DF" w:rsidRDefault="00C033DF" w:rsidP="008B1EB7">
      <w:pPr>
        <w:spacing w:after="0"/>
        <w:contextualSpacing/>
        <w:jc w:val="both"/>
        <w:rPr>
          <w:rFonts w:ascii="Arial" w:hAnsi="Arial" w:cs="Arial"/>
          <w:b/>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F90318" w:rsidRPr="00F90318" w:rsidRDefault="00F90318" w:rsidP="00F90318">
      <w:pPr>
        <w:spacing w:after="0" w:line="360" w:lineRule="auto"/>
        <w:contextualSpacing/>
        <w:jc w:val="both"/>
        <w:rPr>
          <w:rFonts w:ascii="Arial" w:hAnsi="Arial" w:cs="Arial"/>
          <w:sz w:val="24"/>
        </w:rPr>
      </w:pPr>
      <w:r w:rsidRPr="00F90318">
        <w:rPr>
          <w:rFonts w:ascii="Arial" w:hAnsi="Arial" w:cs="Arial"/>
          <w:b/>
          <w:sz w:val="24"/>
        </w:rPr>
        <w:t xml:space="preserve">1. </w:t>
      </w:r>
      <w:r w:rsidRPr="00F90318">
        <w:rPr>
          <w:rFonts w:ascii="Arial" w:hAnsi="Arial" w:cs="Arial"/>
          <w:sz w:val="24"/>
        </w:rPr>
        <w:t>Se revisó la observancia de la Ley General de Co</w:t>
      </w:r>
      <w:r w:rsidR="00BE0FAF">
        <w:rPr>
          <w:rFonts w:ascii="Arial" w:hAnsi="Arial" w:cs="Arial"/>
          <w:sz w:val="24"/>
        </w:rPr>
        <w:t xml:space="preserve">ntabilidad Gubernamental (LGCG) </w:t>
      </w:r>
      <w:r w:rsidRPr="00F90318">
        <w:rPr>
          <w:rFonts w:ascii="Arial" w:hAnsi="Arial" w:cs="Arial"/>
          <w:sz w:val="24"/>
        </w:rPr>
        <w:t>y la normatividad emitida por el Consejo Nacional de</w:t>
      </w:r>
      <w:r w:rsidR="00BE0FAF">
        <w:rPr>
          <w:rFonts w:ascii="Arial" w:hAnsi="Arial" w:cs="Arial"/>
          <w:sz w:val="24"/>
        </w:rPr>
        <w:t xml:space="preserve"> Armonización Contable (Conac), </w:t>
      </w:r>
      <w:r w:rsidRPr="00F90318">
        <w:rPr>
          <w:rFonts w:ascii="Arial" w:hAnsi="Arial" w:cs="Arial"/>
          <w:sz w:val="24"/>
        </w:rPr>
        <w:t xml:space="preserve">advirtiéndose incumplimientos por parte del Ente Público, </w:t>
      </w:r>
      <w:r w:rsidR="00BE0FAF">
        <w:rPr>
          <w:rFonts w:ascii="Arial" w:hAnsi="Arial" w:cs="Arial"/>
          <w:sz w:val="24"/>
        </w:rPr>
        <w:t xml:space="preserve">a las obligaciones que diversos </w:t>
      </w:r>
      <w:r w:rsidRPr="00F90318">
        <w:rPr>
          <w:rFonts w:ascii="Arial" w:hAnsi="Arial" w:cs="Arial"/>
          <w:sz w:val="24"/>
        </w:rPr>
        <w:t>preceptos de la referida Ley le imponen, acorde con lo que se enuncia a continuación:</w:t>
      </w:r>
    </w:p>
    <w:p w:rsidR="00BE0FAF" w:rsidRDefault="00BE0FAF" w:rsidP="00F90318">
      <w:pPr>
        <w:spacing w:after="0" w:line="360" w:lineRule="auto"/>
        <w:contextualSpacing/>
        <w:jc w:val="both"/>
        <w:rPr>
          <w:rFonts w:ascii="Arial" w:hAnsi="Arial" w:cs="Arial"/>
          <w:sz w:val="24"/>
        </w:rPr>
      </w:pPr>
    </w:p>
    <w:p w:rsidR="00F90318" w:rsidRPr="00BE0FAF" w:rsidRDefault="00F90318" w:rsidP="00F90318">
      <w:pPr>
        <w:spacing w:after="0" w:line="360" w:lineRule="auto"/>
        <w:contextualSpacing/>
        <w:jc w:val="both"/>
        <w:rPr>
          <w:rFonts w:ascii="Arial" w:hAnsi="Arial" w:cs="Arial"/>
          <w:b/>
          <w:sz w:val="24"/>
        </w:rPr>
      </w:pPr>
      <w:r w:rsidRPr="00BE0FAF">
        <w:rPr>
          <w:rFonts w:ascii="Arial" w:hAnsi="Arial" w:cs="Arial"/>
          <w:b/>
          <w:sz w:val="24"/>
        </w:rPr>
        <w:t>I. Registros presupuestarios</w:t>
      </w:r>
    </w:p>
    <w:p w:rsidR="00F90318" w:rsidRPr="00F90318" w:rsidRDefault="00F90318" w:rsidP="00F90318">
      <w:pPr>
        <w:spacing w:after="0" w:line="360" w:lineRule="auto"/>
        <w:contextualSpacing/>
        <w:jc w:val="both"/>
        <w:rPr>
          <w:rFonts w:ascii="Arial" w:hAnsi="Arial" w:cs="Arial"/>
          <w:sz w:val="24"/>
        </w:rPr>
      </w:pPr>
      <w:r w:rsidRPr="00F90318">
        <w:rPr>
          <w:rFonts w:ascii="Arial" w:hAnsi="Arial" w:cs="Arial"/>
          <w:sz w:val="24"/>
        </w:rPr>
        <w:t>a) Realizar los registros en las etapas del pres</w:t>
      </w:r>
      <w:r w:rsidR="00BE0FAF">
        <w:rPr>
          <w:rFonts w:ascii="Arial" w:hAnsi="Arial" w:cs="Arial"/>
          <w:sz w:val="24"/>
        </w:rPr>
        <w:t xml:space="preserve">upuesto de egresos en aprobado, </w:t>
      </w:r>
      <w:r w:rsidRPr="00F90318">
        <w:rPr>
          <w:rFonts w:ascii="Arial" w:hAnsi="Arial" w:cs="Arial"/>
          <w:sz w:val="24"/>
        </w:rPr>
        <w:t>modificado, comprometido, devengado, ejercido y pa</w:t>
      </w:r>
      <w:r w:rsidR="00BE0FAF">
        <w:rPr>
          <w:rFonts w:ascii="Arial" w:hAnsi="Arial" w:cs="Arial"/>
          <w:sz w:val="24"/>
        </w:rPr>
        <w:t xml:space="preserve">gado y del ingreso en estimado, </w:t>
      </w:r>
      <w:r w:rsidRPr="00F90318">
        <w:rPr>
          <w:rFonts w:ascii="Arial" w:hAnsi="Arial" w:cs="Arial"/>
          <w:sz w:val="24"/>
        </w:rPr>
        <w:t xml:space="preserve">modificado, devengado y recaudado (artículo 38, </w:t>
      </w:r>
      <w:r w:rsidRPr="00F90318">
        <w:rPr>
          <w:rFonts w:ascii="Arial" w:hAnsi="Arial" w:cs="Arial"/>
          <w:sz w:val="24"/>
        </w:rPr>
        <w:lastRenderedPageBreak/>
        <w:t>conforme a No</w:t>
      </w:r>
      <w:r w:rsidR="00BE0FAF">
        <w:rPr>
          <w:rFonts w:ascii="Arial" w:hAnsi="Arial" w:cs="Arial"/>
          <w:sz w:val="24"/>
        </w:rPr>
        <w:t xml:space="preserve">rmas y metodología </w:t>
      </w:r>
      <w:r w:rsidRPr="00F90318">
        <w:rPr>
          <w:rFonts w:ascii="Arial" w:hAnsi="Arial" w:cs="Arial"/>
          <w:sz w:val="24"/>
        </w:rPr>
        <w:t>para la determinación de los momentos conta</w:t>
      </w:r>
      <w:r w:rsidR="00BE0FAF">
        <w:rPr>
          <w:rFonts w:ascii="Arial" w:hAnsi="Arial" w:cs="Arial"/>
          <w:sz w:val="24"/>
        </w:rPr>
        <w:t xml:space="preserve">bles de los ingresos y Normas y </w:t>
      </w:r>
      <w:r w:rsidRPr="00F90318">
        <w:rPr>
          <w:rFonts w:ascii="Arial" w:hAnsi="Arial" w:cs="Arial"/>
          <w:sz w:val="24"/>
        </w:rPr>
        <w:t>metodología para la determinación de los momentos contables de los egresos).</w:t>
      </w:r>
    </w:p>
    <w:p w:rsidR="00F90318" w:rsidRPr="00F90318" w:rsidRDefault="00F90318" w:rsidP="00F90318">
      <w:pPr>
        <w:spacing w:after="0" w:line="360" w:lineRule="auto"/>
        <w:contextualSpacing/>
        <w:jc w:val="both"/>
        <w:rPr>
          <w:rFonts w:ascii="Arial" w:hAnsi="Arial" w:cs="Arial"/>
          <w:sz w:val="24"/>
        </w:rPr>
      </w:pPr>
      <w:r w:rsidRPr="00F90318">
        <w:rPr>
          <w:rFonts w:ascii="Arial" w:hAnsi="Arial" w:cs="Arial"/>
          <w:sz w:val="24"/>
        </w:rPr>
        <w:t>b) Generar registros automáticos y por únic</w:t>
      </w:r>
      <w:r w:rsidR="00BE0FAF">
        <w:rPr>
          <w:rFonts w:ascii="Arial" w:hAnsi="Arial" w:cs="Arial"/>
          <w:sz w:val="24"/>
        </w:rPr>
        <w:t xml:space="preserve">a vez en los momentos contables </w:t>
      </w:r>
      <w:r w:rsidRPr="00F90318">
        <w:rPr>
          <w:rFonts w:ascii="Arial" w:hAnsi="Arial" w:cs="Arial"/>
          <w:sz w:val="24"/>
        </w:rPr>
        <w:t>correspondientes de los procesos administra</w:t>
      </w:r>
      <w:r w:rsidR="00BE0FAF">
        <w:rPr>
          <w:rFonts w:ascii="Arial" w:hAnsi="Arial" w:cs="Arial"/>
          <w:sz w:val="24"/>
        </w:rPr>
        <w:t xml:space="preserve">tivos de los Entes Públicos que </w:t>
      </w:r>
      <w:r w:rsidRPr="00F90318">
        <w:rPr>
          <w:rFonts w:ascii="Arial" w:hAnsi="Arial" w:cs="Arial"/>
          <w:sz w:val="24"/>
        </w:rPr>
        <w:t xml:space="preserve">impliquen transacciones presupuestarias y contables </w:t>
      </w:r>
      <w:r w:rsidR="00BE0FAF">
        <w:rPr>
          <w:rFonts w:ascii="Arial" w:hAnsi="Arial" w:cs="Arial"/>
          <w:sz w:val="24"/>
        </w:rPr>
        <w:t xml:space="preserve">(artículos 16 y 40, conforme al </w:t>
      </w:r>
      <w:r w:rsidRPr="00F90318">
        <w:rPr>
          <w:rFonts w:ascii="Arial" w:hAnsi="Arial" w:cs="Arial"/>
          <w:sz w:val="24"/>
        </w:rPr>
        <w:t>Acuerdo por el que se determina la norma de infor</w:t>
      </w:r>
      <w:r w:rsidR="00BE0FAF">
        <w:rPr>
          <w:rFonts w:ascii="Arial" w:hAnsi="Arial" w:cs="Arial"/>
          <w:sz w:val="24"/>
        </w:rPr>
        <w:t xml:space="preserve">mación financiera para precisar </w:t>
      </w:r>
      <w:r w:rsidRPr="00F90318">
        <w:rPr>
          <w:rFonts w:ascii="Arial" w:hAnsi="Arial" w:cs="Arial"/>
          <w:sz w:val="24"/>
        </w:rPr>
        <w:t>los alcances del Acuerdo 1 aprobado por el C</w:t>
      </w:r>
      <w:r w:rsidR="00BE0FAF">
        <w:rPr>
          <w:rFonts w:ascii="Arial" w:hAnsi="Arial" w:cs="Arial"/>
          <w:sz w:val="24"/>
        </w:rPr>
        <w:t xml:space="preserve">onsejo Nacional de Armonización </w:t>
      </w:r>
      <w:r w:rsidRPr="00F90318">
        <w:rPr>
          <w:rFonts w:ascii="Arial" w:hAnsi="Arial" w:cs="Arial"/>
          <w:sz w:val="24"/>
        </w:rPr>
        <w:t>Contable, en reunión del 3 de mayo de 2013 y publicado el 16 de mayo de 2013).</w:t>
      </w:r>
    </w:p>
    <w:p w:rsidR="00BE0FAF" w:rsidRDefault="00BE0FAF" w:rsidP="00F90318">
      <w:pPr>
        <w:spacing w:after="0" w:line="360" w:lineRule="auto"/>
        <w:contextualSpacing/>
        <w:jc w:val="both"/>
        <w:rPr>
          <w:rFonts w:ascii="Arial" w:hAnsi="Arial" w:cs="Arial"/>
          <w:sz w:val="24"/>
        </w:rPr>
      </w:pPr>
    </w:p>
    <w:p w:rsidR="00F90318" w:rsidRPr="00BE0FAF" w:rsidRDefault="00F90318" w:rsidP="00F90318">
      <w:pPr>
        <w:spacing w:after="0" w:line="360" w:lineRule="auto"/>
        <w:contextualSpacing/>
        <w:jc w:val="both"/>
        <w:rPr>
          <w:rFonts w:ascii="Arial" w:hAnsi="Arial" w:cs="Arial"/>
          <w:b/>
          <w:sz w:val="24"/>
        </w:rPr>
      </w:pPr>
      <w:r w:rsidRPr="00BE0FAF">
        <w:rPr>
          <w:rFonts w:ascii="Arial" w:hAnsi="Arial" w:cs="Arial"/>
          <w:b/>
          <w:sz w:val="24"/>
        </w:rPr>
        <w:t>II. Registros administrativos</w:t>
      </w:r>
    </w:p>
    <w:p w:rsidR="009A7A82" w:rsidRDefault="00F90318" w:rsidP="00F90318">
      <w:pPr>
        <w:spacing w:after="0" w:line="360" w:lineRule="auto"/>
        <w:contextualSpacing/>
        <w:jc w:val="both"/>
        <w:rPr>
          <w:rFonts w:ascii="Arial" w:hAnsi="Arial" w:cs="Arial"/>
          <w:sz w:val="24"/>
        </w:rPr>
      </w:pPr>
      <w:r w:rsidRPr="00F90318">
        <w:rPr>
          <w:rFonts w:ascii="Arial" w:hAnsi="Arial" w:cs="Arial"/>
          <w:sz w:val="24"/>
        </w:rPr>
        <w:t xml:space="preserve">a) Respaldar la contabilización de las operaciones </w:t>
      </w:r>
      <w:r w:rsidR="00BE0FAF">
        <w:rPr>
          <w:rFonts w:ascii="Arial" w:hAnsi="Arial" w:cs="Arial"/>
          <w:sz w:val="24"/>
        </w:rPr>
        <w:t xml:space="preserve">presupuestarias y contables con </w:t>
      </w:r>
      <w:r w:rsidRPr="00F90318">
        <w:rPr>
          <w:rFonts w:ascii="Arial" w:hAnsi="Arial" w:cs="Arial"/>
          <w:sz w:val="24"/>
        </w:rPr>
        <w:t>la documentación original que compruebe y justifiqu</w:t>
      </w:r>
      <w:r>
        <w:rPr>
          <w:rFonts w:ascii="Arial" w:hAnsi="Arial" w:cs="Arial"/>
          <w:sz w:val="24"/>
        </w:rPr>
        <w:t xml:space="preserve">e los registros que se efectúen </w:t>
      </w:r>
      <w:r w:rsidRPr="00F90318">
        <w:rPr>
          <w:rFonts w:ascii="Arial" w:hAnsi="Arial" w:cs="Arial"/>
          <w:sz w:val="24"/>
        </w:rPr>
        <w:t>(artículo 42).</w:t>
      </w:r>
    </w:p>
    <w:p w:rsidR="00F90318" w:rsidRDefault="00F90318" w:rsidP="00F90318">
      <w:pPr>
        <w:spacing w:after="0" w:line="360" w:lineRule="auto"/>
        <w:contextualSpacing/>
        <w:jc w:val="both"/>
        <w:rPr>
          <w:rFonts w:ascii="Arial" w:hAnsi="Arial" w:cs="Arial"/>
          <w:sz w:val="24"/>
        </w:rPr>
      </w:pPr>
    </w:p>
    <w:p w:rsidR="00F90318" w:rsidRPr="00BE0FAF" w:rsidRDefault="00F90318" w:rsidP="00F90318">
      <w:pPr>
        <w:spacing w:after="0" w:line="360" w:lineRule="auto"/>
        <w:contextualSpacing/>
        <w:jc w:val="both"/>
        <w:rPr>
          <w:rFonts w:ascii="Arial" w:hAnsi="Arial" w:cs="Arial"/>
          <w:b/>
          <w:sz w:val="24"/>
        </w:rPr>
      </w:pPr>
      <w:r w:rsidRPr="00BE0FAF">
        <w:rPr>
          <w:rFonts w:ascii="Arial" w:hAnsi="Arial" w:cs="Arial"/>
          <w:b/>
          <w:sz w:val="24"/>
        </w:rPr>
        <w:t>Análisis de la Auditoría Superior del Estado</w:t>
      </w:r>
    </w:p>
    <w:p w:rsidR="00F90318" w:rsidRPr="00F90318" w:rsidRDefault="00F90318" w:rsidP="00F90318">
      <w:pPr>
        <w:spacing w:after="0" w:line="360" w:lineRule="auto"/>
        <w:contextualSpacing/>
        <w:jc w:val="both"/>
        <w:rPr>
          <w:rFonts w:ascii="Arial" w:hAnsi="Arial" w:cs="Arial"/>
          <w:sz w:val="24"/>
        </w:rPr>
      </w:pPr>
      <w:r w:rsidRPr="00F90318">
        <w:rPr>
          <w:rFonts w:ascii="Arial" w:hAnsi="Arial" w:cs="Arial"/>
          <w:sz w:val="24"/>
        </w:rPr>
        <w:t>Se analizó la respuesta y documentación proporcionada por el</w:t>
      </w:r>
      <w:r w:rsidR="00BE0FAF">
        <w:rPr>
          <w:rFonts w:ascii="Arial" w:hAnsi="Arial" w:cs="Arial"/>
          <w:sz w:val="24"/>
        </w:rPr>
        <w:t xml:space="preserve"> Ente Público, la cual solventa </w:t>
      </w:r>
      <w:r w:rsidRPr="00F90318">
        <w:rPr>
          <w:rFonts w:ascii="Arial" w:hAnsi="Arial" w:cs="Arial"/>
          <w:sz w:val="24"/>
        </w:rPr>
        <w:t>parcialmente, toda vez que se encuentre en proce</w:t>
      </w:r>
      <w:r w:rsidR="00BE0FAF">
        <w:rPr>
          <w:rFonts w:ascii="Arial" w:hAnsi="Arial" w:cs="Arial"/>
          <w:sz w:val="24"/>
        </w:rPr>
        <w:t xml:space="preserve">so de implementación de medidas </w:t>
      </w:r>
      <w:r w:rsidRPr="00F90318">
        <w:rPr>
          <w:rFonts w:ascii="Arial" w:hAnsi="Arial" w:cs="Arial"/>
          <w:sz w:val="24"/>
        </w:rPr>
        <w:t>correctivas, sin embargo, no ha cumplido con la totalidad</w:t>
      </w:r>
      <w:r w:rsidR="00BE0FAF">
        <w:rPr>
          <w:rFonts w:ascii="Arial" w:hAnsi="Arial" w:cs="Arial"/>
          <w:sz w:val="24"/>
        </w:rPr>
        <w:t xml:space="preserve"> de las disposiciones señaladas </w:t>
      </w:r>
      <w:r w:rsidRPr="00F90318">
        <w:rPr>
          <w:rFonts w:ascii="Arial" w:hAnsi="Arial" w:cs="Arial"/>
          <w:sz w:val="24"/>
        </w:rPr>
        <w:t>en la Ley General de Contabilidad Gubernamental y la n</w:t>
      </w:r>
      <w:r w:rsidR="00BE0FAF">
        <w:rPr>
          <w:rFonts w:ascii="Arial" w:hAnsi="Arial" w:cs="Arial"/>
          <w:sz w:val="24"/>
        </w:rPr>
        <w:t xml:space="preserve">ormativa emitida por el Consejo </w:t>
      </w:r>
      <w:r w:rsidRPr="00F90318">
        <w:rPr>
          <w:rFonts w:ascii="Arial" w:hAnsi="Arial" w:cs="Arial"/>
          <w:sz w:val="24"/>
        </w:rPr>
        <w:t>Nacional de Armonización Contable.</w:t>
      </w:r>
    </w:p>
    <w:p w:rsidR="00BE0FAF" w:rsidRDefault="00BE0FAF" w:rsidP="00F90318">
      <w:pPr>
        <w:spacing w:after="0" w:line="360" w:lineRule="auto"/>
        <w:contextualSpacing/>
        <w:jc w:val="both"/>
        <w:rPr>
          <w:rFonts w:ascii="Arial" w:hAnsi="Arial" w:cs="Arial"/>
          <w:sz w:val="24"/>
        </w:rPr>
      </w:pPr>
    </w:p>
    <w:p w:rsidR="00F90318" w:rsidRPr="00BE0FAF" w:rsidRDefault="00F90318" w:rsidP="00F90318">
      <w:pPr>
        <w:spacing w:after="0" w:line="360" w:lineRule="auto"/>
        <w:contextualSpacing/>
        <w:jc w:val="both"/>
        <w:rPr>
          <w:rFonts w:ascii="Arial" w:hAnsi="Arial" w:cs="Arial"/>
          <w:b/>
          <w:sz w:val="24"/>
        </w:rPr>
      </w:pPr>
      <w:r w:rsidRPr="00BE0FAF">
        <w:rPr>
          <w:rFonts w:ascii="Arial" w:hAnsi="Arial" w:cs="Arial"/>
          <w:b/>
          <w:sz w:val="24"/>
        </w:rPr>
        <w:t>Acción(es) o recomendación(es) emitida(s)</w:t>
      </w:r>
    </w:p>
    <w:p w:rsidR="00F90318" w:rsidRPr="00BE0FAF" w:rsidRDefault="00F90318" w:rsidP="00F90318">
      <w:pPr>
        <w:spacing w:after="0" w:line="360" w:lineRule="auto"/>
        <w:contextualSpacing/>
        <w:jc w:val="both"/>
        <w:rPr>
          <w:rFonts w:ascii="Arial" w:hAnsi="Arial" w:cs="Arial"/>
          <w:i/>
          <w:sz w:val="24"/>
        </w:rPr>
      </w:pPr>
      <w:r w:rsidRPr="00BE0FAF">
        <w:rPr>
          <w:rFonts w:ascii="Arial" w:hAnsi="Arial" w:cs="Arial"/>
          <w:i/>
          <w:sz w:val="24"/>
        </w:rPr>
        <w:lastRenderedPageBreak/>
        <w:t>Promoción de Fincamiento de Responsabilidad Administrativa.</w:t>
      </w:r>
    </w:p>
    <w:p w:rsidR="00F90318" w:rsidRPr="00BE0FAF" w:rsidRDefault="00F90318" w:rsidP="00F90318">
      <w:pPr>
        <w:spacing w:after="0" w:line="360" w:lineRule="auto"/>
        <w:contextualSpacing/>
        <w:jc w:val="both"/>
        <w:rPr>
          <w:rFonts w:ascii="Arial" w:hAnsi="Arial" w:cs="Arial"/>
          <w:i/>
          <w:sz w:val="24"/>
        </w:rPr>
      </w:pPr>
      <w:r w:rsidRPr="00BE0FAF">
        <w:rPr>
          <w:rFonts w:ascii="Arial" w:hAnsi="Arial" w:cs="Arial"/>
          <w:i/>
          <w:sz w:val="24"/>
        </w:rPr>
        <w:t>Recomendaciones en Relación a la Gestión o Control Interno.</w:t>
      </w:r>
    </w:p>
    <w:p w:rsidR="00BE0FAF" w:rsidRDefault="00BE0FAF" w:rsidP="00F90318">
      <w:pPr>
        <w:spacing w:after="0" w:line="360" w:lineRule="auto"/>
        <w:contextualSpacing/>
        <w:jc w:val="both"/>
        <w:rPr>
          <w:rFonts w:ascii="Arial" w:hAnsi="Arial" w:cs="Arial"/>
          <w:sz w:val="24"/>
        </w:rPr>
      </w:pPr>
    </w:p>
    <w:p w:rsidR="00F90318" w:rsidRPr="00BE0FAF" w:rsidRDefault="00F90318" w:rsidP="00F90318">
      <w:pPr>
        <w:spacing w:after="0" w:line="360" w:lineRule="auto"/>
        <w:contextualSpacing/>
        <w:jc w:val="both"/>
        <w:rPr>
          <w:rFonts w:ascii="Arial" w:hAnsi="Arial" w:cs="Arial"/>
          <w:b/>
          <w:sz w:val="24"/>
          <w:u w:val="single"/>
        </w:rPr>
      </w:pPr>
      <w:r w:rsidRPr="00BE0FAF">
        <w:rPr>
          <w:rFonts w:ascii="Arial" w:hAnsi="Arial" w:cs="Arial"/>
          <w:b/>
          <w:sz w:val="24"/>
          <w:u w:val="single"/>
        </w:rPr>
        <w:t>Actas</w:t>
      </w:r>
    </w:p>
    <w:p w:rsidR="00F90318" w:rsidRPr="00F90318" w:rsidRDefault="00F90318" w:rsidP="00F90318">
      <w:pPr>
        <w:spacing w:after="0" w:line="360" w:lineRule="auto"/>
        <w:contextualSpacing/>
        <w:jc w:val="both"/>
        <w:rPr>
          <w:rFonts w:ascii="Arial" w:hAnsi="Arial" w:cs="Arial"/>
          <w:sz w:val="24"/>
        </w:rPr>
      </w:pPr>
      <w:r w:rsidRPr="00BE0FAF">
        <w:rPr>
          <w:rFonts w:ascii="Arial" w:hAnsi="Arial" w:cs="Arial"/>
          <w:b/>
          <w:sz w:val="24"/>
        </w:rPr>
        <w:t>2.</w:t>
      </w:r>
      <w:r w:rsidRPr="00F90318">
        <w:rPr>
          <w:rFonts w:ascii="Arial" w:hAnsi="Arial" w:cs="Arial"/>
          <w:sz w:val="24"/>
        </w:rPr>
        <w:t xml:space="preserve"> Durante la revisión al Fideicomiso se observó que el Comité </w:t>
      </w:r>
      <w:r w:rsidR="00BE0FAF">
        <w:rPr>
          <w:rFonts w:ascii="Arial" w:hAnsi="Arial" w:cs="Arial"/>
          <w:sz w:val="24"/>
        </w:rPr>
        <w:t xml:space="preserve">Técnico del Fideicomiso sesionó </w:t>
      </w:r>
      <w:r w:rsidRPr="00F90318">
        <w:rPr>
          <w:rFonts w:ascii="Arial" w:hAnsi="Arial" w:cs="Arial"/>
          <w:sz w:val="24"/>
        </w:rPr>
        <w:t xml:space="preserve">sólo en una ocasión durante el ejercicio 2015, incumpliendo </w:t>
      </w:r>
      <w:r w:rsidR="00BE0FAF">
        <w:rPr>
          <w:rFonts w:ascii="Arial" w:hAnsi="Arial" w:cs="Arial"/>
          <w:sz w:val="24"/>
        </w:rPr>
        <w:t xml:space="preserve">la obligación establecida en el </w:t>
      </w:r>
      <w:r w:rsidRPr="00F90318">
        <w:rPr>
          <w:rFonts w:ascii="Arial" w:hAnsi="Arial" w:cs="Arial"/>
          <w:sz w:val="24"/>
        </w:rPr>
        <w:t>convenio modificatorio al contrato del Fideicomiso del 13 d</w:t>
      </w:r>
      <w:r w:rsidR="00BE0FAF">
        <w:rPr>
          <w:rFonts w:ascii="Arial" w:hAnsi="Arial" w:cs="Arial"/>
          <w:sz w:val="24"/>
        </w:rPr>
        <w:t xml:space="preserve">e octubre de 2010, que menciona </w:t>
      </w:r>
      <w:r w:rsidRPr="00F90318">
        <w:rPr>
          <w:rFonts w:ascii="Arial" w:hAnsi="Arial" w:cs="Arial"/>
          <w:sz w:val="24"/>
        </w:rPr>
        <w:t>en la cláusula quinta fracción IV Obligaciones de</w:t>
      </w:r>
      <w:r w:rsidR="00BE0FAF">
        <w:rPr>
          <w:rFonts w:ascii="Arial" w:hAnsi="Arial" w:cs="Arial"/>
          <w:sz w:val="24"/>
        </w:rPr>
        <w:t xml:space="preserve">l Comité Técnico, lo siguiente: </w:t>
      </w:r>
      <w:r w:rsidRPr="00F90318">
        <w:rPr>
          <w:rFonts w:ascii="Arial" w:hAnsi="Arial" w:cs="Arial"/>
          <w:sz w:val="24"/>
        </w:rPr>
        <w:t>"a. Reunirse por lo menos una vez al mes, y también pod</w:t>
      </w:r>
      <w:r w:rsidR="00BE0FAF">
        <w:rPr>
          <w:rFonts w:ascii="Arial" w:hAnsi="Arial" w:cs="Arial"/>
          <w:sz w:val="24"/>
        </w:rPr>
        <w:t xml:space="preserve">rá ser convocada la Reunión por </w:t>
      </w:r>
      <w:r w:rsidRPr="00F90318">
        <w:rPr>
          <w:rFonts w:ascii="Arial" w:hAnsi="Arial" w:cs="Arial"/>
          <w:sz w:val="24"/>
        </w:rPr>
        <w:t>LA FIDUCIARIA"</w:t>
      </w:r>
    </w:p>
    <w:p w:rsidR="00BE0FAF" w:rsidRDefault="00BE0FAF" w:rsidP="00F90318">
      <w:pPr>
        <w:spacing w:after="0" w:line="360" w:lineRule="auto"/>
        <w:contextualSpacing/>
        <w:jc w:val="both"/>
        <w:rPr>
          <w:rFonts w:ascii="Arial" w:hAnsi="Arial" w:cs="Arial"/>
          <w:sz w:val="24"/>
        </w:rPr>
      </w:pPr>
    </w:p>
    <w:p w:rsidR="00F90318" w:rsidRDefault="00F90318" w:rsidP="00F90318">
      <w:pPr>
        <w:spacing w:after="0" w:line="360" w:lineRule="auto"/>
        <w:contextualSpacing/>
        <w:jc w:val="both"/>
        <w:rPr>
          <w:rFonts w:ascii="Arial" w:hAnsi="Arial" w:cs="Arial"/>
          <w:sz w:val="24"/>
        </w:rPr>
      </w:pPr>
      <w:r w:rsidRPr="00F90318">
        <w:rPr>
          <w:rFonts w:ascii="Arial" w:hAnsi="Arial" w:cs="Arial"/>
          <w:sz w:val="24"/>
        </w:rPr>
        <w:t>Es importante precisar que el convenio modificatorio establece</w:t>
      </w:r>
      <w:r w:rsidR="00BE0FAF">
        <w:rPr>
          <w:rFonts w:ascii="Arial" w:hAnsi="Arial" w:cs="Arial"/>
          <w:sz w:val="24"/>
        </w:rPr>
        <w:t xml:space="preserve"> en la cláusula quinta fracción </w:t>
      </w:r>
      <w:r w:rsidRPr="00F90318">
        <w:rPr>
          <w:rFonts w:ascii="Arial" w:hAnsi="Arial" w:cs="Arial"/>
          <w:sz w:val="24"/>
        </w:rPr>
        <w:t>VI, inciso "a" le corresponde al Secretario Técnico por inst</w:t>
      </w:r>
      <w:r w:rsidR="00BE0FAF">
        <w:rPr>
          <w:rFonts w:ascii="Arial" w:hAnsi="Arial" w:cs="Arial"/>
          <w:sz w:val="24"/>
        </w:rPr>
        <w:t xml:space="preserve">rucción del Presidente convocar </w:t>
      </w:r>
      <w:r w:rsidRPr="00F90318">
        <w:rPr>
          <w:rFonts w:ascii="Arial" w:hAnsi="Arial" w:cs="Arial"/>
          <w:sz w:val="24"/>
        </w:rPr>
        <w:t>a los demás miembros del Comité a las sesiones ordinarias y extraordinarias que procedan.</w:t>
      </w:r>
    </w:p>
    <w:p w:rsidR="00BE0FAF" w:rsidRDefault="00BE0FAF" w:rsidP="00580EB1">
      <w:pPr>
        <w:spacing w:after="0" w:line="360" w:lineRule="auto"/>
        <w:contextualSpacing/>
        <w:jc w:val="both"/>
        <w:rPr>
          <w:rFonts w:ascii="Arial" w:hAnsi="Arial" w:cs="Arial"/>
          <w:sz w:val="24"/>
        </w:rPr>
      </w:pPr>
    </w:p>
    <w:p w:rsidR="00580EB1" w:rsidRPr="00BE0FAF" w:rsidRDefault="00580EB1" w:rsidP="00580EB1">
      <w:pPr>
        <w:spacing w:after="0" w:line="360" w:lineRule="auto"/>
        <w:contextualSpacing/>
        <w:jc w:val="both"/>
        <w:rPr>
          <w:rFonts w:ascii="Arial" w:hAnsi="Arial" w:cs="Arial"/>
          <w:b/>
          <w:sz w:val="24"/>
        </w:rPr>
      </w:pPr>
      <w:r w:rsidRPr="00BE0FAF">
        <w:rPr>
          <w:rFonts w:ascii="Arial" w:hAnsi="Arial" w:cs="Arial"/>
          <w:b/>
          <w:sz w:val="24"/>
        </w:rPr>
        <w:t>Análisis de la Auditoría Superior del Estado</w:t>
      </w:r>
    </w:p>
    <w:p w:rsidR="00580EB1" w:rsidRPr="00580EB1" w:rsidRDefault="00580EB1" w:rsidP="00580EB1">
      <w:pPr>
        <w:spacing w:after="0" w:line="360" w:lineRule="auto"/>
        <w:contextualSpacing/>
        <w:jc w:val="both"/>
        <w:rPr>
          <w:rFonts w:ascii="Arial" w:hAnsi="Arial" w:cs="Arial"/>
          <w:sz w:val="24"/>
        </w:rPr>
      </w:pPr>
      <w:r w:rsidRPr="00580EB1">
        <w:rPr>
          <w:rFonts w:ascii="Arial" w:hAnsi="Arial" w:cs="Arial"/>
          <w:sz w:val="24"/>
        </w:rPr>
        <w:t>Derivado del análisis de la respuesta y evidencia presentada por el Ente</w:t>
      </w:r>
      <w:r w:rsidR="00BE0FAF">
        <w:rPr>
          <w:rFonts w:ascii="Arial" w:hAnsi="Arial" w:cs="Arial"/>
          <w:sz w:val="24"/>
        </w:rPr>
        <w:t xml:space="preserve"> Público, esta </w:t>
      </w:r>
      <w:r w:rsidRPr="00580EB1">
        <w:rPr>
          <w:rFonts w:ascii="Arial" w:hAnsi="Arial" w:cs="Arial"/>
          <w:sz w:val="24"/>
        </w:rPr>
        <w:t xml:space="preserve">observación se solventa parcialmente, debido a que incumplió </w:t>
      </w:r>
      <w:r w:rsidR="00BE0FAF">
        <w:rPr>
          <w:rFonts w:ascii="Arial" w:hAnsi="Arial" w:cs="Arial"/>
          <w:sz w:val="24"/>
        </w:rPr>
        <w:t xml:space="preserve">en la cláusula quinta, fracción </w:t>
      </w:r>
      <w:r w:rsidRPr="00580EB1">
        <w:rPr>
          <w:rFonts w:ascii="Arial" w:hAnsi="Arial" w:cs="Arial"/>
          <w:sz w:val="24"/>
        </w:rPr>
        <w:t>IV del contrato del Fideicomiso, al sesionar en una s</w:t>
      </w:r>
      <w:r w:rsidR="00BE0FAF">
        <w:rPr>
          <w:rFonts w:ascii="Arial" w:hAnsi="Arial" w:cs="Arial"/>
          <w:sz w:val="24"/>
        </w:rPr>
        <w:t xml:space="preserve">ola ocasión, y además de que el </w:t>
      </w:r>
      <w:r w:rsidRPr="00580EB1">
        <w:rPr>
          <w:rFonts w:ascii="Arial" w:hAnsi="Arial" w:cs="Arial"/>
          <w:sz w:val="24"/>
        </w:rPr>
        <w:t>convenio modificatoria exhibido como soporte documental sigue sin ser formalizado.</w:t>
      </w:r>
    </w:p>
    <w:p w:rsidR="00BE0FAF" w:rsidRDefault="00BE0FAF" w:rsidP="00580EB1">
      <w:pPr>
        <w:spacing w:after="0" w:line="360" w:lineRule="auto"/>
        <w:contextualSpacing/>
        <w:jc w:val="both"/>
        <w:rPr>
          <w:rFonts w:ascii="Arial" w:hAnsi="Arial" w:cs="Arial"/>
          <w:sz w:val="24"/>
        </w:rPr>
      </w:pPr>
    </w:p>
    <w:p w:rsidR="00580EB1" w:rsidRPr="00BE0FAF" w:rsidRDefault="00580EB1" w:rsidP="00580EB1">
      <w:pPr>
        <w:spacing w:after="0" w:line="360" w:lineRule="auto"/>
        <w:contextualSpacing/>
        <w:jc w:val="both"/>
        <w:rPr>
          <w:rFonts w:ascii="Arial" w:hAnsi="Arial" w:cs="Arial"/>
          <w:b/>
          <w:sz w:val="24"/>
        </w:rPr>
      </w:pPr>
      <w:r w:rsidRPr="00BE0FAF">
        <w:rPr>
          <w:rFonts w:ascii="Arial" w:hAnsi="Arial" w:cs="Arial"/>
          <w:b/>
          <w:sz w:val="24"/>
        </w:rPr>
        <w:t>Acción(es) o recomendación(es) emitida(s)</w:t>
      </w:r>
    </w:p>
    <w:p w:rsidR="00580EB1" w:rsidRPr="00BE0FAF" w:rsidRDefault="00580EB1" w:rsidP="00580EB1">
      <w:pPr>
        <w:spacing w:after="0" w:line="360" w:lineRule="auto"/>
        <w:contextualSpacing/>
        <w:jc w:val="both"/>
        <w:rPr>
          <w:rFonts w:ascii="Arial" w:hAnsi="Arial" w:cs="Arial"/>
          <w:i/>
          <w:sz w:val="24"/>
        </w:rPr>
      </w:pPr>
      <w:r w:rsidRPr="00BE0FAF">
        <w:rPr>
          <w:rFonts w:ascii="Arial" w:hAnsi="Arial" w:cs="Arial"/>
          <w:i/>
          <w:sz w:val="24"/>
        </w:rPr>
        <w:lastRenderedPageBreak/>
        <w:t>Promoción de Fincamiento de Responsabilidad Administrativa.</w:t>
      </w:r>
    </w:p>
    <w:p w:rsidR="00BE0FAF" w:rsidRDefault="00BE0FAF" w:rsidP="00580EB1">
      <w:pPr>
        <w:spacing w:after="0" w:line="360" w:lineRule="auto"/>
        <w:contextualSpacing/>
        <w:jc w:val="both"/>
        <w:rPr>
          <w:rFonts w:ascii="Arial" w:hAnsi="Arial" w:cs="Arial"/>
          <w:sz w:val="24"/>
        </w:rPr>
      </w:pPr>
    </w:p>
    <w:p w:rsidR="00BE0FAF" w:rsidRDefault="00580EB1" w:rsidP="00580EB1">
      <w:pPr>
        <w:spacing w:after="0" w:line="360" w:lineRule="auto"/>
        <w:contextualSpacing/>
        <w:jc w:val="both"/>
        <w:rPr>
          <w:rFonts w:ascii="Arial" w:hAnsi="Arial" w:cs="Arial"/>
          <w:sz w:val="24"/>
        </w:rPr>
      </w:pPr>
      <w:r w:rsidRPr="00BE0FAF">
        <w:rPr>
          <w:rFonts w:ascii="Arial" w:hAnsi="Arial" w:cs="Arial"/>
          <w:b/>
          <w:sz w:val="24"/>
        </w:rPr>
        <w:t>3.</w:t>
      </w:r>
      <w:r w:rsidRPr="00580EB1">
        <w:rPr>
          <w:rFonts w:ascii="Arial" w:hAnsi="Arial" w:cs="Arial"/>
          <w:sz w:val="24"/>
        </w:rPr>
        <w:t xml:space="preserve"> El Fideicomiso ejerció su presupuesto durante cuatro mese</w:t>
      </w:r>
      <w:r w:rsidR="00BE0FAF">
        <w:rPr>
          <w:rFonts w:ascii="Arial" w:hAnsi="Arial" w:cs="Arial"/>
          <w:sz w:val="24"/>
        </w:rPr>
        <w:t xml:space="preserve">s: de enero a abril de 2015 sin </w:t>
      </w:r>
      <w:r w:rsidRPr="00580EB1">
        <w:rPr>
          <w:rFonts w:ascii="Arial" w:hAnsi="Arial" w:cs="Arial"/>
          <w:sz w:val="24"/>
        </w:rPr>
        <w:t>aprobación, debido a que fue autorizado por el Comité Técnico</w:t>
      </w:r>
      <w:r w:rsidR="00BE0FAF">
        <w:rPr>
          <w:rFonts w:ascii="Arial" w:hAnsi="Arial" w:cs="Arial"/>
          <w:sz w:val="24"/>
        </w:rPr>
        <w:t xml:space="preserve"> en el acta de sesión ordinaria </w:t>
      </w:r>
      <w:r w:rsidRPr="00580EB1">
        <w:rPr>
          <w:rFonts w:ascii="Arial" w:hAnsi="Arial" w:cs="Arial"/>
          <w:sz w:val="24"/>
        </w:rPr>
        <w:t xml:space="preserve">62 del 30 de abril de 2015, contraviniendo los artículos 38 </w:t>
      </w:r>
      <w:r w:rsidR="00BE0FAF">
        <w:rPr>
          <w:rFonts w:ascii="Arial" w:hAnsi="Arial" w:cs="Arial"/>
          <w:sz w:val="24"/>
        </w:rPr>
        <w:t xml:space="preserve">y 154 párrafo segundo de la Ley </w:t>
      </w:r>
      <w:r w:rsidRPr="00580EB1">
        <w:rPr>
          <w:rFonts w:ascii="Arial" w:hAnsi="Arial" w:cs="Arial"/>
          <w:sz w:val="24"/>
        </w:rPr>
        <w:t>de Administración Financiera para el Estado de Nuevo León.</w:t>
      </w:r>
      <w:r w:rsidR="00BE0FAF">
        <w:rPr>
          <w:rFonts w:ascii="Arial" w:hAnsi="Arial" w:cs="Arial"/>
          <w:sz w:val="24"/>
        </w:rPr>
        <w:t xml:space="preserve"> </w:t>
      </w:r>
    </w:p>
    <w:p w:rsidR="00BE0FAF" w:rsidRDefault="00BE0FAF" w:rsidP="00580EB1">
      <w:pPr>
        <w:spacing w:after="0" w:line="360" w:lineRule="auto"/>
        <w:contextualSpacing/>
        <w:jc w:val="both"/>
        <w:rPr>
          <w:rFonts w:ascii="Arial" w:hAnsi="Arial" w:cs="Arial"/>
          <w:sz w:val="24"/>
        </w:rPr>
      </w:pPr>
    </w:p>
    <w:p w:rsidR="00580EB1" w:rsidRPr="00BE0FAF" w:rsidRDefault="00580EB1" w:rsidP="00580EB1">
      <w:pPr>
        <w:spacing w:after="0" w:line="360" w:lineRule="auto"/>
        <w:contextualSpacing/>
        <w:jc w:val="both"/>
        <w:rPr>
          <w:rFonts w:ascii="Arial" w:hAnsi="Arial" w:cs="Arial"/>
          <w:b/>
          <w:sz w:val="24"/>
        </w:rPr>
      </w:pPr>
      <w:r w:rsidRPr="00BE0FAF">
        <w:rPr>
          <w:rFonts w:ascii="Arial" w:hAnsi="Arial" w:cs="Arial"/>
          <w:b/>
          <w:sz w:val="24"/>
        </w:rPr>
        <w:t>Acción(es) o recomendación(es) emitida(s)</w:t>
      </w:r>
    </w:p>
    <w:p w:rsidR="00580EB1" w:rsidRPr="00BE0FAF" w:rsidRDefault="00580EB1" w:rsidP="00580EB1">
      <w:pPr>
        <w:spacing w:after="0" w:line="360" w:lineRule="auto"/>
        <w:contextualSpacing/>
        <w:jc w:val="both"/>
        <w:rPr>
          <w:rFonts w:ascii="Arial" w:hAnsi="Arial" w:cs="Arial"/>
          <w:i/>
          <w:sz w:val="24"/>
        </w:rPr>
      </w:pPr>
      <w:r w:rsidRPr="00BE0FAF">
        <w:rPr>
          <w:rFonts w:ascii="Arial" w:hAnsi="Arial" w:cs="Arial"/>
          <w:i/>
          <w:sz w:val="24"/>
        </w:rPr>
        <w:t>Promoción de Fincamiento de Responsabilidad Administrativa.</w:t>
      </w:r>
    </w:p>
    <w:p w:rsidR="00BE0FAF" w:rsidRDefault="00BE0FAF" w:rsidP="00580EB1">
      <w:pPr>
        <w:spacing w:after="0" w:line="360" w:lineRule="auto"/>
        <w:contextualSpacing/>
        <w:jc w:val="both"/>
        <w:rPr>
          <w:rFonts w:ascii="Arial" w:hAnsi="Arial" w:cs="Arial"/>
          <w:sz w:val="24"/>
        </w:rPr>
      </w:pPr>
    </w:p>
    <w:p w:rsidR="00BE0FAF" w:rsidRDefault="00580EB1" w:rsidP="00580EB1">
      <w:pPr>
        <w:spacing w:after="0" w:line="360" w:lineRule="auto"/>
        <w:contextualSpacing/>
        <w:jc w:val="both"/>
        <w:rPr>
          <w:rFonts w:ascii="Arial" w:hAnsi="Arial" w:cs="Arial"/>
          <w:sz w:val="24"/>
        </w:rPr>
      </w:pPr>
      <w:r w:rsidRPr="00BE0FAF">
        <w:rPr>
          <w:rFonts w:ascii="Arial" w:hAnsi="Arial" w:cs="Arial"/>
          <w:b/>
          <w:sz w:val="24"/>
        </w:rPr>
        <w:t>4.</w:t>
      </w:r>
      <w:r w:rsidRPr="00580EB1">
        <w:rPr>
          <w:rFonts w:ascii="Arial" w:hAnsi="Arial" w:cs="Arial"/>
          <w:sz w:val="24"/>
        </w:rPr>
        <w:t xml:space="preserve"> El Fideicomiso no ha formalizado los beneficios y ob</w:t>
      </w:r>
      <w:r w:rsidR="00BE0FAF">
        <w:rPr>
          <w:rFonts w:ascii="Arial" w:hAnsi="Arial" w:cs="Arial"/>
          <w:sz w:val="24"/>
        </w:rPr>
        <w:t xml:space="preserve">ligaciones con las dependencias </w:t>
      </w:r>
      <w:r w:rsidRPr="00580EB1">
        <w:rPr>
          <w:rFonts w:ascii="Arial" w:hAnsi="Arial" w:cs="Arial"/>
          <w:sz w:val="24"/>
        </w:rPr>
        <w:t>beneficiadas por los préstamos que realizan, incumpliendo c</w:t>
      </w:r>
      <w:r w:rsidR="00BE0FAF">
        <w:rPr>
          <w:rFonts w:ascii="Arial" w:hAnsi="Arial" w:cs="Arial"/>
          <w:sz w:val="24"/>
        </w:rPr>
        <w:t xml:space="preserve">on lo establecido en el Acta de </w:t>
      </w:r>
      <w:r w:rsidRPr="00580EB1">
        <w:rPr>
          <w:rFonts w:ascii="Arial" w:hAnsi="Arial" w:cs="Arial"/>
          <w:sz w:val="24"/>
        </w:rPr>
        <w:t>sesión ordinaria del Comité Técnico del Fideicomiso número</w:t>
      </w:r>
      <w:r w:rsidR="00BE0FAF">
        <w:rPr>
          <w:rFonts w:ascii="Arial" w:hAnsi="Arial" w:cs="Arial"/>
          <w:sz w:val="24"/>
        </w:rPr>
        <w:t xml:space="preserve"> 62, que menciona lo siguiente: </w:t>
      </w:r>
    </w:p>
    <w:p w:rsidR="00BE0FAF" w:rsidRDefault="00BE0FAF" w:rsidP="00580EB1">
      <w:pPr>
        <w:spacing w:after="0" w:line="360" w:lineRule="auto"/>
        <w:contextualSpacing/>
        <w:jc w:val="both"/>
        <w:rPr>
          <w:rFonts w:ascii="Arial" w:hAnsi="Arial" w:cs="Arial"/>
          <w:sz w:val="24"/>
        </w:rPr>
      </w:pPr>
    </w:p>
    <w:p w:rsidR="00580EB1" w:rsidRPr="00580EB1" w:rsidRDefault="00580EB1" w:rsidP="00580EB1">
      <w:pPr>
        <w:spacing w:after="0" w:line="360" w:lineRule="auto"/>
        <w:contextualSpacing/>
        <w:jc w:val="both"/>
        <w:rPr>
          <w:rFonts w:ascii="Arial" w:hAnsi="Arial" w:cs="Arial"/>
          <w:sz w:val="24"/>
        </w:rPr>
      </w:pPr>
      <w:r w:rsidRPr="00580EB1">
        <w:rPr>
          <w:rFonts w:ascii="Arial" w:hAnsi="Arial" w:cs="Arial"/>
          <w:sz w:val="24"/>
        </w:rPr>
        <w:t>d.- Convenio de Adhesión de dependencias y organismos</w:t>
      </w:r>
    </w:p>
    <w:p w:rsidR="00580EB1" w:rsidRPr="00580EB1" w:rsidRDefault="00580EB1" w:rsidP="00580EB1">
      <w:pPr>
        <w:spacing w:after="0" w:line="360" w:lineRule="auto"/>
        <w:contextualSpacing/>
        <w:jc w:val="both"/>
        <w:rPr>
          <w:rFonts w:ascii="Arial" w:hAnsi="Arial" w:cs="Arial"/>
          <w:sz w:val="24"/>
        </w:rPr>
      </w:pPr>
      <w:r w:rsidRPr="00580EB1">
        <w:rPr>
          <w:rFonts w:ascii="Arial" w:hAnsi="Arial" w:cs="Arial"/>
          <w:sz w:val="24"/>
        </w:rPr>
        <w:t>Se solicita a este Comité, instruya al Director de Fovileon</w:t>
      </w:r>
      <w:r w:rsidR="00BE0FAF">
        <w:rPr>
          <w:rFonts w:ascii="Arial" w:hAnsi="Arial" w:cs="Arial"/>
          <w:sz w:val="24"/>
        </w:rPr>
        <w:t xml:space="preserve"> a que se formalice un convenio </w:t>
      </w:r>
      <w:r w:rsidRPr="00580EB1">
        <w:rPr>
          <w:rFonts w:ascii="Arial" w:hAnsi="Arial" w:cs="Arial"/>
          <w:sz w:val="24"/>
        </w:rPr>
        <w:t xml:space="preserve">de adhesión con las dependencias y organismos, sujetos </w:t>
      </w:r>
      <w:r w:rsidR="00BE0FAF">
        <w:rPr>
          <w:rFonts w:ascii="Arial" w:hAnsi="Arial" w:cs="Arial"/>
          <w:sz w:val="24"/>
        </w:rPr>
        <w:t xml:space="preserve">a beneficios y obligaciones con </w:t>
      </w:r>
      <w:r w:rsidRPr="00580EB1">
        <w:rPr>
          <w:rFonts w:ascii="Arial" w:hAnsi="Arial" w:cs="Arial"/>
          <w:sz w:val="24"/>
        </w:rPr>
        <w:t>el Fideicomiso.</w:t>
      </w:r>
    </w:p>
    <w:p w:rsidR="00BE0FAF" w:rsidRDefault="00BE0FAF" w:rsidP="00580EB1">
      <w:pPr>
        <w:spacing w:after="0" w:line="360" w:lineRule="auto"/>
        <w:contextualSpacing/>
        <w:jc w:val="both"/>
        <w:rPr>
          <w:rFonts w:ascii="Arial" w:hAnsi="Arial" w:cs="Arial"/>
          <w:sz w:val="24"/>
        </w:rPr>
      </w:pPr>
    </w:p>
    <w:p w:rsidR="00580EB1" w:rsidRPr="00580EB1" w:rsidRDefault="00580EB1" w:rsidP="00580EB1">
      <w:pPr>
        <w:spacing w:after="0" w:line="360" w:lineRule="auto"/>
        <w:contextualSpacing/>
        <w:jc w:val="both"/>
        <w:rPr>
          <w:rFonts w:ascii="Arial" w:hAnsi="Arial" w:cs="Arial"/>
          <w:sz w:val="24"/>
        </w:rPr>
      </w:pPr>
      <w:r w:rsidRPr="00580EB1">
        <w:rPr>
          <w:rFonts w:ascii="Arial" w:hAnsi="Arial" w:cs="Arial"/>
          <w:sz w:val="24"/>
        </w:rPr>
        <w:t>ACUERDO</w:t>
      </w:r>
    </w:p>
    <w:p w:rsidR="00580EB1" w:rsidRPr="00BE0FAF" w:rsidRDefault="00580EB1" w:rsidP="00580EB1">
      <w:pPr>
        <w:spacing w:after="0" w:line="360" w:lineRule="auto"/>
        <w:contextualSpacing/>
        <w:jc w:val="both"/>
        <w:rPr>
          <w:rFonts w:ascii="Arial" w:hAnsi="Arial" w:cs="Arial"/>
          <w:i/>
          <w:sz w:val="24"/>
        </w:rPr>
      </w:pPr>
      <w:r w:rsidRPr="00BE0FAF">
        <w:rPr>
          <w:rFonts w:ascii="Arial" w:hAnsi="Arial" w:cs="Arial"/>
          <w:i/>
          <w:sz w:val="24"/>
        </w:rPr>
        <w:t>Se autoriza se realice el convenio de adhesión con las de</w:t>
      </w:r>
      <w:r w:rsidR="00BE0FAF" w:rsidRPr="00BE0FAF">
        <w:rPr>
          <w:rFonts w:ascii="Arial" w:hAnsi="Arial" w:cs="Arial"/>
          <w:i/>
          <w:sz w:val="24"/>
        </w:rPr>
        <w:t xml:space="preserve">pendencias y organismos sujetos </w:t>
      </w:r>
      <w:r w:rsidRPr="00BE0FAF">
        <w:rPr>
          <w:rFonts w:ascii="Arial" w:hAnsi="Arial" w:cs="Arial"/>
          <w:i/>
          <w:sz w:val="24"/>
        </w:rPr>
        <w:t>a beneficios y obligaciones con el Fideicomiso.</w:t>
      </w:r>
    </w:p>
    <w:p w:rsidR="00BE0FAF" w:rsidRDefault="00BE0FAF" w:rsidP="00580EB1">
      <w:pPr>
        <w:spacing w:after="0" w:line="360" w:lineRule="auto"/>
        <w:contextualSpacing/>
        <w:jc w:val="both"/>
        <w:rPr>
          <w:rFonts w:ascii="Arial" w:hAnsi="Arial" w:cs="Arial"/>
          <w:sz w:val="24"/>
        </w:rPr>
      </w:pPr>
    </w:p>
    <w:p w:rsidR="00580EB1" w:rsidRPr="00BE0FAF" w:rsidRDefault="00580EB1" w:rsidP="00580EB1">
      <w:pPr>
        <w:spacing w:after="0" w:line="360" w:lineRule="auto"/>
        <w:contextualSpacing/>
        <w:jc w:val="both"/>
        <w:rPr>
          <w:rFonts w:ascii="Arial" w:hAnsi="Arial" w:cs="Arial"/>
          <w:b/>
          <w:sz w:val="24"/>
        </w:rPr>
      </w:pPr>
      <w:r w:rsidRPr="00BE0FAF">
        <w:rPr>
          <w:rFonts w:ascii="Arial" w:hAnsi="Arial" w:cs="Arial"/>
          <w:b/>
          <w:sz w:val="24"/>
        </w:rPr>
        <w:lastRenderedPageBreak/>
        <w:t>Análisis de la Auditoría Superior del Estado</w:t>
      </w:r>
    </w:p>
    <w:p w:rsidR="00580EB1" w:rsidRPr="00580EB1" w:rsidRDefault="00580EB1" w:rsidP="00580EB1">
      <w:pPr>
        <w:spacing w:after="0" w:line="360" w:lineRule="auto"/>
        <w:contextualSpacing/>
        <w:jc w:val="both"/>
        <w:rPr>
          <w:rFonts w:ascii="Arial" w:hAnsi="Arial" w:cs="Arial"/>
          <w:sz w:val="24"/>
        </w:rPr>
      </w:pPr>
      <w:r w:rsidRPr="00580EB1">
        <w:rPr>
          <w:rFonts w:ascii="Arial" w:hAnsi="Arial" w:cs="Arial"/>
          <w:sz w:val="24"/>
        </w:rPr>
        <w:t>Derivado del análisis de la respuesta y la evidencia pre</w:t>
      </w:r>
      <w:r w:rsidR="00BE0FAF">
        <w:rPr>
          <w:rFonts w:ascii="Arial" w:hAnsi="Arial" w:cs="Arial"/>
          <w:sz w:val="24"/>
        </w:rPr>
        <w:t xml:space="preserve">sentada por el Ente Público, se </w:t>
      </w:r>
      <w:r w:rsidRPr="00580EB1">
        <w:rPr>
          <w:rFonts w:ascii="Arial" w:hAnsi="Arial" w:cs="Arial"/>
          <w:sz w:val="24"/>
        </w:rPr>
        <w:t>solventa parcialmente lo observado, ya que se anexa</w:t>
      </w:r>
      <w:r w:rsidR="00BE0FAF">
        <w:rPr>
          <w:rFonts w:ascii="Arial" w:hAnsi="Arial" w:cs="Arial"/>
          <w:sz w:val="24"/>
        </w:rPr>
        <w:t xml:space="preserve">n convenios de adhesión con las </w:t>
      </w:r>
      <w:r w:rsidRPr="00580EB1">
        <w:rPr>
          <w:rFonts w:ascii="Arial" w:hAnsi="Arial" w:cs="Arial"/>
          <w:sz w:val="24"/>
        </w:rPr>
        <w:t>Dependencias y Organismos sujetos a los beneficios y oblig</w:t>
      </w:r>
      <w:r w:rsidR="00BE0FAF">
        <w:rPr>
          <w:rFonts w:ascii="Arial" w:hAnsi="Arial" w:cs="Arial"/>
          <w:sz w:val="24"/>
        </w:rPr>
        <w:t xml:space="preserve">aciones con el Fideicomiso, sin </w:t>
      </w:r>
      <w:r w:rsidRPr="00580EB1">
        <w:rPr>
          <w:rFonts w:ascii="Arial" w:hAnsi="Arial" w:cs="Arial"/>
          <w:sz w:val="24"/>
        </w:rPr>
        <w:t>embargo falta formalizar dichos convenios con los Entes respectivos.</w:t>
      </w:r>
    </w:p>
    <w:p w:rsidR="00BE0FAF" w:rsidRDefault="00BE0FAF" w:rsidP="00580EB1">
      <w:pPr>
        <w:spacing w:after="0" w:line="360" w:lineRule="auto"/>
        <w:contextualSpacing/>
        <w:jc w:val="both"/>
        <w:rPr>
          <w:rFonts w:ascii="Arial" w:hAnsi="Arial" w:cs="Arial"/>
          <w:sz w:val="24"/>
        </w:rPr>
      </w:pPr>
    </w:p>
    <w:p w:rsidR="00580EB1" w:rsidRPr="00BE0FAF" w:rsidRDefault="00580EB1" w:rsidP="00580EB1">
      <w:pPr>
        <w:spacing w:after="0" w:line="360" w:lineRule="auto"/>
        <w:contextualSpacing/>
        <w:jc w:val="both"/>
        <w:rPr>
          <w:rFonts w:ascii="Arial" w:hAnsi="Arial" w:cs="Arial"/>
          <w:b/>
          <w:sz w:val="24"/>
        </w:rPr>
      </w:pPr>
      <w:r w:rsidRPr="00BE0FAF">
        <w:rPr>
          <w:rFonts w:ascii="Arial" w:hAnsi="Arial" w:cs="Arial"/>
          <w:b/>
          <w:sz w:val="24"/>
        </w:rPr>
        <w:t>Acción(es) o recomendación(es) emitida(s)</w:t>
      </w:r>
    </w:p>
    <w:p w:rsidR="00580EB1" w:rsidRPr="00580EB1" w:rsidRDefault="00580EB1" w:rsidP="00580EB1">
      <w:pPr>
        <w:spacing w:after="0" w:line="360" w:lineRule="auto"/>
        <w:contextualSpacing/>
        <w:jc w:val="both"/>
        <w:rPr>
          <w:rFonts w:ascii="Arial" w:hAnsi="Arial" w:cs="Arial"/>
          <w:sz w:val="24"/>
        </w:rPr>
      </w:pPr>
      <w:r w:rsidRPr="00580EB1">
        <w:rPr>
          <w:rFonts w:ascii="Arial" w:hAnsi="Arial" w:cs="Arial"/>
          <w:sz w:val="24"/>
        </w:rPr>
        <w:t>Recomendaciones en Relación a la Gestión o Control Interno.</w:t>
      </w:r>
    </w:p>
    <w:p w:rsidR="00BE0FAF" w:rsidRDefault="00BE0FAF" w:rsidP="00580EB1">
      <w:pPr>
        <w:spacing w:after="0" w:line="360" w:lineRule="auto"/>
        <w:contextualSpacing/>
        <w:jc w:val="both"/>
        <w:rPr>
          <w:rFonts w:ascii="Arial" w:hAnsi="Arial" w:cs="Arial"/>
          <w:sz w:val="24"/>
        </w:rPr>
      </w:pPr>
    </w:p>
    <w:p w:rsidR="00580EB1" w:rsidRPr="00BE0FAF" w:rsidRDefault="00580EB1" w:rsidP="00580EB1">
      <w:pPr>
        <w:spacing w:after="0" w:line="360" w:lineRule="auto"/>
        <w:contextualSpacing/>
        <w:jc w:val="both"/>
        <w:rPr>
          <w:rFonts w:ascii="Arial" w:hAnsi="Arial" w:cs="Arial"/>
          <w:b/>
          <w:sz w:val="24"/>
        </w:rPr>
      </w:pPr>
      <w:r w:rsidRPr="00BE0FAF">
        <w:rPr>
          <w:rFonts w:ascii="Arial" w:hAnsi="Arial" w:cs="Arial"/>
          <w:b/>
          <w:sz w:val="24"/>
        </w:rPr>
        <w:t>ACTIVO</w:t>
      </w:r>
    </w:p>
    <w:p w:rsidR="00580EB1" w:rsidRPr="00BE0FAF" w:rsidRDefault="00580EB1" w:rsidP="00580EB1">
      <w:pPr>
        <w:spacing w:after="0" w:line="360" w:lineRule="auto"/>
        <w:contextualSpacing/>
        <w:jc w:val="both"/>
        <w:rPr>
          <w:rFonts w:ascii="Arial" w:hAnsi="Arial" w:cs="Arial"/>
          <w:b/>
          <w:sz w:val="24"/>
          <w:u w:val="single"/>
        </w:rPr>
      </w:pPr>
      <w:r w:rsidRPr="00BE0FAF">
        <w:rPr>
          <w:rFonts w:ascii="Arial" w:hAnsi="Arial" w:cs="Arial"/>
          <w:b/>
          <w:sz w:val="24"/>
          <w:u w:val="single"/>
        </w:rPr>
        <w:t>Activo circulante</w:t>
      </w:r>
    </w:p>
    <w:p w:rsidR="00580EB1" w:rsidRPr="00BE0FAF" w:rsidRDefault="00580EB1" w:rsidP="00580EB1">
      <w:pPr>
        <w:spacing w:after="0" w:line="360" w:lineRule="auto"/>
        <w:contextualSpacing/>
        <w:jc w:val="both"/>
        <w:rPr>
          <w:rFonts w:ascii="Arial" w:hAnsi="Arial" w:cs="Arial"/>
          <w:b/>
          <w:sz w:val="24"/>
          <w:u w:val="single"/>
        </w:rPr>
      </w:pPr>
      <w:r w:rsidRPr="00BE0FAF">
        <w:rPr>
          <w:rFonts w:ascii="Arial" w:hAnsi="Arial" w:cs="Arial"/>
          <w:b/>
          <w:sz w:val="24"/>
          <w:u w:val="single"/>
        </w:rPr>
        <w:t>Efectivo y equivalentes</w:t>
      </w:r>
    </w:p>
    <w:p w:rsidR="00580EB1" w:rsidRPr="00BE0FAF" w:rsidRDefault="00580EB1" w:rsidP="00580EB1">
      <w:pPr>
        <w:spacing w:after="0" w:line="360" w:lineRule="auto"/>
        <w:contextualSpacing/>
        <w:jc w:val="both"/>
        <w:rPr>
          <w:rFonts w:ascii="Arial" w:hAnsi="Arial" w:cs="Arial"/>
          <w:b/>
          <w:sz w:val="24"/>
          <w:u w:val="single"/>
        </w:rPr>
      </w:pPr>
      <w:r w:rsidRPr="00BE0FAF">
        <w:rPr>
          <w:rFonts w:ascii="Arial" w:hAnsi="Arial" w:cs="Arial"/>
          <w:b/>
          <w:sz w:val="24"/>
          <w:u w:val="single"/>
        </w:rPr>
        <w:t>Inversiones temporales</w:t>
      </w:r>
    </w:p>
    <w:p w:rsidR="00580EB1" w:rsidRPr="00580EB1" w:rsidRDefault="00580EB1" w:rsidP="00580EB1">
      <w:pPr>
        <w:spacing w:after="0" w:line="360" w:lineRule="auto"/>
        <w:contextualSpacing/>
        <w:jc w:val="both"/>
        <w:rPr>
          <w:rFonts w:ascii="Arial" w:hAnsi="Arial" w:cs="Arial"/>
          <w:sz w:val="24"/>
        </w:rPr>
      </w:pPr>
      <w:r w:rsidRPr="00BE0FAF">
        <w:rPr>
          <w:rFonts w:ascii="Arial" w:hAnsi="Arial" w:cs="Arial"/>
          <w:b/>
          <w:sz w:val="24"/>
        </w:rPr>
        <w:t>5.</w:t>
      </w:r>
      <w:r w:rsidRPr="00580EB1">
        <w:rPr>
          <w:rFonts w:ascii="Arial" w:hAnsi="Arial" w:cs="Arial"/>
          <w:sz w:val="24"/>
        </w:rPr>
        <w:t xml:space="preserve"> Durante la revisión a la conciliación bancaria del contrat</w:t>
      </w:r>
      <w:r w:rsidR="00BE0FAF">
        <w:rPr>
          <w:rFonts w:ascii="Arial" w:hAnsi="Arial" w:cs="Arial"/>
          <w:sz w:val="24"/>
        </w:rPr>
        <w:t xml:space="preserve">o de inversión y administración </w:t>
      </w:r>
      <w:r w:rsidRPr="00580EB1">
        <w:rPr>
          <w:rFonts w:ascii="Arial" w:hAnsi="Arial" w:cs="Arial"/>
          <w:sz w:val="24"/>
        </w:rPr>
        <w:t>F18902 7 (subcuenta 1) del Fideicomiso, se detect</w:t>
      </w:r>
      <w:r w:rsidR="00BE0FAF">
        <w:rPr>
          <w:rFonts w:ascii="Arial" w:hAnsi="Arial" w:cs="Arial"/>
          <w:sz w:val="24"/>
        </w:rPr>
        <w:t xml:space="preserve">aron movimientos en tránsito no </w:t>
      </w:r>
      <w:r w:rsidRPr="00580EB1">
        <w:rPr>
          <w:rFonts w:ascii="Arial" w:hAnsi="Arial" w:cs="Arial"/>
          <w:sz w:val="24"/>
        </w:rPr>
        <w:t>registrados en contabilidad con antigüedad mayor a u</w:t>
      </w:r>
      <w:r w:rsidR="00BE0FAF">
        <w:rPr>
          <w:rFonts w:ascii="Arial" w:hAnsi="Arial" w:cs="Arial"/>
          <w:sz w:val="24"/>
        </w:rPr>
        <w:t xml:space="preserve">n año, los cuales se detallan a </w:t>
      </w:r>
      <w:r w:rsidRPr="00580EB1">
        <w:rPr>
          <w:rFonts w:ascii="Arial" w:hAnsi="Arial" w:cs="Arial"/>
          <w:sz w:val="24"/>
        </w:rPr>
        <w:t>continuación:</w:t>
      </w:r>
    </w:p>
    <w:p w:rsidR="00580EB1" w:rsidRPr="00580EB1" w:rsidRDefault="00580EB1" w:rsidP="00580EB1">
      <w:pPr>
        <w:pStyle w:val="Prrafodelista"/>
        <w:numPr>
          <w:ilvl w:val="0"/>
          <w:numId w:val="45"/>
        </w:numPr>
        <w:spacing w:after="0" w:line="360" w:lineRule="auto"/>
        <w:contextualSpacing/>
        <w:jc w:val="both"/>
        <w:rPr>
          <w:rFonts w:ascii="Arial" w:hAnsi="Arial" w:cs="Arial"/>
          <w:sz w:val="24"/>
        </w:rPr>
      </w:pPr>
      <w:r w:rsidRPr="00580EB1">
        <w:rPr>
          <w:rFonts w:ascii="Arial" w:hAnsi="Arial" w:cs="Arial"/>
          <w:sz w:val="24"/>
        </w:rPr>
        <w:t>Cargos bancarios no registrados en libros:</w:t>
      </w:r>
    </w:p>
    <w:p w:rsidR="00580EB1" w:rsidRDefault="00580EB1" w:rsidP="00580EB1">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53355" cy="1492950"/>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1492950"/>
                    </a:xfrm>
                    <a:prstGeom prst="rect">
                      <a:avLst/>
                    </a:prstGeom>
                    <a:noFill/>
                    <a:ln>
                      <a:noFill/>
                    </a:ln>
                  </pic:spPr>
                </pic:pic>
              </a:graphicData>
            </a:graphic>
          </wp:inline>
        </w:drawing>
      </w:r>
    </w:p>
    <w:p w:rsidR="00580EB1" w:rsidRDefault="00580EB1" w:rsidP="00580EB1">
      <w:pPr>
        <w:spacing w:after="0" w:line="360" w:lineRule="auto"/>
        <w:contextualSpacing/>
        <w:jc w:val="both"/>
        <w:rPr>
          <w:rFonts w:ascii="Arial" w:hAnsi="Arial" w:cs="Arial"/>
          <w:sz w:val="24"/>
        </w:rPr>
      </w:pPr>
    </w:p>
    <w:p w:rsidR="00580EB1" w:rsidRPr="00BE0FAF" w:rsidRDefault="00580EB1" w:rsidP="00BE0FAF">
      <w:pPr>
        <w:autoSpaceDE w:val="0"/>
        <w:autoSpaceDN w:val="0"/>
        <w:adjustRightInd w:val="0"/>
        <w:spacing w:after="0" w:line="360" w:lineRule="auto"/>
        <w:jc w:val="both"/>
        <w:rPr>
          <w:rFonts w:ascii="Arial" w:hAnsi="Arial" w:cs="Arial"/>
          <w:sz w:val="24"/>
          <w:szCs w:val="24"/>
          <w:lang w:val="es-MX" w:eastAsia="es-ES"/>
        </w:rPr>
      </w:pPr>
      <w:r w:rsidRPr="00BE0FAF">
        <w:rPr>
          <w:rFonts w:ascii="Arial" w:hAnsi="Arial" w:cs="Arial"/>
          <w:sz w:val="24"/>
          <w:szCs w:val="24"/>
          <w:lang w:val="es-MX" w:eastAsia="es-ES"/>
        </w:rPr>
        <w:t>Lo anterior en contravención a lo establecido en los artí</w:t>
      </w:r>
      <w:r w:rsidR="00BE0FAF" w:rsidRPr="00BE0FAF">
        <w:rPr>
          <w:rFonts w:ascii="Arial" w:hAnsi="Arial" w:cs="Arial"/>
          <w:sz w:val="24"/>
          <w:szCs w:val="24"/>
          <w:lang w:val="es-MX" w:eastAsia="es-ES"/>
        </w:rPr>
        <w:t xml:space="preserve">culos 47 primer </w:t>
      </w:r>
      <w:r w:rsidRPr="00BE0FAF">
        <w:rPr>
          <w:rFonts w:ascii="Arial" w:hAnsi="Arial" w:cs="Arial"/>
          <w:sz w:val="24"/>
          <w:szCs w:val="24"/>
          <w:lang w:val="es-MX" w:eastAsia="es-ES"/>
        </w:rPr>
        <w:t>pá</w:t>
      </w:r>
      <w:r w:rsidR="00BE0FAF" w:rsidRPr="00BE0FAF">
        <w:rPr>
          <w:rFonts w:ascii="Arial" w:hAnsi="Arial" w:cs="Arial"/>
          <w:sz w:val="24"/>
          <w:szCs w:val="24"/>
          <w:lang w:val="es-MX" w:eastAsia="es-ES"/>
        </w:rPr>
        <w:t xml:space="preserve">rrafo y 48 segundo </w:t>
      </w:r>
      <w:r w:rsidRPr="00BE0FAF">
        <w:rPr>
          <w:rFonts w:ascii="Arial" w:hAnsi="Arial" w:cs="Arial"/>
          <w:sz w:val="24"/>
          <w:szCs w:val="24"/>
          <w:lang w:val="es-MX" w:eastAsia="es-ES"/>
        </w:rPr>
        <w:t>párrafo de la Ley de Administració</w:t>
      </w:r>
      <w:r w:rsidR="00BE0FAF" w:rsidRPr="00BE0FAF">
        <w:rPr>
          <w:rFonts w:ascii="Arial" w:hAnsi="Arial" w:cs="Arial"/>
          <w:sz w:val="24"/>
          <w:szCs w:val="24"/>
          <w:lang w:val="es-MX" w:eastAsia="es-ES"/>
        </w:rPr>
        <w:t xml:space="preserve">n Financiera para el </w:t>
      </w:r>
      <w:r w:rsidRPr="00BE0FAF">
        <w:rPr>
          <w:rFonts w:ascii="Arial" w:hAnsi="Arial" w:cs="Arial"/>
          <w:sz w:val="24"/>
          <w:szCs w:val="24"/>
          <w:lang w:val="es-MX" w:eastAsia="es-ES"/>
        </w:rPr>
        <w:t xml:space="preserve">Estado de Nuevo León, 35 y 36 de </w:t>
      </w:r>
      <w:r w:rsidR="00BE0FAF" w:rsidRPr="00BE0FAF">
        <w:rPr>
          <w:rFonts w:ascii="Arial" w:hAnsi="Arial" w:cs="Arial"/>
          <w:sz w:val="24"/>
          <w:szCs w:val="24"/>
          <w:lang w:val="es-MX" w:eastAsia="es-ES"/>
        </w:rPr>
        <w:t xml:space="preserve">la Ley General de Contabilidad </w:t>
      </w:r>
      <w:r w:rsidRPr="00BE0FAF">
        <w:rPr>
          <w:rFonts w:ascii="Arial" w:hAnsi="Arial" w:cs="Arial"/>
          <w:sz w:val="24"/>
          <w:szCs w:val="24"/>
          <w:lang w:val="es-MX" w:eastAsia="es-ES"/>
        </w:rPr>
        <w:t>Gubernamental y 15 de la Ley de Fiscalización Superior del</w:t>
      </w:r>
      <w:r w:rsidR="00BE0FAF">
        <w:rPr>
          <w:rFonts w:ascii="Arial" w:hAnsi="Arial" w:cs="Arial"/>
          <w:sz w:val="24"/>
          <w:szCs w:val="24"/>
          <w:lang w:val="es-MX" w:eastAsia="es-ES"/>
        </w:rPr>
        <w:t xml:space="preserve"> </w:t>
      </w:r>
      <w:r w:rsidRPr="00BE0FAF">
        <w:rPr>
          <w:rFonts w:ascii="Arial" w:hAnsi="Arial" w:cs="Arial"/>
          <w:sz w:val="24"/>
          <w:szCs w:val="24"/>
          <w:lang w:val="es-MX" w:eastAsia="es-ES"/>
        </w:rPr>
        <w:t>Estado de Nuevo León.</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Esta observación ya ha sido señalada en repetidas ocasiones.</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Análisis de la Auditoría Superior del Estado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Derivado del análisis de la respuesta y evidencia prese</w:t>
      </w:r>
      <w:r w:rsidR="00BE0FAF">
        <w:rPr>
          <w:rFonts w:ascii="Arial" w:hAnsi="Arial" w:cs="Arial"/>
          <w:sz w:val="24"/>
          <w:szCs w:val="24"/>
          <w:lang w:val="es-MX" w:eastAsia="es-ES"/>
        </w:rPr>
        <w:t xml:space="preserve">ntada por el Ente público, ésta </w:t>
      </w:r>
      <w:r w:rsidRPr="00BE0FAF">
        <w:rPr>
          <w:rFonts w:ascii="Arial" w:hAnsi="Arial" w:cs="Arial"/>
          <w:sz w:val="24"/>
          <w:szCs w:val="24"/>
          <w:lang w:val="es-MX" w:eastAsia="es-ES"/>
        </w:rPr>
        <w:t>observación se solventa parcialmente, debido a que anexó la</w:t>
      </w:r>
      <w:r w:rsidR="00BE0FAF">
        <w:rPr>
          <w:rFonts w:ascii="Arial" w:hAnsi="Arial" w:cs="Arial"/>
          <w:sz w:val="24"/>
          <w:szCs w:val="24"/>
          <w:lang w:val="es-MX" w:eastAsia="es-ES"/>
        </w:rPr>
        <w:t xml:space="preserve"> conciliación depurando saldos, </w:t>
      </w:r>
      <w:r w:rsidRPr="00BE0FAF">
        <w:rPr>
          <w:rFonts w:ascii="Arial" w:hAnsi="Arial" w:cs="Arial"/>
          <w:sz w:val="24"/>
          <w:szCs w:val="24"/>
          <w:lang w:val="es-MX" w:eastAsia="es-ES"/>
        </w:rPr>
        <w:t xml:space="preserve">sin embargo no envía el soporte documental del proceso </w:t>
      </w:r>
      <w:r w:rsidR="00BE0FAF">
        <w:rPr>
          <w:rFonts w:ascii="Arial" w:hAnsi="Arial" w:cs="Arial"/>
          <w:sz w:val="24"/>
          <w:szCs w:val="24"/>
          <w:lang w:val="es-MX" w:eastAsia="es-ES"/>
        </w:rPr>
        <w:t xml:space="preserve">mediante el cual se autorizó la </w:t>
      </w:r>
      <w:r w:rsidRPr="00BE0FAF">
        <w:rPr>
          <w:rFonts w:ascii="Arial" w:hAnsi="Arial" w:cs="Arial"/>
          <w:sz w:val="24"/>
          <w:szCs w:val="24"/>
          <w:lang w:val="es-MX" w:eastAsia="es-ES"/>
        </w:rPr>
        <w:t>cancelación de los movimientos en tránsito mencionados en la respuesta.</w:t>
      </w:r>
    </w:p>
    <w:p w:rsidR="00580EB1" w:rsidRPr="00BE0FAF" w:rsidRDefault="00BE0FAF" w:rsidP="00BE0FAF">
      <w:pPr>
        <w:spacing w:after="0" w:line="360" w:lineRule="auto"/>
        <w:contextualSpacing/>
        <w:jc w:val="both"/>
        <w:rPr>
          <w:rFonts w:ascii="Arial" w:hAnsi="Arial" w:cs="Arial"/>
          <w:sz w:val="24"/>
          <w:szCs w:val="24"/>
          <w:lang w:val="es-MX" w:eastAsia="es-ES"/>
        </w:rPr>
      </w:pPr>
      <w:r>
        <w:rPr>
          <w:rFonts w:ascii="Arial" w:hAnsi="Arial" w:cs="Arial"/>
          <w:sz w:val="24"/>
          <w:szCs w:val="24"/>
          <w:lang w:val="es-MX" w:eastAsia="es-ES"/>
        </w:rPr>
        <w:t>El</w:t>
      </w:r>
      <w:r w:rsidR="00580EB1" w:rsidRPr="00BE0FAF">
        <w:rPr>
          <w:rFonts w:ascii="Arial" w:hAnsi="Arial" w:cs="Arial"/>
          <w:sz w:val="24"/>
          <w:szCs w:val="24"/>
          <w:lang w:val="es-MX" w:eastAsia="es-ES"/>
        </w:rPr>
        <w:t xml:space="preserve"> Órgano de Fiscalización dará seguimiento en la revisión de la Cuenta Pública 2016</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Acción(es) o recomendación(es) emitida(s)</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Promoción de Fincamiento de Responsabilidad Administrativa.</w:t>
      </w:r>
    </w:p>
    <w:p w:rsidR="00BE0FAF" w:rsidRDefault="00BE0FAF" w:rsidP="00BE0FAF">
      <w:pPr>
        <w:spacing w:after="0" w:line="360" w:lineRule="auto"/>
        <w:contextualSpacing/>
        <w:jc w:val="both"/>
        <w:rPr>
          <w:rFonts w:ascii="Arial" w:hAnsi="Arial" w:cs="Arial"/>
          <w:sz w:val="24"/>
          <w:szCs w:val="24"/>
          <w:lang w:val="es-MX" w:eastAsia="es-ES"/>
        </w:rPr>
      </w:pP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Derechos a recibir efectivo o equivalentes</w:t>
      </w: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Cuentas por cobrar a corto plazo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b/>
          <w:sz w:val="24"/>
          <w:szCs w:val="24"/>
          <w:lang w:val="es-MX" w:eastAsia="es-ES"/>
        </w:rPr>
        <w:lastRenderedPageBreak/>
        <w:t>6.</w:t>
      </w:r>
      <w:r w:rsidRPr="00BE0FAF">
        <w:rPr>
          <w:rFonts w:ascii="Arial" w:hAnsi="Arial" w:cs="Arial"/>
          <w:sz w:val="24"/>
          <w:szCs w:val="24"/>
          <w:lang w:val="es-MX" w:eastAsia="es-ES"/>
        </w:rPr>
        <w:t xml:space="preserve"> Durante el proceso de auditoría se detectaron 39 casos en</w:t>
      </w:r>
      <w:r w:rsidR="00BE0FAF">
        <w:rPr>
          <w:rFonts w:ascii="Arial" w:hAnsi="Arial" w:cs="Arial"/>
          <w:sz w:val="24"/>
          <w:szCs w:val="24"/>
          <w:lang w:val="es-MX" w:eastAsia="es-ES"/>
        </w:rPr>
        <w:t xml:space="preserve"> los cuales el servidor público </w:t>
      </w:r>
      <w:r w:rsidRPr="00BE0FAF">
        <w:rPr>
          <w:rFonts w:ascii="Arial" w:hAnsi="Arial" w:cs="Arial"/>
          <w:sz w:val="24"/>
          <w:szCs w:val="24"/>
          <w:lang w:val="es-MX" w:eastAsia="es-ES"/>
        </w:rPr>
        <w:t>cuenta con dos saldos a cargo, originada por falta oport</w:t>
      </w:r>
      <w:r w:rsidR="00BE0FAF">
        <w:rPr>
          <w:rFonts w:ascii="Arial" w:hAnsi="Arial" w:cs="Arial"/>
          <w:sz w:val="24"/>
          <w:szCs w:val="24"/>
          <w:lang w:val="es-MX" w:eastAsia="es-ES"/>
        </w:rPr>
        <w:t xml:space="preserve">una de análisis y depuración de </w:t>
      </w:r>
      <w:r w:rsidRPr="00BE0FAF">
        <w:rPr>
          <w:rFonts w:ascii="Arial" w:hAnsi="Arial" w:cs="Arial"/>
          <w:sz w:val="24"/>
          <w:szCs w:val="24"/>
          <w:lang w:val="es-MX" w:eastAsia="es-ES"/>
        </w:rPr>
        <w:t>saldos, siendo éstos:</w:t>
      </w:r>
    </w:p>
    <w:p w:rsidR="00580EB1" w:rsidRPr="00BE0FAF" w:rsidRDefault="00580EB1" w:rsidP="00BE0FAF">
      <w:pPr>
        <w:pStyle w:val="Prrafodelista"/>
        <w:numPr>
          <w:ilvl w:val="0"/>
          <w:numId w:val="47"/>
        </w:num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9 casos con dos saldos a cargo con el mismo número de empleado: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noProof/>
          <w:sz w:val="24"/>
          <w:szCs w:val="24"/>
          <w:lang w:val="es-MX" w:eastAsia="es-MX"/>
        </w:rPr>
        <w:drawing>
          <wp:inline distT="0" distB="0" distL="0" distR="0" wp14:anchorId="60261A79" wp14:editId="30D29030">
            <wp:extent cx="5253355" cy="880927"/>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880927"/>
                    </a:xfrm>
                    <a:prstGeom prst="rect">
                      <a:avLst/>
                    </a:prstGeom>
                    <a:noFill/>
                    <a:ln>
                      <a:noFill/>
                    </a:ln>
                  </pic:spPr>
                </pic:pic>
              </a:graphicData>
            </a:graphic>
          </wp:inline>
        </w:drawing>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noProof/>
          <w:sz w:val="24"/>
          <w:szCs w:val="24"/>
          <w:lang w:val="es-MX" w:eastAsia="es-MX"/>
        </w:rPr>
        <w:drawing>
          <wp:inline distT="0" distB="0" distL="0" distR="0" wp14:anchorId="18F2616C" wp14:editId="259039DD">
            <wp:extent cx="5253355" cy="2503027"/>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2503027"/>
                    </a:xfrm>
                    <a:prstGeom prst="rect">
                      <a:avLst/>
                    </a:prstGeom>
                    <a:noFill/>
                    <a:ln>
                      <a:noFill/>
                    </a:ln>
                  </pic:spPr>
                </pic:pic>
              </a:graphicData>
            </a:graphic>
          </wp:inline>
        </w:drawing>
      </w:r>
    </w:p>
    <w:p w:rsidR="00580EB1" w:rsidRPr="00BE0FAF" w:rsidRDefault="00580EB1" w:rsidP="00BE0FAF">
      <w:pPr>
        <w:autoSpaceDE w:val="0"/>
        <w:autoSpaceDN w:val="0"/>
        <w:adjustRightInd w:val="0"/>
        <w:spacing w:after="0" w:line="360" w:lineRule="auto"/>
        <w:jc w:val="both"/>
        <w:rPr>
          <w:rFonts w:ascii="Arial" w:hAnsi="Arial" w:cs="Arial"/>
          <w:sz w:val="24"/>
          <w:szCs w:val="24"/>
          <w:lang w:val="es-MX" w:eastAsia="es-ES"/>
        </w:rPr>
      </w:pPr>
      <w:r w:rsidRPr="00BE0FAF">
        <w:rPr>
          <w:rFonts w:ascii="Arial" w:hAnsi="Arial" w:cs="Arial"/>
          <w:sz w:val="24"/>
          <w:szCs w:val="24"/>
          <w:lang w:val="es-MX" w:eastAsia="es-ES"/>
        </w:rPr>
        <w:t>b) 30 casos con diferente número de empleado, la r</w:t>
      </w:r>
      <w:r w:rsidR="00BE0FAF">
        <w:rPr>
          <w:rFonts w:ascii="Arial" w:hAnsi="Arial" w:cs="Arial"/>
          <w:sz w:val="24"/>
          <w:szCs w:val="24"/>
          <w:lang w:val="es-MX" w:eastAsia="es-ES"/>
        </w:rPr>
        <w:t xml:space="preserve">elación se encuentra adjunta en </w:t>
      </w:r>
      <w:r w:rsidRPr="00BE0FAF">
        <w:rPr>
          <w:rFonts w:ascii="Arial" w:hAnsi="Arial" w:cs="Arial"/>
          <w:sz w:val="24"/>
          <w:szCs w:val="24"/>
          <w:lang w:val="es-MX" w:eastAsia="es-ES"/>
        </w:rPr>
        <w:t>CD "Anexos" en archivo electrónico "Anexo -A-"</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Análisis de la Auditoría Superior del Estado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Derivado del análisis de la respuesta y evidencia prese</w:t>
      </w:r>
      <w:r w:rsidR="00BE0FAF">
        <w:rPr>
          <w:rFonts w:ascii="Arial" w:hAnsi="Arial" w:cs="Arial"/>
          <w:sz w:val="24"/>
          <w:szCs w:val="24"/>
          <w:lang w:val="es-MX" w:eastAsia="es-ES"/>
        </w:rPr>
        <w:t xml:space="preserve">ntada por el Ente Público, esta </w:t>
      </w:r>
      <w:r w:rsidRPr="00BE0FAF">
        <w:rPr>
          <w:rFonts w:ascii="Arial" w:hAnsi="Arial" w:cs="Arial"/>
          <w:sz w:val="24"/>
          <w:szCs w:val="24"/>
          <w:lang w:val="es-MX" w:eastAsia="es-ES"/>
        </w:rPr>
        <w:t>observación se solventa parcialmente debido a que el Fideicomiso anexa relació</w:t>
      </w:r>
      <w:r w:rsidR="00BE0FAF">
        <w:rPr>
          <w:rFonts w:ascii="Arial" w:hAnsi="Arial" w:cs="Arial"/>
          <w:sz w:val="24"/>
          <w:szCs w:val="24"/>
          <w:lang w:val="es-MX" w:eastAsia="es-ES"/>
        </w:rPr>
        <w:t xml:space="preserve">n con </w:t>
      </w:r>
      <w:r w:rsidRPr="00BE0FAF">
        <w:rPr>
          <w:rFonts w:ascii="Arial" w:hAnsi="Arial" w:cs="Arial"/>
          <w:sz w:val="24"/>
          <w:szCs w:val="24"/>
          <w:lang w:val="es-MX" w:eastAsia="es-ES"/>
        </w:rPr>
        <w:t xml:space="preserve">estudio de cada empleado, sin embargo no </w:t>
      </w:r>
      <w:r w:rsidRPr="00BE0FAF">
        <w:rPr>
          <w:rFonts w:ascii="Arial" w:hAnsi="Arial" w:cs="Arial"/>
          <w:sz w:val="24"/>
          <w:szCs w:val="24"/>
          <w:lang w:val="es-MX" w:eastAsia="es-ES"/>
        </w:rPr>
        <w:lastRenderedPageBreak/>
        <w:t>envía los regi</w:t>
      </w:r>
      <w:r w:rsidR="00BE0FAF">
        <w:rPr>
          <w:rFonts w:ascii="Arial" w:hAnsi="Arial" w:cs="Arial"/>
          <w:sz w:val="24"/>
          <w:szCs w:val="24"/>
          <w:lang w:val="es-MX" w:eastAsia="es-ES"/>
        </w:rPr>
        <w:t xml:space="preserve">stros contables que soporte las </w:t>
      </w:r>
      <w:r w:rsidRPr="00BE0FAF">
        <w:rPr>
          <w:rFonts w:ascii="Arial" w:hAnsi="Arial" w:cs="Arial"/>
          <w:sz w:val="24"/>
          <w:szCs w:val="24"/>
          <w:lang w:val="es-MX" w:eastAsia="es-ES"/>
        </w:rPr>
        <w:t>acciones emitidas en la respuesta.</w:t>
      </w: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Acción(es) o recomendación(es) emitida(s)</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Recomendaciones en Relación a la Gestión o Control Interno.</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7. El Fideicomiso otorgó préstamos durante el ejercicio 2015</w:t>
      </w:r>
      <w:r w:rsidR="00BE0FAF">
        <w:rPr>
          <w:rFonts w:ascii="Arial" w:hAnsi="Arial" w:cs="Arial"/>
          <w:sz w:val="24"/>
          <w:szCs w:val="24"/>
          <w:lang w:val="es-MX" w:eastAsia="es-ES"/>
        </w:rPr>
        <w:t xml:space="preserve"> a personal que tiene saldo por </w:t>
      </w:r>
      <w:r w:rsidRPr="00BE0FAF">
        <w:rPr>
          <w:rFonts w:ascii="Arial" w:hAnsi="Arial" w:cs="Arial"/>
          <w:sz w:val="24"/>
          <w:szCs w:val="24"/>
          <w:lang w:val="es-MX" w:eastAsia="es-ES"/>
        </w:rPr>
        <w:t xml:space="preserve">pagar considerado como cuenta incobrable, incumpliendo </w:t>
      </w:r>
      <w:r w:rsidR="00BE0FAF">
        <w:rPr>
          <w:rFonts w:ascii="Arial" w:hAnsi="Arial" w:cs="Arial"/>
          <w:sz w:val="24"/>
          <w:szCs w:val="24"/>
          <w:lang w:val="es-MX" w:eastAsia="es-ES"/>
        </w:rPr>
        <w:t xml:space="preserve">la obligación establecida en el </w:t>
      </w:r>
      <w:r w:rsidRPr="00BE0FAF">
        <w:rPr>
          <w:rFonts w:ascii="Arial" w:hAnsi="Arial" w:cs="Arial"/>
          <w:sz w:val="24"/>
          <w:szCs w:val="24"/>
          <w:lang w:val="es-MX" w:eastAsia="es-ES"/>
        </w:rPr>
        <w:t>"Manual de Procedimientos 2015" que menciona en el t</w:t>
      </w:r>
      <w:r w:rsidR="00BE0FAF">
        <w:rPr>
          <w:rFonts w:ascii="Arial" w:hAnsi="Arial" w:cs="Arial"/>
          <w:sz w:val="24"/>
          <w:szCs w:val="24"/>
          <w:lang w:val="es-MX" w:eastAsia="es-ES"/>
        </w:rPr>
        <w:t xml:space="preserve">ítulo "Captura de préstamos" lo </w:t>
      </w:r>
      <w:r w:rsidRPr="00BE0FAF">
        <w:rPr>
          <w:rFonts w:ascii="Arial" w:hAnsi="Arial" w:cs="Arial"/>
          <w:sz w:val="24"/>
          <w:szCs w:val="24"/>
          <w:lang w:val="es-MX" w:eastAsia="es-ES"/>
        </w:rPr>
        <w:t>siguiente:</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BE0FAF" w:rsidP="00BE0FAF">
      <w:pPr>
        <w:spacing w:after="0" w:line="360" w:lineRule="auto"/>
        <w:contextualSpacing/>
        <w:jc w:val="both"/>
        <w:rPr>
          <w:rFonts w:ascii="Arial" w:hAnsi="Arial" w:cs="Arial"/>
          <w:sz w:val="24"/>
          <w:szCs w:val="24"/>
          <w:lang w:val="es-MX" w:eastAsia="es-ES"/>
        </w:rPr>
      </w:pPr>
      <w:r>
        <w:rPr>
          <w:rFonts w:ascii="Arial" w:hAnsi="Arial" w:cs="Arial"/>
          <w:sz w:val="24"/>
          <w:szCs w:val="24"/>
          <w:lang w:val="es-MX" w:eastAsia="es-ES"/>
        </w:rPr>
        <w:t xml:space="preserve">"3. Responsabilidad </w:t>
      </w:r>
      <w:r w:rsidR="00580EB1" w:rsidRPr="00BE0FAF">
        <w:rPr>
          <w:rFonts w:ascii="Arial" w:hAnsi="Arial" w:cs="Arial"/>
          <w:sz w:val="24"/>
          <w:szCs w:val="24"/>
          <w:lang w:val="es-MX" w:eastAsia="es-ES"/>
        </w:rPr>
        <w:t>-Es responsabilidad del coordinador general, rev</w:t>
      </w:r>
      <w:r>
        <w:rPr>
          <w:rFonts w:ascii="Arial" w:hAnsi="Arial" w:cs="Arial"/>
          <w:sz w:val="24"/>
          <w:szCs w:val="24"/>
          <w:lang w:val="es-MX" w:eastAsia="es-ES"/>
        </w:rPr>
        <w:t xml:space="preserve">isar y dar el visto bueno a los </w:t>
      </w:r>
      <w:r w:rsidR="00580EB1" w:rsidRPr="00BE0FAF">
        <w:rPr>
          <w:rFonts w:ascii="Arial" w:hAnsi="Arial" w:cs="Arial"/>
          <w:sz w:val="24"/>
          <w:szCs w:val="24"/>
          <w:lang w:val="es-MX" w:eastAsia="es-ES"/>
        </w:rPr>
        <w:t>procedimientos para la correcta aplicación de los mismos, par</w:t>
      </w:r>
      <w:r>
        <w:rPr>
          <w:rFonts w:ascii="Arial" w:hAnsi="Arial" w:cs="Arial"/>
          <w:sz w:val="24"/>
          <w:szCs w:val="24"/>
          <w:lang w:val="es-MX" w:eastAsia="es-ES"/>
        </w:rPr>
        <w:t xml:space="preserve">a su posterior autorización y </w:t>
      </w:r>
      <w:r w:rsidR="00580EB1" w:rsidRPr="00BE0FAF">
        <w:rPr>
          <w:rFonts w:ascii="Arial" w:hAnsi="Arial" w:cs="Arial"/>
          <w:sz w:val="24"/>
          <w:szCs w:val="24"/>
          <w:lang w:val="es-MX" w:eastAsia="es-ES"/>
        </w:rPr>
        <w:t>firma del director del fideicomiso.</w:t>
      </w:r>
    </w:p>
    <w:p w:rsidR="00580EB1" w:rsidRPr="00BE0FAF" w:rsidRDefault="00BE0FAF" w:rsidP="00BE0FAF">
      <w:pPr>
        <w:spacing w:after="0" w:line="360" w:lineRule="auto"/>
        <w:contextualSpacing/>
        <w:jc w:val="both"/>
        <w:rPr>
          <w:rFonts w:ascii="Arial" w:hAnsi="Arial" w:cs="Arial"/>
          <w:sz w:val="24"/>
          <w:szCs w:val="24"/>
          <w:lang w:val="es-MX" w:eastAsia="es-ES"/>
        </w:rPr>
      </w:pPr>
      <w:r>
        <w:rPr>
          <w:rFonts w:ascii="Arial" w:hAnsi="Arial" w:cs="Arial"/>
          <w:sz w:val="24"/>
          <w:szCs w:val="24"/>
          <w:lang w:val="es-MX" w:eastAsia="es-ES"/>
        </w:rPr>
        <w:t xml:space="preserve">5. Procedimiento: </w:t>
      </w:r>
      <w:r w:rsidR="00580EB1" w:rsidRPr="00BE0FAF">
        <w:rPr>
          <w:rFonts w:ascii="Arial" w:hAnsi="Arial" w:cs="Arial"/>
          <w:sz w:val="24"/>
          <w:szCs w:val="24"/>
          <w:lang w:val="es-MX" w:eastAsia="es-ES"/>
        </w:rPr>
        <w:t>Revisar si no cuenta con adeudo pendiente."</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Los casos detectados se muestran a continuación:</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center"/>
        <w:rPr>
          <w:rFonts w:ascii="Arial" w:hAnsi="Arial" w:cs="Arial"/>
          <w:sz w:val="24"/>
          <w:szCs w:val="24"/>
          <w:lang w:val="es-MX" w:eastAsia="es-ES"/>
        </w:rPr>
      </w:pPr>
      <w:r w:rsidRPr="00BE0FAF">
        <w:rPr>
          <w:rFonts w:ascii="Arial" w:hAnsi="Arial" w:cs="Arial"/>
          <w:noProof/>
          <w:sz w:val="24"/>
          <w:szCs w:val="24"/>
          <w:lang w:val="es-MX" w:eastAsia="es-MX"/>
        </w:rPr>
        <w:lastRenderedPageBreak/>
        <w:drawing>
          <wp:inline distT="0" distB="0" distL="0" distR="0" wp14:anchorId="29088DA8" wp14:editId="482F2C9D">
            <wp:extent cx="2576830" cy="34321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6830" cy="3432175"/>
                    </a:xfrm>
                    <a:prstGeom prst="rect">
                      <a:avLst/>
                    </a:prstGeom>
                    <a:noFill/>
                    <a:ln>
                      <a:noFill/>
                    </a:ln>
                  </pic:spPr>
                </pic:pic>
              </a:graphicData>
            </a:graphic>
          </wp:inline>
        </w:drawing>
      </w:r>
    </w:p>
    <w:p w:rsidR="00580EB1" w:rsidRPr="00BE0FAF" w:rsidRDefault="00580EB1" w:rsidP="00BE0FAF">
      <w:pPr>
        <w:autoSpaceDE w:val="0"/>
        <w:autoSpaceDN w:val="0"/>
        <w:adjustRightInd w:val="0"/>
        <w:spacing w:after="0" w:line="360" w:lineRule="auto"/>
        <w:jc w:val="both"/>
        <w:rPr>
          <w:rFonts w:ascii="Arial" w:hAnsi="Arial" w:cs="Arial"/>
          <w:b/>
          <w:bCs/>
          <w:sz w:val="24"/>
          <w:szCs w:val="24"/>
          <w:lang w:val="es-MX" w:eastAsia="es-ES"/>
        </w:rPr>
      </w:pPr>
      <w:r w:rsidRPr="00BE0FAF">
        <w:rPr>
          <w:rFonts w:ascii="Arial" w:hAnsi="Arial" w:cs="Arial"/>
          <w:b/>
          <w:bCs/>
          <w:sz w:val="24"/>
          <w:szCs w:val="24"/>
          <w:lang w:val="es-MX" w:eastAsia="es-ES"/>
        </w:rPr>
        <w:t>Acción(es) o recomendación(es) emitida(s)</w:t>
      </w:r>
    </w:p>
    <w:p w:rsidR="00580EB1" w:rsidRPr="00BE0FAF" w:rsidRDefault="00580EB1" w:rsidP="00BE0FAF">
      <w:pPr>
        <w:autoSpaceDE w:val="0"/>
        <w:autoSpaceDN w:val="0"/>
        <w:adjustRightInd w:val="0"/>
        <w:spacing w:after="0" w:line="360" w:lineRule="auto"/>
        <w:jc w:val="both"/>
        <w:rPr>
          <w:rFonts w:ascii="Arial" w:hAnsi="Arial" w:cs="Arial"/>
          <w:i/>
          <w:iCs/>
          <w:sz w:val="24"/>
          <w:szCs w:val="24"/>
          <w:lang w:val="es-MX" w:eastAsia="es-ES"/>
        </w:rPr>
      </w:pPr>
      <w:r w:rsidRPr="00BE0FAF">
        <w:rPr>
          <w:rFonts w:ascii="Arial" w:hAnsi="Arial" w:cs="Arial"/>
          <w:i/>
          <w:iCs/>
          <w:sz w:val="24"/>
          <w:szCs w:val="24"/>
          <w:lang w:val="es-MX" w:eastAsia="es-ES"/>
        </w:rPr>
        <w:t>Promoción de Fincamiento de Responsabilidad Administrativa.</w:t>
      </w:r>
    </w:p>
    <w:p w:rsidR="00BE0FAF" w:rsidRDefault="00BE0FAF" w:rsidP="00BE0FAF">
      <w:pPr>
        <w:autoSpaceDE w:val="0"/>
        <w:autoSpaceDN w:val="0"/>
        <w:adjustRightInd w:val="0"/>
        <w:spacing w:after="0" w:line="360" w:lineRule="auto"/>
        <w:jc w:val="both"/>
        <w:rPr>
          <w:rFonts w:ascii="Arial" w:hAnsi="Arial" w:cs="Arial"/>
          <w:sz w:val="24"/>
          <w:szCs w:val="24"/>
          <w:lang w:val="es-MX" w:eastAsia="es-ES"/>
        </w:rPr>
      </w:pPr>
    </w:p>
    <w:p w:rsidR="00580EB1" w:rsidRPr="00BE0FAF" w:rsidRDefault="00580EB1" w:rsidP="00BE0FAF">
      <w:pPr>
        <w:autoSpaceDE w:val="0"/>
        <w:autoSpaceDN w:val="0"/>
        <w:adjustRightInd w:val="0"/>
        <w:spacing w:after="0" w:line="360" w:lineRule="auto"/>
        <w:jc w:val="both"/>
        <w:rPr>
          <w:rFonts w:ascii="Arial" w:hAnsi="Arial" w:cs="Arial"/>
          <w:sz w:val="24"/>
          <w:szCs w:val="24"/>
          <w:lang w:val="es-MX" w:eastAsia="es-ES"/>
        </w:rPr>
      </w:pPr>
      <w:r w:rsidRPr="00BE0FAF">
        <w:rPr>
          <w:rFonts w:ascii="Arial" w:hAnsi="Arial" w:cs="Arial"/>
          <w:b/>
          <w:sz w:val="24"/>
          <w:szCs w:val="24"/>
          <w:lang w:val="es-MX" w:eastAsia="es-ES"/>
        </w:rPr>
        <w:t>8.</w:t>
      </w:r>
      <w:r w:rsidRPr="00BE0FAF">
        <w:rPr>
          <w:rFonts w:ascii="Arial" w:hAnsi="Arial" w:cs="Arial"/>
          <w:sz w:val="24"/>
          <w:szCs w:val="24"/>
          <w:lang w:val="es-MX" w:eastAsia="es-ES"/>
        </w:rPr>
        <w:t xml:space="preserve"> Como parte del seguimiento a observaciones del ejercici</w:t>
      </w:r>
      <w:r w:rsidR="00BE0FAF">
        <w:rPr>
          <w:rFonts w:ascii="Arial" w:hAnsi="Arial" w:cs="Arial"/>
          <w:sz w:val="24"/>
          <w:szCs w:val="24"/>
          <w:lang w:val="es-MX" w:eastAsia="es-ES"/>
        </w:rPr>
        <w:t xml:space="preserve">o 2014, se confrontó la base de </w:t>
      </w:r>
      <w:r w:rsidRPr="00BE0FAF">
        <w:rPr>
          <w:rFonts w:ascii="Arial" w:hAnsi="Arial" w:cs="Arial"/>
          <w:sz w:val="24"/>
          <w:szCs w:val="24"/>
          <w:lang w:val="es-MX" w:eastAsia="es-ES"/>
        </w:rPr>
        <w:t>datos de la cartera al cierre del ejercicio 2015 con la base</w:t>
      </w:r>
      <w:r w:rsidR="00BE0FAF">
        <w:rPr>
          <w:rFonts w:ascii="Arial" w:hAnsi="Arial" w:cs="Arial"/>
          <w:sz w:val="24"/>
          <w:szCs w:val="24"/>
          <w:lang w:val="es-MX" w:eastAsia="es-ES"/>
        </w:rPr>
        <w:t xml:space="preserve"> de datos de personal fallecido </w:t>
      </w:r>
      <w:r w:rsidRPr="00BE0FAF">
        <w:rPr>
          <w:rFonts w:ascii="Arial" w:hAnsi="Arial" w:cs="Arial"/>
          <w:sz w:val="24"/>
          <w:szCs w:val="24"/>
          <w:lang w:val="es-MX" w:eastAsia="es-ES"/>
        </w:rPr>
        <w:t>proporcionado por el Instituto de Seguridad y Servicios S</w:t>
      </w:r>
      <w:r w:rsidR="00BE0FAF">
        <w:rPr>
          <w:rFonts w:ascii="Arial" w:hAnsi="Arial" w:cs="Arial"/>
          <w:sz w:val="24"/>
          <w:szCs w:val="24"/>
          <w:lang w:val="es-MX" w:eastAsia="es-ES"/>
        </w:rPr>
        <w:t xml:space="preserve">ociales de los Trabajadores del </w:t>
      </w:r>
      <w:r w:rsidRPr="00BE0FAF">
        <w:rPr>
          <w:rFonts w:ascii="Arial" w:hAnsi="Arial" w:cs="Arial"/>
          <w:sz w:val="24"/>
          <w:szCs w:val="24"/>
          <w:lang w:val="es-MX" w:eastAsia="es-ES"/>
        </w:rPr>
        <w:t xml:space="preserve">Estado de Nuevo León, mediante oficio ISS-1741/2015 para </w:t>
      </w:r>
      <w:r w:rsidR="00BE0FAF">
        <w:rPr>
          <w:rFonts w:ascii="Arial" w:hAnsi="Arial" w:cs="Arial"/>
          <w:sz w:val="24"/>
          <w:szCs w:val="24"/>
          <w:lang w:val="es-MX" w:eastAsia="es-ES"/>
        </w:rPr>
        <w:t xml:space="preserve">la revisión del ejercicio 2014, </w:t>
      </w:r>
      <w:r w:rsidRPr="00BE0FAF">
        <w:rPr>
          <w:rFonts w:ascii="Arial" w:hAnsi="Arial" w:cs="Arial"/>
          <w:sz w:val="24"/>
          <w:szCs w:val="24"/>
          <w:lang w:val="es-MX" w:eastAsia="es-ES"/>
        </w:rPr>
        <w:t>observando que en 19 casos aún presentan saldo, relación</w:t>
      </w:r>
      <w:r w:rsidR="00BE0FAF">
        <w:rPr>
          <w:rFonts w:ascii="Arial" w:hAnsi="Arial" w:cs="Arial"/>
          <w:sz w:val="24"/>
          <w:szCs w:val="24"/>
          <w:lang w:val="es-MX" w:eastAsia="es-ES"/>
        </w:rPr>
        <w:t xml:space="preserve"> que se encuentra en el archivo </w:t>
      </w:r>
      <w:r w:rsidRPr="00BE0FAF">
        <w:rPr>
          <w:rFonts w:ascii="Arial" w:hAnsi="Arial" w:cs="Arial"/>
          <w:sz w:val="24"/>
          <w:szCs w:val="24"/>
          <w:lang w:val="es-MX" w:eastAsia="es-ES"/>
        </w:rPr>
        <w:t>denominado "Anexo -B-", contenido en el CD adjunto ro</w:t>
      </w:r>
      <w:r w:rsidR="00BE0FAF">
        <w:rPr>
          <w:rFonts w:ascii="Arial" w:hAnsi="Arial" w:cs="Arial"/>
          <w:sz w:val="24"/>
          <w:szCs w:val="24"/>
          <w:lang w:val="es-MX" w:eastAsia="es-ES"/>
        </w:rPr>
        <w:t xml:space="preserve">tulado con el nombre "Anexos de </w:t>
      </w:r>
      <w:r w:rsidRPr="00BE0FAF">
        <w:rPr>
          <w:rFonts w:ascii="Arial" w:hAnsi="Arial" w:cs="Arial"/>
          <w:sz w:val="24"/>
          <w:szCs w:val="24"/>
          <w:lang w:val="es-MX" w:eastAsia="es-ES"/>
        </w:rPr>
        <w:t>Observaciones Preliminares".</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lastRenderedPageBreak/>
        <w:t xml:space="preserve">Derivado del análisis de la respuesta y la evidencia presentada, esta observación </w:t>
      </w:r>
      <w:r w:rsidR="00BE0FAF">
        <w:rPr>
          <w:rFonts w:ascii="Arial" w:hAnsi="Arial" w:cs="Arial"/>
          <w:sz w:val="24"/>
          <w:szCs w:val="24"/>
          <w:lang w:val="es-MX" w:eastAsia="es-ES"/>
        </w:rPr>
        <w:t xml:space="preserve">se </w:t>
      </w:r>
      <w:r w:rsidRPr="00BE0FAF">
        <w:rPr>
          <w:rFonts w:ascii="Arial" w:hAnsi="Arial" w:cs="Arial"/>
          <w:sz w:val="24"/>
          <w:szCs w:val="24"/>
          <w:lang w:val="es-MX" w:eastAsia="es-ES"/>
        </w:rPr>
        <w:t>solventa parcialmente, debido a que el Fideicomiso e</w:t>
      </w:r>
      <w:r w:rsidR="00BE0FAF">
        <w:rPr>
          <w:rFonts w:ascii="Arial" w:hAnsi="Arial" w:cs="Arial"/>
          <w:sz w:val="24"/>
          <w:szCs w:val="24"/>
          <w:lang w:val="es-MX" w:eastAsia="es-ES"/>
        </w:rPr>
        <w:t xml:space="preserve">nvía oficio de traspaso para la </w:t>
      </w:r>
      <w:r w:rsidRPr="00BE0FAF">
        <w:rPr>
          <w:rFonts w:ascii="Arial" w:hAnsi="Arial" w:cs="Arial"/>
          <w:sz w:val="24"/>
          <w:szCs w:val="24"/>
          <w:lang w:val="es-MX" w:eastAsia="es-ES"/>
        </w:rPr>
        <w:t xml:space="preserve">aplicación de seguros por defunción así como integración </w:t>
      </w:r>
      <w:r w:rsidR="00BE0FAF">
        <w:rPr>
          <w:rFonts w:ascii="Arial" w:hAnsi="Arial" w:cs="Arial"/>
          <w:sz w:val="24"/>
          <w:szCs w:val="24"/>
          <w:lang w:val="es-MX" w:eastAsia="es-ES"/>
        </w:rPr>
        <w:t xml:space="preserve">de los empleados afectados, sin </w:t>
      </w:r>
      <w:r w:rsidRPr="00BE0FAF">
        <w:rPr>
          <w:rFonts w:ascii="Arial" w:hAnsi="Arial" w:cs="Arial"/>
          <w:sz w:val="24"/>
          <w:szCs w:val="24"/>
          <w:lang w:val="es-MX" w:eastAsia="es-ES"/>
        </w:rPr>
        <w:t>embargo, no se anexa soporte de registro contable efectuado.</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Acción(es) o recomendación(es) emitida(s)</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Recomendaciones en Relación a la Gestión o Control Interno.</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Derechos a Recibir Efectivo o Equivalentes</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b/>
          <w:sz w:val="24"/>
          <w:szCs w:val="24"/>
          <w:lang w:val="es-MX" w:eastAsia="es-ES"/>
        </w:rPr>
        <w:t>9.</w:t>
      </w:r>
      <w:r w:rsidRPr="00BE0FAF">
        <w:rPr>
          <w:rFonts w:ascii="Arial" w:hAnsi="Arial" w:cs="Arial"/>
          <w:sz w:val="24"/>
          <w:szCs w:val="24"/>
          <w:lang w:val="es-MX" w:eastAsia="es-ES"/>
        </w:rPr>
        <w:t xml:space="preserve"> Se observaron seis pólizas contables registradas en l</w:t>
      </w:r>
      <w:r w:rsidR="00BE0FAF">
        <w:rPr>
          <w:rFonts w:ascii="Arial" w:hAnsi="Arial" w:cs="Arial"/>
          <w:sz w:val="24"/>
          <w:szCs w:val="24"/>
          <w:lang w:val="es-MX" w:eastAsia="es-ES"/>
        </w:rPr>
        <w:t xml:space="preserve">as cuentas de deudores diversos </w:t>
      </w:r>
      <w:r w:rsidRPr="00BE0FAF">
        <w:rPr>
          <w:rFonts w:ascii="Arial" w:hAnsi="Arial" w:cs="Arial"/>
          <w:sz w:val="24"/>
          <w:szCs w:val="24"/>
          <w:lang w:val="es-MX" w:eastAsia="es-ES"/>
        </w:rPr>
        <w:t>y préstamos a empleados principalmente, sin el sopor</w:t>
      </w:r>
      <w:r w:rsidR="00BE0FAF">
        <w:rPr>
          <w:rFonts w:ascii="Arial" w:hAnsi="Arial" w:cs="Arial"/>
          <w:sz w:val="24"/>
          <w:szCs w:val="24"/>
          <w:lang w:val="es-MX" w:eastAsia="es-ES"/>
        </w:rPr>
        <w:t xml:space="preserve">te documental que compruebe ni </w:t>
      </w:r>
      <w:r w:rsidRPr="00BE0FAF">
        <w:rPr>
          <w:rFonts w:ascii="Arial" w:hAnsi="Arial" w:cs="Arial"/>
          <w:sz w:val="24"/>
          <w:szCs w:val="24"/>
          <w:lang w:val="es-MX" w:eastAsia="es-ES"/>
        </w:rPr>
        <w:t>justifique los registros efectuados, incumpliendo con lo esta</w:t>
      </w:r>
      <w:r w:rsidR="00BE0FAF">
        <w:rPr>
          <w:rFonts w:ascii="Arial" w:hAnsi="Arial" w:cs="Arial"/>
          <w:sz w:val="24"/>
          <w:szCs w:val="24"/>
          <w:lang w:val="es-MX" w:eastAsia="es-ES"/>
        </w:rPr>
        <w:t xml:space="preserve">blecido en el artículo 42 de la </w:t>
      </w:r>
      <w:r w:rsidRPr="00BE0FAF">
        <w:rPr>
          <w:rFonts w:ascii="Arial" w:hAnsi="Arial" w:cs="Arial"/>
          <w:sz w:val="24"/>
          <w:szCs w:val="24"/>
          <w:lang w:val="es-MX" w:eastAsia="es-ES"/>
        </w:rPr>
        <w:t>Ley General de Contabilidad Gubernamental y 15 de la Ley de Fiscalización Superior del</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Estado de Nuevo león, lo anterior conforme al resumen por cuenta detallado a continuación:</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noProof/>
          <w:sz w:val="24"/>
          <w:szCs w:val="24"/>
          <w:lang w:val="es-MX" w:eastAsia="es-MX"/>
        </w:rPr>
        <w:drawing>
          <wp:inline distT="0" distB="0" distL="0" distR="0" wp14:anchorId="54CF60EB" wp14:editId="32C60810">
            <wp:extent cx="2161540" cy="13417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1540" cy="1341755"/>
                    </a:xfrm>
                    <a:prstGeom prst="rect">
                      <a:avLst/>
                    </a:prstGeom>
                    <a:noFill/>
                    <a:ln>
                      <a:noFill/>
                    </a:ln>
                  </pic:spPr>
                </pic:pic>
              </a:graphicData>
            </a:graphic>
          </wp:inline>
        </w:drawing>
      </w: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Análisis de la Auditoría Superior del Estado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 xml:space="preserve">Derivado del análisis de la respuesta y evidencia </w:t>
      </w:r>
      <w:r w:rsidR="00BE0FAF">
        <w:rPr>
          <w:rFonts w:ascii="Arial" w:hAnsi="Arial" w:cs="Arial"/>
          <w:sz w:val="24"/>
          <w:szCs w:val="24"/>
          <w:lang w:val="es-MX" w:eastAsia="es-ES"/>
        </w:rPr>
        <w:t xml:space="preserve">presentada, esta observación se </w:t>
      </w:r>
      <w:r w:rsidRPr="00BE0FAF">
        <w:rPr>
          <w:rFonts w:ascii="Arial" w:hAnsi="Arial" w:cs="Arial"/>
          <w:sz w:val="24"/>
          <w:szCs w:val="24"/>
          <w:lang w:val="es-MX" w:eastAsia="es-ES"/>
        </w:rPr>
        <w:t>solventa parcialmente, ya que se entregó informa</w:t>
      </w:r>
      <w:r w:rsidR="00BE0FAF">
        <w:rPr>
          <w:rFonts w:ascii="Arial" w:hAnsi="Arial" w:cs="Arial"/>
          <w:sz w:val="24"/>
          <w:szCs w:val="24"/>
          <w:lang w:val="es-MX" w:eastAsia="es-ES"/>
        </w:rPr>
        <w:t xml:space="preserve">ción de las </w:t>
      </w:r>
      <w:r w:rsidR="00BE0FAF">
        <w:rPr>
          <w:rFonts w:ascii="Arial" w:hAnsi="Arial" w:cs="Arial"/>
          <w:sz w:val="24"/>
          <w:szCs w:val="24"/>
          <w:lang w:val="es-MX" w:eastAsia="es-ES"/>
        </w:rPr>
        <w:lastRenderedPageBreak/>
        <w:t xml:space="preserve">siguientes pólizas: </w:t>
      </w:r>
      <w:r w:rsidRPr="00BE0FAF">
        <w:rPr>
          <w:rFonts w:ascii="Arial" w:hAnsi="Arial" w:cs="Arial"/>
          <w:sz w:val="24"/>
          <w:szCs w:val="24"/>
          <w:lang w:val="es-MX" w:eastAsia="es-ES"/>
        </w:rPr>
        <w:t>D00224,I00125,D00448,D00518 D00524; sin embargo, no</w:t>
      </w:r>
      <w:r w:rsidR="00BE0FAF">
        <w:rPr>
          <w:rFonts w:ascii="Arial" w:hAnsi="Arial" w:cs="Arial"/>
          <w:sz w:val="24"/>
          <w:szCs w:val="24"/>
          <w:lang w:val="es-MX" w:eastAsia="es-ES"/>
        </w:rPr>
        <w:t xml:space="preserve"> se anexa el soporte documental </w:t>
      </w:r>
      <w:r w:rsidRPr="00BE0FAF">
        <w:rPr>
          <w:rFonts w:ascii="Arial" w:hAnsi="Arial" w:cs="Arial"/>
          <w:sz w:val="24"/>
          <w:szCs w:val="24"/>
          <w:lang w:val="es-MX" w:eastAsia="es-ES"/>
        </w:rPr>
        <w:t>de la póliza D00519.</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Acción(es) o recomendación(es) emitida(s)</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Promoción de Fincamiento de Responsabilidad Administrativa.</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Recomendaciones en Relación a la Gestión o Control Interno.</w:t>
      </w:r>
    </w:p>
    <w:p w:rsidR="00580EB1" w:rsidRPr="00BE0FAF" w:rsidRDefault="00580EB1" w:rsidP="00BE0FAF">
      <w:pPr>
        <w:spacing w:after="0" w:line="360" w:lineRule="auto"/>
        <w:contextualSpacing/>
        <w:jc w:val="both"/>
        <w:rPr>
          <w:rFonts w:ascii="Arial" w:hAnsi="Arial" w:cs="Arial"/>
          <w:i/>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Activo no circulante</w:t>
      </w: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Depreciación, deterioro y amortización acumulada de bienes</w:t>
      </w: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u w:val="single"/>
          <w:lang w:val="es-MX" w:eastAsia="es-ES"/>
        </w:rPr>
        <w:t>Depreciación acumulada de bienes muebles</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b/>
          <w:sz w:val="24"/>
          <w:szCs w:val="24"/>
          <w:lang w:val="es-MX" w:eastAsia="es-ES"/>
        </w:rPr>
        <w:t>10</w:t>
      </w:r>
      <w:r w:rsidRPr="00BE0FAF">
        <w:rPr>
          <w:rFonts w:ascii="Arial" w:hAnsi="Arial" w:cs="Arial"/>
          <w:sz w:val="24"/>
          <w:szCs w:val="24"/>
          <w:lang w:val="es-MX" w:eastAsia="es-ES"/>
        </w:rPr>
        <w:t>. No se proporcionó ni fue exhibida por el Ente Públ</w:t>
      </w:r>
      <w:r w:rsidR="00BE0FAF">
        <w:rPr>
          <w:rFonts w:ascii="Arial" w:hAnsi="Arial" w:cs="Arial"/>
          <w:sz w:val="24"/>
          <w:szCs w:val="24"/>
          <w:lang w:val="es-MX" w:eastAsia="es-ES"/>
        </w:rPr>
        <w:t xml:space="preserve">ico evidencia del cálculo de la </w:t>
      </w:r>
      <w:r w:rsidRPr="00BE0FAF">
        <w:rPr>
          <w:rFonts w:ascii="Arial" w:hAnsi="Arial" w:cs="Arial"/>
          <w:sz w:val="24"/>
          <w:szCs w:val="24"/>
          <w:lang w:val="es-MX" w:eastAsia="es-ES"/>
        </w:rPr>
        <w:t xml:space="preserve">depreciación conforme a lo establecido en el Acuerdo </w:t>
      </w:r>
      <w:r w:rsidR="00BE0FAF">
        <w:rPr>
          <w:rFonts w:ascii="Arial" w:hAnsi="Arial" w:cs="Arial"/>
          <w:sz w:val="24"/>
          <w:szCs w:val="24"/>
          <w:lang w:val="es-MX" w:eastAsia="es-ES"/>
        </w:rPr>
        <w:t xml:space="preserve">por el que se emiten las reglas </w:t>
      </w:r>
      <w:r w:rsidRPr="00BE0FAF">
        <w:rPr>
          <w:rFonts w:ascii="Arial" w:hAnsi="Arial" w:cs="Arial"/>
          <w:sz w:val="24"/>
          <w:szCs w:val="24"/>
          <w:lang w:val="es-MX" w:eastAsia="es-ES"/>
        </w:rPr>
        <w:t>específicas del registro y valoración del patrimonio (inc</w:t>
      </w:r>
      <w:r w:rsidR="00BE0FAF">
        <w:rPr>
          <w:rFonts w:ascii="Arial" w:hAnsi="Arial" w:cs="Arial"/>
          <w:sz w:val="24"/>
          <w:szCs w:val="24"/>
          <w:lang w:val="es-MX" w:eastAsia="es-ES"/>
        </w:rPr>
        <w:t xml:space="preserve">iso B - punto 6 - Depreciación, </w:t>
      </w:r>
      <w:r w:rsidRPr="00BE0FAF">
        <w:rPr>
          <w:rFonts w:ascii="Arial" w:hAnsi="Arial" w:cs="Arial"/>
          <w:sz w:val="24"/>
          <w:szCs w:val="24"/>
          <w:lang w:val="es-MX" w:eastAsia="es-ES"/>
        </w:rPr>
        <w:t>deterioro y amortización, del ejercicio y acumulada de bienes</w:t>
      </w:r>
      <w:r w:rsidR="00BE0FAF">
        <w:rPr>
          <w:rFonts w:ascii="Arial" w:hAnsi="Arial" w:cs="Arial"/>
          <w:sz w:val="24"/>
          <w:szCs w:val="24"/>
          <w:lang w:val="es-MX" w:eastAsia="es-ES"/>
        </w:rPr>
        <w:t xml:space="preserve">), estableciendo su observancia </w:t>
      </w:r>
      <w:r w:rsidRPr="00BE0FAF">
        <w:rPr>
          <w:rFonts w:ascii="Arial" w:hAnsi="Arial" w:cs="Arial"/>
          <w:sz w:val="24"/>
          <w:szCs w:val="24"/>
          <w:lang w:val="es-MX" w:eastAsia="es-ES"/>
        </w:rPr>
        <w:t>obligatoria, de conformidad con el artículo 7 de</w:t>
      </w:r>
      <w:r w:rsidR="00BE0FAF">
        <w:rPr>
          <w:rFonts w:ascii="Arial" w:hAnsi="Arial" w:cs="Arial"/>
          <w:sz w:val="24"/>
          <w:szCs w:val="24"/>
          <w:lang w:val="es-MX" w:eastAsia="es-ES"/>
        </w:rPr>
        <w:t xml:space="preserve"> la Ley General de Contabilidad </w:t>
      </w:r>
      <w:r w:rsidRPr="00BE0FAF">
        <w:rPr>
          <w:rFonts w:ascii="Arial" w:hAnsi="Arial" w:cs="Arial"/>
          <w:sz w:val="24"/>
          <w:szCs w:val="24"/>
          <w:lang w:val="es-MX" w:eastAsia="es-ES"/>
        </w:rPr>
        <w:t>Gubernamental.</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Acción(es) o recomendación(es) emitida(s)</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Promoción de Fincamiento de Responsabilidad Administrativa.</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Estimación por pérdida o deterioro de activos no circulantes</w:t>
      </w: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Estimaciones para cuentas incobrables por derechos a recibir efectivo o equivalentes</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b/>
          <w:sz w:val="24"/>
          <w:szCs w:val="24"/>
          <w:lang w:val="es-MX" w:eastAsia="es-ES"/>
        </w:rPr>
        <w:lastRenderedPageBreak/>
        <w:t>11.</w:t>
      </w:r>
      <w:r w:rsidRPr="00BE0FAF">
        <w:rPr>
          <w:rFonts w:ascii="Arial" w:hAnsi="Arial" w:cs="Arial"/>
          <w:sz w:val="24"/>
          <w:szCs w:val="24"/>
          <w:lang w:val="es-MX" w:eastAsia="es-ES"/>
        </w:rPr>
        <w:t xml:space="preserve"> De la revisión a la cuenta Estimación para cuentas inc</w:t>
      </w:r>
      <w:r w:rsidR="00BE0FAF">
        <w:rPr>
          <w:rFonts w:ascii="Arial" w:hAnsi="Arial" w:cs="Arial"/>
          <w:sz w:val="24"/>
          <w:szCs w:val="24"/>
          <w:lang w:val="es-MX" w:eastAsia="es-ES"/>
        </w:rPr>
        <w:t xml:space="preserve">obrables por derechos a recibir </w:t>
      </w:r>
      <w:r w:rsidRPr="00BE0FAF">
        <w:rPr>
          <w:rFonts w:ascii="Arial" w:hAnsi="Arial" w:cs="Arial"/>
          <w:sz w:val="24"/>
          <w:szCs w:val="24"/>
          <w:lang w:val="es-MX" w:eastAsia="es-ES"/>
        </w:rPr>
        <w:t>efectivo y equivalentes se determinaron las siguientes observaciones:</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1) El Fideicomiso determinó la estimación de cuen</w:t>
      </w:r>
      <w:r w:rsidR="00BE0FAF">
        <w:rPr>
          <w:rFonts w:ascii="Arial" w:hAnsi="Arial" w:cs="Arial"/>
          <w:sz w:val="24"/>
          <w:szCs w:val="24"/>
          <w:lang w:val="es-MX" w:eastAsia="es-ES"/>
        </w:rPr>
        <w:t xml:space="preserve">tas incobrables por $14,486,067 </w:t>
      </w:r>
      <w:r w:rsidRPr="00BE0FAF">
        <w:rPr>
          <w:rFonts w:ascii="Arial" w:hAnsi="Arial" w:cs="Arial"/>
          <w:sz w:val="24"/>
          <w:szCs w:val="24"/>
          <w:lang w:val="es-MX" w:eastAsia="es-ES"/>
        </w:rPr>
        <w:t xml:space="preserve">considerando las cuentas individuales con 1 año sin </w:t>
      </w:r>
      <w:r w:rsidR="00BE0FAF">
        <w:rPr>
          <w:rFonts w:ascii="Arial" w:hAnsi="Arial" w:cs="Arial"/>
          <w:sz w:val="24"/>
          <w:szCs w:val="24"/>
          <w:lang w:val="es-MX" w:eastAsia="es-ES"/>
        </w:rPr>
        <w:t xml:space="preserve">aplicar descuento, omitiendo el </w:t>
      </w:r>
      <w:r w:rsidRPr="00BE0FAF">
        <w:rPr>
          <w:rFonts w:ascii="Arial" w:hAnsi="Arial" w:cs="Arial"/>
          <w:sz w:val="24"/>
          <w:szCs w:val="24"/>
          <w:lang w:val="es-MX" w:eastAsia="es-ES"/>
        </w:rPr>
        <w:t>procedimiento aprobado por el Comité Técnico del F</w:t>
      </w:r>
      <w:r w:rsidR="00BE0FAF">
        <w:rPr>
          <w:rFonts w:ascii="Arial" w:hAnsi="Arial" w:cs="Arial"/>
          <w:sz w:val="24"/>
          <w:szCs w:val="24"/>
          <w:lang w:val="es-MX" w:eastAsia="es-ES"/>
        </w:rPr>
        <w:t xml:space="preserve">ideicomiso en acta 44 de sesión </w:t>
      </w:r>
      <w:r w:rsidRPr="00BE0FAF">
        <w:rPr>
          <w:rFonts w:ascii="Arial" w:hAnsi="Arial" w:cs="Arial"/>
          <w:sz w:val="24"/>
          <w:szCs w:val="24"/>
          <w:lang w:val="es-MX" w:eastAsia="es-ES"/>
        </w:rPr>
        <w:t>ordinaria que menciona lo siguiente:</w:t>
      </w:r>
    </w:p>
    <w:p w:rsid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 xml:space="preserve">"Las condiciones para considerar que un adeudo </w:t>
      </w:r>
      <w:r w:rsidR="00BE0FAF">
        <w:rPr>
          <w:rFonts w:ascii="Arial" w:hAnsi="Arial" w:cs="Arial"/>
          <w:sz w:val="24"/>
          <w:szCs w:val="24"/>
          <w:lang w:val="es-MX" w:eastAsia="es-ES"/>
        </w:rPr>
        <w:t xml:space="preserve">es de difícil recuperación son: </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 xml:space="preserve">El personal educativo que hubiese causado baja o renuncia </w:t>
      </w:r>
      <w:r w:rsidR="00BE0FAF">
        <w:rPr>
          <w:rFonts w:ascii="Arial" w:hAnsi="Arial" w:cs="Arial"/>
          <w:sz w:val="24"/>
          <w:szCs w:val="24"/>
          <w:lang w:val="es-MX" w:eastAsia="es-ES"/>
        </w:rPr>
        <w:t xml:space="preserve">y que con su liquidación no </w:t>
      </w:r>
      <w:r w:rsidRPr="00BE0FAF">
        <w:rPr>
          <w:rFonts w:ascii="Arial" w:hAnsi="Arial" w:cs="Arial"/>
          <w:sz w:val="24"/>
          <w:szCs w:val="24"/>
          <w:lang w:val="es-MX" w:eastAsia="es-ES"/>
        </w:rPr>
        <w:t>cubra el monto del adeudo y que una vez verificado e</w:t>
      </w:r>
      <w:r w:rsidR="00BE0FAF">
        <w:rPr>
          <w:rFonts w:ascii="Arial" w:hAnsi="Arial" w:cs="Arial"/>
          <w:sz w:val="24"/>
          <w:szCs w:val="24"/>
          <w:lang w:val="es-MX" w:eastAsia="es-ES"/>
        </w:rPr>
        <w:t xml:space="preserve">n el sistema de aportaciones de </w:t>
      </w:r>
      <w:r w:rsidRPr="00BE0FAF">
        <w:rPr>
          <w:rFonts w:ascii="Arial" w:hAnsi="Arial" w:cs="Arial"/>
          <w:sz w:val="24"/>
          <w:szCs w:val="24"/>
          <w:lang w:val="es-MX" w:eastAsia="es-ES"/>
        </w:rPr>
        <w:t>ISSSTELEÓN, el titular no se haya reubicado en otro organismo del Gobierno del Estado.</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En este supuesto la cobranza se hará de la siguiente manera:</w:t>
      </w:r>
    </w:p>
    <w:p w:rsidR="00580EB1" w:rsidRPr="00BE0FAF" w:rsidRDefault="00BE0FAF" w:rsidP="00BE0FAF">
      <w:pPr>
        <w:spacing w:after="0" w:line="360" w:lineRule="auto"/>
        <w:contextualSpacing/>
        <w:jc w:val="both"/>
        <w:rPr>
          <w:rFonts w:ascii="Arial" w:hAnsi="Arial" w:cs="Arial"/>
          <w:sz w:val="24"/>
          <w:szCs w:val="24"/>
          <w:lang w:val="es-MX" w:eastAsia="es-ES"/>
        </w:rPr>
      </w:pPr>
      <w:r>
        <w:rPr>
          <w:rFonts w:ascii="Arial" w:hAnsi="Arial" w:cs="Arial"/>
          <w:sz w:val="24"/>
          <w:szCs w:val="24"/>
          <w:lang w:val="es-MX" w:eastAsia="es-ES"/>
        </w:rPr>
        <w:t xml:space="preserve">Durante el primer año: </w:t>
      </w:r>
      <w:r w:rsidR="00580EB1" w:rsidRPr="00BE0FAF">
        <w:rPr>
          <w:rFonts w:ascii="Arial" w:hAnsi="Arial" w:cs="Arial"/>
          <w:sz w:val="24"/>
          <w:szCs w:val="24"/>
          <w:lang w:val="es-MX" w:eastAsia="es-ES"/>
        </w:rPr>
        <w:t>Se procederá a realizar cobranza por medios extrajudici</w:t>
      </w:r>
      <w:r>
        <w:rPr>
          <w:rFonts w:ascii="Arial" w:hAnsi="Arial" w:cs="Arial"/>
          <w:sz w:val="24"/>
          <w:szCs w:val="24"/>
          <w:lang w:val="es-MX" w:eastAsia="es-ES"/>
        </w:rPr>
        <w:t xml:space="preserve">ales, directamente por FOVILEON </w:t>
      </w:r>
      <w:r w:rsidR="00580EB1" w:rsidRPr="00BE0FAF">
        <w:rPr>
          <w:rFonts w:ascii="Arial" w:hAnsi="Arial" w:cs="Arial"/>
          <w:sz w:val="24"/>
          <w:szCs w:val="24"/>
          <w:lang w:val="es-MX" w:eastAsia="es-ES"/>
        </w:rPr>
        <w:t>con apoyo del Sindicato, a fin de localizar al deudor, quien po</w:t>
      </w:r>
      <w:r>
        <w:rPr>
          <w:rFonts w:ascii="Arial" w:hAnsi="Arial" w:cs="Arial"/>
          <w:sz w:val="24"/>
          <w:szCs w:val="24"/>
          <w:lang w:val="es-MX" w:eastAsia="es-ES"/>
        </w:rPr>
        <w:t xml:space="preserve">drá liquidar a través de caja o </w:t>
      </w:r>
      <w:r w:rsidR="00580EB1" w:rsidRPr="00BE0FAF">
        <w:rPr>
          <w:rFonts w:ascii="Arial" w:hAnsi="Arial" w:cs="Arial"/>
          <w:sz w:val="24"/>
          <w:szCs w:val="24"/>
          <w:lang w:val="es-MX" w:eastAsia="es-ES"/>
        </w:rPr>
        <w:t>presentar un aval que sea afiliado al SNTE secc</w:t>
      </w:r>
      <w:r>
        <w:rPr>
          <w:rFonts w:ascii="Arial" w:hAnsi="Arial" w:cs="Arial"/>
          <w:sz w:val="24"/>
          <w:szCs w:val="24"/>
          <w:lang w:val="es-MX" w:eastAsia="es-ES"/>
        </w:rPr>
        <w:t xml:space="preserve">ión 50 y con capacidad de pago. </w:t>
      </w:r>
      <w:r w:rsidR="00580EB1" w:rsidRPr="00BE0FAF">
        <w:rPr>
          <w:rFonts w:ascii="Arial" w:hAnsi="Arial" w:cs="Arial"/>
          <w:sz w:val="24"/>
          <w:szCs w:val="24"/>
          <w:lang w:val="es-MX" w:eastAsia="es-ES"/>
        </w:rPr>
        <w:t>Los adeudos, que no fuesen cubiertos después de un año, serán reservados a una cuenta</w:t>
      </w:r>
      <w:r>
        <w:rPr>
          <w:rFonts w:ascii="Arial" w:hAnsi="Arial" w:cs="Arial"/>
          <w:sz w:val="24"/>
          <w:szCs w:val="24"/>
          <w:lang w:val="es-MX" w:eastAsia="es-ES"/>
        </w:rPr>
        <w:t xml:space="preserve"> </w:t>
      </w:r>
      <w:r w:rsidR="00580EB1" w:rsidRPr="00BE0FAF">
        <w:rPr>
          <w:rFonts w:ascii="Arial" w:hAnsi="Arial" w:cs="Arial"/>
          <w:sz w:val="24"/>
          <w:szCs w:val="24"/>
          <w:lang w:val="es-MX" w:eastAsia="es-ES"/>
        </w:rPr>
        <w:t xml:space="preserve">de estimación de difícil recuperación. Sin embargo subsistirá </w:t>
      </w:r>
      <w:r>
        <w:rPr>
          <w:rFonts w:ascii="Arial" w:hAnsi="Arial" w:cs="Arial"/>
          <w:sz w:val="24"/>
          <w:szCs w:val="24"/>
          <w:lang w:val="es-MX" w:eastAsia="es-ES"/>
        </w:rPr>
        <w:t xml:space="preserve">el crédito contra el deudor por </w:t>
      </w:r>
      <w:r w:rsidR="00580EB1" w:rsidRPr="00BE0FAF">
        <w:rPr>
          <w:rFonts w:ascii="Arial" w:hAnsi="Arial" w:cs="Arial"/>
          <w:sz w:val="24"/>
          <w:szCs w:val="24"/>
          <w:lang w:val="es-MX" w:eastAsia="es-ES"/>
        </w:rPr>
        <w:t>los siguientes dos años.</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lastRenderedPageBreak/>
        <w:t>Durante este periodo de dos años se podrá continuar</w:t>
      </w:r>
      <w:r w:rsidR="00BE0FAF">
        <w:rPr>
          <w:rFonts w:ascii="Arial" w:hAnsi="Arial" w:cs="Arial"/>
          <w:sz w:val="24"/>
          <w:szCs w:val="24"/>
          <w:lang w:val="es-MX" w:eastAsia="es-ES"/>
        </w:rPr>
        <w:t xml:space="preserve"> con la cobranza extrajudicial. </w:t>
      </w:r>
      <w:r w:rsidRPr="00BE0FAF">
        <w:rPr>
          <w:rFonts w:ascii="Arial" w:hAnsi="Arial" w:cs="Arial"/>
          <w:sz w:val="24"/>
          <w:szCs w:val="24"/>
          <w:lang w:val="es-MX" w:eastAsia="es-ES"/>
        </w:rPr>
        <w:t>Al término de 3 años y agotadas las posibilidades de cob</w:t>
      </w:r>
      <w:r w:rsidR="00BE0FAF">
        <w:rPr>
          <w:rFonts w:ascii="Arial" w:hAnsi="Arial" w:cs="Arial"/>
          <w:sz w:val="24"/>
          <w:szCs w:val="24"/>
          <w:lang w:val="es-MX" w:eastAsia="es-ES"/>
        </w:rPr>
        <w:t xml:space="preserve">ro, se procederá a cancelar los </w:t>
      </w:r>
      <w:r w:rsidRPr="00BE0FAF">
        <w:rPr>
          <w:rFonts w:ascii="Arial" w:hAnsi="Arial" w:cs="Arial"/>
          <w:sz w:val="24"/>
          <w:szCs w:val="24"/>
          <w:lang w:val="es-MX" w:eastAsia="es-ES"/>
        </w:rPr>
        <w:t xml:space="preserve">adeudos contra la subcuenta de siniestralidad, previamente </w:t>
      </w:r>
      <w:r w:rsidR="00BE0FAF">
        <w:rPr>
          <w:rFonts w:ascii="Arial" w:hAnsi="Arial" w:cs="Arial"/>
          <w:sz w:val="24"/>
          <w:szCs w:val="24"/>
          <w:lang w:val="es-MX" w:eastAsia="es-ES"/>
        </w:rPr>
        <w:t xml:space="preserve">presentado el Informe al Comité </w:t>
      </w:r>
      <w:r w:rsidRPr="00BE0FAF">
        <w:rPr>
          <w:rFonts w:ascii="Arial" w:hAnsi="Arial" w:cs="Arial"/>
          <w:sz w:val="24"/>
          <w:szCs w:val="24"/>
          <w:lang w:val="es-MX" w:eastAsia="es-ES"/>
        </w:rPr>
        <w:t xml:space="preserve">Técnico para su aprobación. Pasado este periodo </w:t>
      </w:r>
      <w:r w:rsidR="00BE0FAF">
        <w:rPr>
          <w:rFonts w:ascii="Arial" w:hAnsi="Arial" w:cs="Arial"/>
          <w:sz w:val="24"/>
          <w:szCs w:val="24"/>
          <w:lang w:val="es-MX" w:eastAsia="es-ES"/>
        </w:rPr>
        <w:t xml:space="preserve">no se ejercerá cobranza alguna. </w:t>
      </w:r>
      <w:r w:rsidRPr="00BE0FAF">
        <w:rPr>
          <w:rFonts w:ascii="Arial" w:hAnsi="Arial" w:cs="Arial"/>
          <w:sz w:val="24"/>
          <w:szCs w:val="24"/>
          <w:lang w:val="es-MX" w:eastAsia="es-ES"/>
        </w:rPr>
        <w:t>Semestralmente deberá presentarse un informe al Comité T</w:t>
      </w:r>
      <w:r w:rsidR="00BE0FAF">
        <w:rPr>
          <w:rFonts w:ascii="Arial" w:hAnsi="Arial" w:cs="Arial"/>
          <w:sz w:val="24"/>
          <w:szCs w:val="24"/>
          <w:lang w:val="es-MX" w:eastAsia="es-ES"/>
        </w:rPr>
        <w:t xml:space="preserve">écnico de las cuentas que estén </w:t>
      </w:r>
      <w:r w:rsidRPr="00BE0FAF">
        <w:rPr>
          <w:rFonts w:ascii="Arial" w:hAnsi="Arial" w:cs="Arial"/>
          <w:sz w:val="24"/>
          <w:szCs w:val="24"/>
          <w:lang w:val="es-MX" w:eastAsia="es-ES"/>
        </w:rPr>
        <w:t>en alguno de los tres supuestos anteriormente especificados.</w:t>
      </w:r>
    </w:p>
    <w:p w:rsidR="00BE0FAF" w:rsidRDefault="00BE0FAF" w:rsidP="00BE0FAF">
      <w:pPr>
        <w:spacing w:after="0" w:line="360" w:lineRule="auto"/>
        <w:contextualSpacing/>
        <w:jc w:val="both"/>
        <w:rPr>
          <w:rFonts w:ascii="Arial" w:hAnsi="Arial" w:cs="Arial"/>
          <w:sz w:val="24"/>
          <w:szCs w:val="24"/>
          <w:lang w:val="es-MX" w:eastAsia="es-ES"/>
        </w:rPr>
      </w:pPr>
    </w:p>
    <w:p w:rsidR="00812FC6"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 xml:space="preserve">Lo anterior permitirá un control eficaz de la cartera y </w:t>
      </w:r>
      <w:r w:rsidR="00BE0FAF">
        <w:rPr>
          <w:rFonts w:ascii="Arial" w:hAnsi="Arial" w:cs="Arial"/>
          <w:sz w:val="24"/>
          <w:szCs w:val="24"/>
          <w:lang w:val="es-MX" w:eastAsia="es-ES"/>
        </w:rPr>
        <w:t xml:space="preserve">una certera toma de decisiones" </w:t>
      </w:r>
    </w:p>
    <w:p w:rsidR="00812FC6" w:rsidRDefault="00812FC6"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 xml:space="preserve">2) Durante el ejercicio sólo se incrementó la estimación </w:t>
      </w:r>
      <w:r w:rsidR="00BE0FAF">
        <w:rPr>
          <w:rFonts w:ascii="Arial" w:hAnsi="Arial" w:cs="Arial"/>
          <w:sz w:val="24"/>
          <w:szCs w:val="24"/>
          <w:lang w:val="es-MX" w:eastAsia="es-ES"/>
        </w:rPr>
        <w:t xml:space="preserve">de cuentas incobrables en julio </w:t>
      </w:r>
      <w:r w:rsidRPr="00BE0FAF">
        <w:rPr>
          <w:rFonts w:ascii="Arial" w:hAnsi="Arial" w:cs="Arial"/>
          <w:sz w:val="24"/>
          <w:szCs w:val="24"/>
          <w:lang w:val="es-MX" w:eastAsia="es-ES"/>
        </w:rPr>
        <w:t>y diciembre, sin embargo deben actualizarse me</w:t>
      </w:r>
      <w:r w:rsidR="00BE0FAF">
        <w:rPr>
          <w:rFonts w:ascii="Arial" w:hAnsi="Arial" w:cs="Arial"/>
          <w:sz w:val="24"/>
          <w:szCs w:val="24"/>
          <w:lang w:val="es-MX" w:eastAsia="es-ES"/>
        </w:rPr>
        <w:t xml:space="preserve">nsualmente como se establece en </w:t>
      </w:r>
      <w:r w:rsidRPr="00BE0FAF">
        <w:rPr>
          <w:rFonts w:ascii="Arial" w:hAnsi="Arial" w:cs="Arial"/>
          <w:sz w:val="24"/>
          <w:szCs w:val="24"/>
          <w:lang w:val="es-MX" w:eastAsia="es-ES"/>
        </w:rPr>
        <w:t>el punto 5 de las Reglas Específicas del Registro</w:t>
      </w:r>
      <w:r w:rsidR="00BE0FAF">
        <w:rPr>
          <w:rFonts w:ascii="Arial" w:hAnsi="Arial" w:cs="Arial"/>
          <w:sz w:val="24"/>
          <w:szCs w:val="24"/>
          <w:lang w:val="es-MX" w:eastAsia="es-ES"/>
        </w:rPr>
        <w:t xml:space="preserve"> y Valoración del Patrimonio de </w:t>
      </w:r>
      <w:r w:rsidRPr="00BE0FAF">
        <w:rPr>
          <w:rFonts w:ascii="Arial" w:hAnsi="Arial" w:cs="Arial"/>
          <w:sz w:val="24"/>
          <w:szCs w:val="24"/>
          <w:lang w:val="es-MX" w:eastAsia="es-ES"/>
        </w:rPr>
        <w:t>observancia obligatoria conforme al artículo 7 de</w:t>
      </w:r>
      <w:r w:rsidR="00BE0FAF">
        <w:rPr>
          <w:rFonts w:ascii="Arial" w:hAnsi="Arial" w:cs="Arial"/>
          <w:sz w:val="24"/>
          <w:szCs w:val="24"/>
          <w:lang w:val="es-MX" w:eastAsia="es-ES"/>
        </w:rPr>
        <w:t xml:space="preserve"> la Ley General de Contabilidad </w:t>
      </w:r>
      <w:r w:rsidRPr="00BE0FAF">
        <w:rPr>
          <w:rFonts w:ascii="Arial" w:hAnsi="Arial" w:cs="Arial"/>
          <w:sz w:val="24"/>
          <w:szCs w:val="24"/>
          <w:lang w:val="es-MX" w:eastAsia="es-ES"/>
        </w:rPr>
        <w:t>Gubernamental.</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Acción(es) o recomendación(es) emitida(s)</w:t>
      </w:r>
    </w:p>
    <w:p w:rsidR="00580EB1" w:rsidRPr="00BE0FAF" w:rsidRDefault="00580EB1" w:rsidP="00BE0FAF">
      <w:pPr>
        <w:spacing w:after="0" w:line="360" w:lineRule="auto"/>
        <w:contextualSpacing/>
        <w:jc w:val="both"/>
        <w:rPr>
          <w:rFonts w:ascii="Arial" w:hAnsi="Arial" w:cs="Arial"/>
          <w:i/>
          <w:sz w:val="24"/>
          <w:szCs w:val="24"/>
          <w:lang w:val="es-MX" w:eastAsia="es-ES"/>
        </w:rPr>
      </w:pPr>
      <w:r w:rsidRPr="00BE0FAF">
        <w:rPr>
          <w:rFonts w:ascii="Arial" w:hAnsi="Arial" w:cs="Arial"/>
          <w:i/>
          <w:sz w:val="24"/>
          <w:szCs w:val="24"/>
          <w:lang w:val="es-MX" w:eastAsia="es-ES"/>
        </w:rPr>
        <w:t>Promoción de Fincamiento de Responsabilidad Administrativa.</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PASIVO</w:t>
      </w: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Pasivo circulante</w:t>
      </w: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Provisiones a corto plazo</w:t>
      </w:r>
    </w:p>
    <w:p w:rsidR="00580EB1" w:rsidRPr="00BE0FAF" w:rsidRDefault="00580EB1" w:rsidP="00BE0FAF">
      <w:pPr>
        <w:spacing w:after="0" w:line="360" w:lineRule="auto"/>
        <w:contextualSpacing/>
        <w:jc w:val="both"/>
        <w:rPr>
          <w:rFonts w:ascii="Arial" w:hAnsi="Arial" w:cs="Arial"/>
          <w:b/>
          <w:sz w:val="24"/>
          <w:szCs w:val="24"/>
          <w:u w:val="single"/>
          <w:lang w:val="es-MX" w:eastAsia="es-ES"/>
        </w:rPr>
      </w:pPr>
      <w:r w:rsidRPr="00BE0FAF">
        <w:rPr>
          <w:rFonts w:ascii="Arial" w:hAnsi="Arial" w:cs="Arial"/>
          <w:b/>
          <w:sz w:val="24"/>
          <w:szCs w:val="24"/>
          <w:u w:val="single"/>
          <w:lang w:val="es-MX" w:eastAsia="es-ES"/>
        </w:rPr>
        <w:t>(01)Otras cuentas por pagar a corto plazo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b/>
          <w:sz w:val="24"/>
          <w:szCs w:val="24"/>
          <w:lang w:val="es-MX" w:eastAsia="es-ES"/>
        </w:rPr>
        <w:lastRenderedPageBreak/>
        <w:t>12.</w:t>
      </w:r>
      <w:r w:rsidRPr="00BE0FAF">
        <w:rPr>
          <w:rFonts w:ascii="Arial" w:hAnsi="Arial" w:cs="Arial"/>
          <w:sz w:val="24"/>
          <w:szCs w:val="24"/>
          <w:lang w:val="es-MX" w:eastAsia="es-ES"/>
        </w:rPr>
        <w:t xml:space="preserve"> Observamos que el Fideicomiso registró los saldos a favor de los beneficiarios en la cuenta</w:t>
      </w:r>
      <w:r w:rsidR="00BE0FAF">
        <w:rPr>
          <w:rFonts w:ascii="Arial" w:hAnsi="Arial" w:cs="Arial"/>
          <w:sz w:val="24"/>
          <w:szCs w:val="24"/>
          <w:lang w:val="es-MX" w:eastAsia="es-ES"/>
        </w:rPr>
        <w:t xml:space="preserve"> </w:t>
      </w:r>
      <w:r w:rsidRPr="00BE0FAF">
        <w:rPr>
          <w:rFonts w:ascii="Arial" w:hAnsi="Arial" w:cs="Arial"/>
          <w:sz w:val="24"/>
          <w:szCs w:val="24"/>
          <w:lang w:val="es-MX" w:eastAsia="es-ES"/>
        </w:rPr>
        <w:t>"saldo por pagar a clientes" sin realizar el análisis correspondiente, conforme a lo siguiente:</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a) En 42 casos omitió unificar el saldo a favor y el saldo a car</w:t>
      </w:r>
      <w:r w:rsidR="00BE0FAF">
        <w:rPr>
          <w:rFonts w:ascii="Arial" w:hAnsi="Arial" w:cs="Arial"/>
          <w:sz w:val="24"/>
          <w:szCs w:val="24"/>
          <w:lang w:val="es-MX" w:eastAsia="es-ES"/>
        </w:rPr>
        <w:t xml:space="preserve">go en dos expedientes </w:t>
      </w:r>
      <w:r w:rsidRPr="00BE0FAF">
        <w:rPr>
          <w:rFonts w:ascii="Arial" w:hAnsi="Arial" w:cs="Arial"/>
          <w:sz w:val="24"/>
          <w:szCs w:val="24"/>
          <w:lang w:val="es-MX" w:eastAsia="es-ES"/>
        </w:rPr>
        <w:t>del mismo beneficiario; relación en el archivo deno</w:t>
      </w:r>
      <w:r w:rsidR="00BE0FAF">
        <w:rPr>
          <w:rFonts w:ascii="Arial" w:hAnsi="Arial" w:cs="Arial"/>
          <w:sz w:val="24"/>
          <w:szCs w:val="24"/>
          <w:lang w:val="es-MX" w:eastAsia="es-ES"/>
        </w:rPr>
        <w:t xml:space="preserve">minado "Anexo -C-, contenido en </w:t>
      </w:r>
      <w:r w:rsidRPr="00BE0FAF">
        <w:rPr>
          <w:rFonts w:ascii="Arial" w:hAnsi="Arial" w:cs="Arial"/>
          <w:sz w:val="24"/>
          <w:szCs w:val="24"/>
          <w:lang w:val="es-MX" w:eastAsia="es-ES"/>
        </w:rPr>
        <w:t>el CD adjunto rotulado con el nombre "Anexos de Observaciones Preliminares".</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b) En 78 casos omitió traspasar el saldo del préstamo al número de emplead</w:t>
      </w:r>
      <w:r w:rsidR="00BE0FAF">
        <w:rPr>
          <w:rFonts w:ascii="Arial" w:hAnsi="Arial" w:cs="Arial"/>
          <w:sz w:val="24"/>
          <w:szCs w:val="24"/>
          <w:lang w:val="es-MX" w:eastAsia="es-ES"/>
        </w:rPr>
        <w:t xml:space="preserve">o activo, </w:t>
      </w:r>
      <w:r w:rsidRPr="00BE0FAF">
        <w:rPr>
          <w:rFonts w:ascii="Arial" w:hAnsi="Arial" w:cs="Arial"/>
          <w:sz w:val="24"/>
          <w:szCs w:val="24"/>
          <w:lang w:val="es-MX" w:eastAsia="es-ES"/>
        </w:rPr>
        <w:t>en los casos que el beneficiario ingresó a otra dependen</w:t>
      </w:r>
      <w:r w:rsidR="00BE0FAF">
        <w:rPr>
          <w:rFonts w:ascii="Arial" w:hAnsi="Arial" w:cs="Arial"/>
          <w:sz w:val="24"/>
          <w:szCs w:val="24"/>
          <w:lang w:val="es-MX" w:eastAsia="es-ES"/>
        </w:rPr>
        <w:t xml:space="preserve">cia o se jubiló; relación en el </w:t>
      </w:r>
      <w:r w:rsidRPr="00BE0FAF">
        <w:rPr>
          <w:rFonts w:ascii="Arial" w:hAnsi="Arial" w:cs="Arial"/>
          <w:sz w:val="24"/>
          <w:szCs w:val="24"/>
          <w:lang w:val="es-MX" w:eastAsia="es-ES"/>
        </w:rPr>
        <w:t>archivo denominado "Anexo -D-, contenido en el CD</w:t>
      </w:r>
      <w:r w:rsidR="00BE0FAF">
        <w:rPr>
          <w:rFonts w:ascii="Arial" w:hAnsi="Arial" w:cs="Arial"/>
          <w:sz w:val="24"/>
          <w:szCs w:val="24"/>
          <w:lang w:val="es-MX" w:eastAsia="es-ES"/>
        </w:rPr>
        <w:t xml:space="preserve"> adjunto rotulado con el nombre </w:t>
      </w:r>
      <w:r w:rsidRPr="00BE0FAF">
        <w:rPr>
          <w:rFonts w:ascii="Arial" w:hAnsi="Arial" w:cs="Arial"/>
          <w:sz w:val="24"/>
          <w:szCs w:val="24"/>
          <w:lang w:val="es-MX" w:eastAsia="es-ES"/>
        </w:rPr>
        <w:t>"Anexos de Observaciones Preliminares".</w:t>
      </w:r>
    </w:p>
    <w:p w:rsidR="00BE0FAF" w:rsidRDefault="00BE0FAF"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b/>
          <w:sz w:val="24"/>
          <w:szCs w:val="24"/>
          <w:lang w:val="es-MX" w:eastAsia="es-ES"/>
        </w:rPr>
      </w:pPr>
      <w:r w:rsidRPr="00BE0FAF">
        <w:rPr>
          <w:rFonts w:ascii="Arial" w:hAnsi="Arial" w:cs="Arial"/>
          <w:b/>
          <w:sz w:val="24"/>
          <w:szCs w:val="24"/>
          <w:lang w:val="es-MX" w:eastAsia="es-ES"/>
        </w:rPr>
        <w:t>Análisis de la Auditoría Superior del Estado</w:t>
      </w:r>
    </w:p>
    <w:p w:rsidR="00580EB1"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Derivado del análisis de la respuesta y la evidencia prese</w:t>
      </w:r>
      <w:r w:rsidR="00BE0FAF">
        <w:rPr>
          <w:rFonts w:ascii="Arial" w:hAnsi="Arial" w:cs="Arial"/>
          <w:sz w:val="24"/>
          <w:szCs w:val="24"/>
          <w:lang w:val="es-MX" w:eastAsia="es-ES"/>
        </w:rPr>
        <w:t xml:space="preserve">ntada por el Ente Público, esta </w:t>
      </w:r>
      <w:r w:rsidRPr="00BE0FAF">
        <w:rPr>
          <w:rFonts w:ascii="Arial" w:hAnsi="Arial" w:cs="Arial"/>
          <w:sz w:val="24"/>
          <w:szCs w:val="24"/>
          <w:lang w:val="es-MX" w:eastAsia="es-ES"/>
        </w:rPr>
        <w:t>observación se solventa parcialmente, ya que únicame</w:t>
      </w:r>
      <w:r w:rsidR="00BE0FAF">
        <w:rPr>
          <w:rFonts w:ascii="Arial" w:hAnsi="Arial" w:cs="Arial"/>
          <w:sz w:val="24"/>
          <w:szCs w:val="24"/>
          <w:lang w:val="es-MX" w:eastAsia="es-ES"/>
        </w:rPr>
        <w:t xml:space="preserve">nte se envían el estatus de los </w:t>
      </w:r>
      <w:r w:rsidRPr="00BE0FAF">
        <w:rPr>
          <w:rFonts w:ascii="Arial" w:hAnsi="Arial" w:cs="Arial"/>
          <w:sz w:val="24"/>
          <w:szCs w:val="24"/>
          <w:lang w:val="es-MX" w:eastAsia="es-ES"/>
        </w:rPr>
        <w:t>casos observados, sin embargo no agregan registros conta</w:t>
      </w:r>
      <w:r w:rsidR="00BE0FAF">
        <w:rPr>
          <w:rFonts w:ascii="Arial" w:hAnsi="Arial" w:cs="Arial"/>
          <w:sz w:val="24"/>
          <w:szCs w:val="24"/>
          <w:lang w:val="es-MX" w:eastAsia="es-ES"/>
        </w:rPr>
        <w:t xml:space="preserve">bles que respalden las acciones </w:t>
      </w:r>
      <w:r w:rsidRPr="00BE0FAF">
        <w:rPr>
          <w:rFonts w:ascii="Arial" w:hAnsi="Arial" w:cs="Arial"/>
          <w:sz w:val="24"/>
          <w:szCs w:val="24"/>
          <w:lang w:val="es-MX" w:eastAsia="es-ES"/>
        </w:rPr>
        <w:t>realizadas según la información presentada.</w:t>
      </w:r>
    </w:p>
    <w:p w:rsidR="00274F35" w:rsidRPr="00BE0FAF" w:rsidRDefault="00274F35"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Acción(es) o recomendación(es) emitida(s)</w:t>
      </w:r>
    </w:p>
    <w:p w:rsidR="00580EB1" w:rsidRPr="00274F35" w:rsidRDefault="00580EB1"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Recomendaciones en Relación a la Gestión o Control Interno.</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Otras cuentas por pagar a corto plazo</w:t>
      </w:r>
    </w:p>
    <w:p w:rsidR="00274F35" w:rsidRDefault="00580EB1" w:rsidP="00BE0FAF">
      <w:pPr>
        <w:spacing w:after="0" w:line="360" w:lineRule="auto"/>
        <w:contextualSpacing/>
        <w:jc w:val="both"/>
        <w:rPr>
          <w:rFonts w:ascii="Arial" w:hAnsi="Arial" w:cs="Arial"/>
          <w:sz w:val="24"/>
          <w:szCs w:val="24"/>
          <w:lang w:val="es-MX" w:eastAsia="es-ES"/>
        </w:rPr>
      </w:pPr>
      <w:r w:rsidRPr="00274F35">
        <w:rPr>
          <w:rFonts w:ascii="Arial" w:hAnsi="Arial" w:cs="Arial"/>
          <w:b/>
          <w:sz w:val="24"/>
          <w:szCs w:val="24"/>
          <w:lang w:val="es-MX" w:eastAsia="es-ES"/>
        </w:rPr>
        <w:t>13.</w:t>
      </w:r>
      <w:r w:rsidRPr="00BE0FAF">
        <w:rPr>
          <w:rFonts w:ascii="Arial" w:hAnsi="Arial" w:cs="Arial"/>
          <w:sz w:val="24"/>
          <w:szCs w:val="24"/>
          <w:lang w:val="es-MX" w:eastAsia="es-ES"/>
        </w:rPr>
        <w:t xml:space="preserve"> En el reporte de cartera se detectaron 1,559 casos que</w:t>
      </w:r>
      <w:r w:rsidR="00274F35">
        <w:rPr>
          <w:rFonts w:ascii="Arial" w:hAnsi="Arial" w:cs="Arial"/>
          <w:sz w:val="24"/>
          <w:szCs w:val="24"/>
          <w:lang w:val="es-MX" w:eastAsia="es-ES"/>
        </w:rPr>
        <w:t xml:space="preserve"> presentaron saldos a favor del </w:t>
      </w:r>
      <w:r w:rsidR="00274F35" w:rsidRPr="00BE0FAF">
        <w:rPr>
          <w:rFonts w:ascii="Arial" w:hAnsi="Arial" w:cs="Arial"/>
          <w:sz w:val="24"/>
          <w:szCs w:val="24"/>
          <w:lang w:val="es-MX" w:eastAsia="es-ES"/>
        </w:rPr>
        <w:t xml:space="preserve">beneficiario originado por falta de análisis y depuración, </w:t>
      </w:r>
      <w:r w:rsidR="00274F35" w:rsidRPr="00BE0FAF">
        <w:rPr>
          <w:rFonts w:ascii="Arial" w:hAnsi="Arial" w:cs="Arial"/>
          <w:sz w:val="24"/>
          <w:szCs w:val="24"/>
          <w:lang w:val="es-MX" w:eastAsia="es-ES"/>
        </w:rPr>
        <w:lastRenderedPageBreak/>
        <w:t>mismo que se relacionan en el archivo electrónico “Anexo E” que se encuentra adjunto al comunicado en el CD “Anexos de Observaciones Preliminares</w:t>
      </w:r>
      <w:r w:rsidR="00274F35">
        <w:rPr>
          <w:rFonts w:ascii="Arial" w:hAnsi="Arial" w:cs="Arial"/>
          <w:sz w:val="24"/>
          <w:szCs w:val="24"/>
          <w:lang w:val="es-MX" w:eastAsia="es-ES"/>
        </w:rPr>
        <w:t xml:space="preserve">. </w:t>
      </w:r>
    </w:p>
    <w:p w:rsidR="00274F35" w:rsidRDefault="00274F35" w:rsidP="00BE0FAF">
      <w:pPr>
        <w:spacing w:after="0" w:line="360" w:lineRule="auto"/>
        <w:contextualSpacing/>
        <w:jc w:val="both"/>
        <w:rPr>
          <w:rFonts w:ascii="Arial" w:hAnsi="Arial" w:cs="Arial"/>
          <w:sz w:val="24"/>
          <w:szCs w:val="24"/>
          <w:lang w:val="es-MX" w:eastAsia="es-ES"/>
        </w:rPr>
      </w:pP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La antigüedad de los saldos mayores a un año es la siguiente:</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noProof/>
          <w:sz w:val="24"/>
          <w:szCs w:val="24"/>
          <w:lang w:val="es-MX" w:eastAsia="es-MX"/>
        </w:rPr>
        <w:drawing>
          <wp:inline distT="0" distB="0" distL="0" distR="0" wp14:anchorId="72302ED8" wp14:editId="3D81F6ED">
            <wp:extent cx="2434590" cy="3253740"/>
            <wp:effectExtent l="0" t="0" r="381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4590" cy="3253740"/>
                    </a:xfrm>
                    <a:prstGeom prst="rect">
                      <a:avLst/>
                    </a:prstGeom>
                    <a:noFill/>
                    <a:ln>
                      <a:noFill/>
                    </a:ln>
                  </pic:spPr>
                </pic:pic>
              </a:graphicData>
            </a:graphic>
          </wp:inline>
        </w:drawing>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Análisis de la Auditoría Superior del Estado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Derivado del análisis de la respuesta y la evidencia pres</w:t>
      </w:r>
      <w:r w:rsidR="00274F35">
        <w:rPr>
          <w:rFonts w:ascii="Arial" w:hAnsi="Arial" w:cs="Arial"/>
          <w:sz w:val="24"/>
          <w:szCs w:val="24"/>
          <w:lang w:val="es-MX" w:eastAsia="es-ES"/>
        </w:rPr>
        <w:t xml:space="preserve">entada por el Fideicomiso, esta </w:t>
      </w:r>
      <w:r w:rsidRPr="00BE0FAF">
        <w:rPr>
          <w:rFonts w:ascii="Arial" w:hAnsi="Arial" w:cs="Arial"/>
          <w:sz w:val="24"/>
          <w:szCs w:val="24"/>
          <w:lang w:val="es-MX" w:eastAsia="es-ES"/>
        </w:rPr>
        <w:t>observación se solventa parcialmente, ya que si bien a</w:t>
      </w:r>
      <w:r w:rsidR="00274F35">
        <w:rPr>
          <w:rFonts w:ascii="Arial" w:hAnsi="Arial" w:cs="Arial"/>
          <w:sz w:val="24"/>
          <w:szCs w:val="24"/>
          <w:lang w:val="es-MX" w:eastAsia="es-ES"/>
        </w:rPr>
        <w:t xml:space="preserve">nexan listado de integración de </w:t>
      </w:r>
      <w:r w:rsidRPr="00BE0FAF">
        <w:rPr>
          <w:rFonts w:ascii="Arial" w:hAnsi="Arial" w:cs="Arial"/>
          <w:sz w:val="24"/>
          <w:szCs w:val="24"/>
          <w:lang w:val="es-MX" w:eastAsia="es-ES"/>
        </w:rPr>
        <w:t>depuración de cuentas y corrección del estatus, no se</w:t>
      </w:r>
      <w:r w:rsidR="00274F35">
        <w:rPr>
          <w:rFonts w:ascii="Arial" w:hAnsi="Arial" w:cs="Arial"/>
          <w:sz w:val="24"/>
          <w:szCs w:val="24"/>
          <w:lang w:val="es-MX" w:eastAsia="es-ES"/>
        </w:rPr>
        <w:t xml:space="preserve"> anexó evidencia documental que </w:t>
      </w:r>
      <w:r w:rsidRPr="00BE0FAF">
        <w:rPr>
          <w:rFonts w:ascii="Arial" w:hAnsi="Arial" w:cs="Arial"/>
          <w:sz w:val="24"/>
          <w:szCs w:val="24"/>
          <w:lang w:val="es-MX" w:eastAsia="es-ES"/>
        </w:rPr>
        <w:t>demuestre su adecuado registro contable.</w:t>
      </w:r>
    </w:p>
    <w:p w:rsidR="00274F35" w:rsidRDefault="00274F35"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lastRenderedPageBreak/>
        <w:t>Acción(es) o recomendación(es) emitida(s)</w:t>
      </w:r>
    </w:p>
    <w:p w:rsidR="00580EB1" w:rsidRPr="00274F35" w:rsidRDefault="00580EB1"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Recomendaciones en Relación a la Gestión o Control Interno.</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Otros pasivos a corto plazo</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274F35">
        <w:rPr>
          <w:rFonts w:ascii="Arial" w:hAnsi="Arial" w:cs="Arial"/>
          <w:b/>
          <w:sz w:val="24"/>
          <w:szCs w:val="24"/>
          <w:lang w:val="es-MX" w:eastAsia="es-ES"/>
        </w:rPr>
        <w:t>14.</w:t>
      </w:r>
      <w:r w:rsidRPr="00BE0FAF">
        <w:rPr>
          <w:rFonts w:ascii="Arial" w:hAnsi="Arial" w:cs="Arial"/>
          <w:sz w:val="24"/>
          <w:szCs w:val="24"/>
          <w:lang w:val="es-MX" w:eastAsia="es-ES"/>
        </w:rPr>
        <w:t xml:space="preserve"> Se observó que el Fideicomiso determinó el "cálculo de la </w:t>
      </w:r>
      <w:r w:rsidR="00274F35">
        <w:rPr>
          <w:rFonts w:ascii="Arial" w:hAnsi="Arial" w:cs="Arial"/>
          <w:sz w:val="24"/>
          <w:szCs w:val="24"/>
          <w:lang w:val="es-MX" w:eastAsia="es-ES"/>
        </w:rPr>
        <w:t xml:space="preserve">reserva para pasivos laborales" </w:t>
      </w:r>
      <w:r w:rsidRPr="00BE0FAF">
        <w:rPr>
          <w:rFonts w:ascii="Arial" w:hAnsi="Arial" w:cs="Arial"/>
          <w:sz w:val="24"/>
          <w:szCs w:val="24"/>
          <w:lang w:val="es-MX" w:eastAsia="es-ES"/>
        </w:rPr>
        <w:t>calculando indemnización y finiquito de cada trabajador al 31 de diciembre de 2015</w:t>
      </w:r>
      <w:r w:rsidR="00274F35">
        <w:rPr>
          <w:rFonts w:ascii="Arial" w:hAnsi="Arial" w:cs="Arial"/>
          <w:sz w:val="24"/>
          <w:szCs w:val="24"/>
          <w:lang w:val="es-MX" w:eastAsia="es-ES"/>
        </w:rPr>
        <w:t xml:space="preserve"> </w:t>
      </w:r>
      <w:r w:rsidRPr="00BE0FAF">
        <w:rPr>
          <w:rFonts w:ascii="Arial" w:hAnsi="Arial" w:cs="Arial"/>
          <w:sz w:val="24"/>
          <w:szCs w:val="24"/>
          <w:lang w:val="es-MX" w:eastAsia="es-ES"/>
        </w:rPr>
        <w:t>incumpliendo lo establecido en la Norma de Información Financiera NIF D-3 "Beneficios a</w:t>
      </w:r>
      <w:r w:rsidR="00274F35">
        <w:rPr>
          <w:rFonts w:ascii="Arial" w:hAnsi="Arial" w:cs="Arial"/>
          <w:sz w:val="24"/>
          <w:szCs w:val="24"/>
          <w:lang w:val="es-MX" w:eastAsia="es-ES"/>
        </w:rPr>
        <w:t xml:space="preserve"> </w:t>
      </w:r>
      <w:r w:rsidRPr="00BE0FAF">
        <w:rPr>
          <w:rFonts w:ascii="Arial" w:hAnsi="Arial" w:cs="Arial"/>
          <w:sz w:val="24"/>
          <w:szCs w:val="24"/>
          <w:lang w:val="es-MX" w:eastAsia="es-ES"/>
        </w:rPr>
        <w:t>los empleados", la cual requiere el reconocimiento periódico</w:t>
      </w:r>
      <w:r w:rsidR="00274F35">
        <w:rPr>
          <w:rFonts w:ascii="Arial" w:hAnsi="Arial" w:cs="Arial"/>
          <w:sz w:val="24"/>
          <w:szCs w:val="24"/>
          <w:lang w:val="es-MX" w:eastAsia="es-ES"/>
        </w:rPr>
        <w:t xml:space="preserve"> de estas obligaciones con base </w:t>
      </w:r>
      <w:r w:rsidRPr="00BE0FAF">
        <w:rPr>
          <w:rFonts w:ascii="Arial" w:hAnsi="Arial" w:cs="Arial"/>
          <w:sz w:val="24"/>
          <w:szCs w:val="24"/>
          <w:lang w:val="es-MX" w:eastAsia="es-ES"/>
        </w:rPr>
        <w:t>en cálculos efectuados por actuarios independientes mediant</w:t>
      </w:r>
      <w:r w:rsidR="00274F35">
        <w:rPr>
          <w:rFonts w:ascii="Arial" w:hAnsi="Arial" w:cs="Arial"/>
          <w:sz w:val="24"/>
          <w:szCs w:val="24"/>
          <w:lang w:val="es-MX" w:eastAsia="es-ES"/>
        </w:rPr>
        <w:t xml:space="preserve">e el método de crédito unitario </w:t>
      </w:r>
      <w:r w:rsidRPr="00BE0FAF">
        <w:rPr>
          <w:rFonts w:ascii="Arial" w:hAnsi="Arial" w:cs="Arial"/>
          <w:sz w:val="24"/>
          <w:szCs w:val="24"/>
          <w:lang w:val="es-MX" w:eastAsia="es-ES"/>
        </w:rPr>
        <w:t>proyectado, utilizando hipótesis financieras de inflación.</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Acción(es) o recomendación(es) emitida(s)</w:t>
      </w:r>
    </w:p>
    <w:p w:rsidR="00580EB1" w:rsidRPr="00274F35" w:rsidRDefault="00580EB1"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Recomendaciones en Relación a la Gestión o Control Interno.</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HACIENDA PÚBLICA/PATRIMONIO</w:t>
      </w:r>
    </w:p>
    <w:p w:rsidR="00580EB1" w:rsidRPr="00274F35" w:rsidRDefault="00580EB1"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Hacienda pública/patrimonio generado</w:t>
      </w:r>
    </w:p>
    <w:p w:rsidR="00580EB1" w:rsidRPr="00274F35" w:rsidRDefault="00580EB1"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Resultado de ejercicios anteriores</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274F35">
        <w:rPr>
          <w:rFonts w:ascii="Arial" w:hAnsi="Arial" w:cs="Arial"/>
          <w:b/>
          <w:sz w:val="24"/>
          <w:szCs w:val="24"/>
          <w:lang w:val="es-MX" w:eastAsia="es-ES"/>
        </w:rPr>
        <w:t>15.</w:t>
      </w:r>
      <w:r w:rsidRPr="00BE0FAF">
        <w:rPr>
          <w:rFonts w:ascii="Arial" w:hAnsi="Arial" w:cs="Arial"/>
          <w:sz w:val="24"/>
          <w:szCs w:val="24"/>
          <w:lang w:val="es-MX" w:eastAsia="es-ES"/>
        </w:rPr>
        <w:t xml:space="preserve"> Se observó que la póliza D00212 del 19/06/2015 regis</w:t>
      </w:r>
      <w:r w:rsidR="00274F35">
        <w:rPr>
          <w:rFonts w:ascii="Arial" w:hAnsi="Arial" w:cs="Arial"/>
          <w:sz w:val="24"/>
          <w:szCs w:val="24"/>
          <w:lang w:val="es-MX" w:eastAsia="es-ES"/>
        </w:rPr>
        <w:t xml:space="preserve">trada en la cuenta de Resultado </w:t>
      </w:r>
      <w:r w:rsidRPr="00BE0FAF">
        <w:rPr>
          <w:rFonts w:ascii="Arial" w:hAnsi="Arial" w:cs="Arial"/>
          <w:sz w:val="24"/>
          <w:szCs w:val="24"/>
          <w:lang w:val="es-MX" w:eastAsia="es-ES"/>
        </w:rPr>
        <w:t>de ejercicios anteriores por $11,868, no incluye el sop</w:t>
      </w:r>
      <w:r w:rsidR="00274F35">
        <w:rPr>
          <w:rFonts w:ascii="Arial" w:hAnsi="Arial" w:cs="Arial"/>
          <w:sz w:val="24"/>
          <w:szCs w:val="24"/>
          <w:lang w:val="es-MX" w:eastAsia="es-ES"/>
        </w:rPr>
        <w:t xml:space="preserve">orte documental que compruebe y </w:t>
      </w:r>
      <w:r w:rsidRPr="00BE0FAF">
        <w:rPr>
          <w:rFonts w:ascii="Arial" w:hAnsi="Arial" w:cs="Arial"/>
          <w:sz w:val="24"/>
          <w:szCs w:val="24"/>
          <w:lang w:val="es-MX" w:eastAsia="es-ES"/>
        </w:rPr>
        <w:t>justifique el registro efectuado, incumpliendo con lo establec</w:t>
      </w:r>
      <w:r w:rsidR="00274F35">
        <w:rPr>
          <w:rFonts w:ascii="Arial" w:hAnsi="Arial" w:cs="Arial"/>
          <w:sz w:val="24"/>
          <w:szCs w:val="24"/>
          <w:lang w:val="es-MX" w:eastAsia="es-ES"/>
        </w:rPr>
        <w:t xml:space="preserve">ido en el artículo 42 de la Ley </w:t>
      </w:r>
      <w:r w:rsidRPr="00BE0FAF">
        <w:rPr>
          <w:rFonts w:ascii="Arial" w:hAnsi="Arial" w:cs="Arial"/>
          <w:sz w:val="24"/>
          <w:szCs w:val="24"/>
          <w:lang w:val="es-MX" w:eastAsia="es-ES"/>
        </w:rPr>
        <w:t>General de Contabilidad Gubernamental y 15 de la Ley de Fi</w:t>
      </w:r>
      <w:r w:rsidR="00274F35">
        <w:rPr>
          <w:rFonts w:ascii="Arial" w:hAnsi="Arial" w:cs="Arial"/>
          <w:sz w:val="24"/>
          <w:szCs w:val="24"/>
          <w:lang w:val="es-MX" w:eastAsia="es-ES"/>
        </w:rPr>
        <w:t xml:space="preserve">scalización Superior del Estado </w:t>
      </w:r>
      <w:r w:rsidRPr="00BE0FAF">
        <w:rPr>
          <w:rFonts w:ascii="Arial" w:hAnsi="Arial" w:cs="Arial"/>
          <w:sz w:val="24"/>
          <w:szCs w:val="24"/>
          <w:lang w:val="es-MX" w:eastAsia="es-ES"/>
        </w:rPr>
        <w:t>de Nuevo León.</w:t>
      </w:r>
    </w:p>
    <w:p w:rsidR="00580EB1" w:rsidRPr="00BE0FAF" w:rsidRDefault="00580EB1"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lastRenderedPageBreak/>
        <w:t>Acción(es) o recomendación(es) emitida(s)</w:t>
      </w:r>
    </w:p>
    <w:p w:rsidR="00580EB1" w:rsidRPr="00274F35" w:rsidRDefault="00580EB1"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Promoción de Fincamiento de Responsabilidad Administrativa.</w:t>
      </w:r>
    </w:p>
    <w:p w:rsidR="00274F35" w:rsidRDefault="00274F35" w:rsidP="00BE0FAF">
      <w:pPr>
        <w:spacing w:after="0" w:line="360" w:lineRule="auto"/>
        <w:contextualSpacing/>
        <w:jc w:val="both"/>
        <w:rPr>
          <w:rFonts w:ascii="Arial" w:hAnsi="Arial" w:cs="Arial"/>
          <w:sz w:val="24"/>
          <w:szCs w:val="24"/>
          <w:lang w:val="es-MX" w:eastAsia="es-ES"/>
        </w:rPr>
      </w:pPr>
    </w:p>
    <w:p w:rsidR="00580EB1" w:rsidRPr="00274F35" w:rsidRDefault="00580EB1"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Exceso o insuficiencia en la actualización de la hacienda pública/patrimonio</w:t>
      </w:r>
    </w:p>
    <w:p w:rsidR="00580EB1" w:rsidRPr="00274F35" w:rsidRDefault="00580EB1"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Resultado por posición monetaria</w:t>
      </w:r>
    </w:p>
    <w:p w:rsidR="00580EB1" w:rsidRPr="00BE0FAF" w:rsidRDefault="00580EB1" w:rsidP="00BE0FAF">
      <w:pPr>
        <w:spacing w:after="0" w:line="360" w:lineRule="auto"/>
        <w:contextualSpacing/>
        <w:jc w:val="both"/>
        <w:rPr>
          <w:rFonts w:ascii="Arial" w:hAnsi="Arial" w:cs="Arial"/>
          <w:sz w:val="24"/>
          <w:szCs w:val="24"/>
          <w:lang w:val="es-MX" w:eastAsia="es-ES"/>
        </w:rPr>
      </w:pPr>
      <w:r w:rsidRPr="00274F35">
        <w:rPr>
          <w:rFonts w:ascii="Arial" w:hAnsi="Arial" w:cs="Arial"/>
          <w:b/>
          <w:sz w:val="24"/>
          <w:szCs w:val="24"/>
          <w:lang w:val="es-MX" w:eastAsia="es-ES"/>
        </w:rPr>
        <w:t>16.</w:t>
      </w:r>
      <w:r w:rsidRPr="00BE0FAF">
        <w:rPr>
          <w:rFonts w:ascii="Arial" w:hAnsi="Arial" w:cs="Arial"/>
          <w:sz w:val="24"/>
          <w:szCs w:val="24"/>
          <w:lang w:val="es-MX" w:eastAsia="es-ES"/>
        </w:rPr>
        <w:t xml:space="preserve"> El Fideicomiso registró un depósito por $13,714 correspondie</w:t>
      </w:r>
      <w:r w:rsidR="00274F35">
        <w:rPr>
          <w:rFonts w:ascii="Arial" w:hAnsi="Arial" w:cs="Arial"/>
          <w:sz w:val="24"/>
          <w:szCs w:val="24"/>
          <w:lang w:val="es-MX" w:eastAsia="es-ES"/>
        </w:rPr>
        <w:t xml:space="preserve">nte al ejercicio 2012 afectando </w:t>
      </w:r>
      <w:r w:rsidRPr="00BE0FAF">
        <w:rPr>
          <w:rFonts w:ascii="Arial" w:hAnsi="Arial" w:cs="Arial"/>
          <w:sz w:val="24"/>
          <w:szCs w:val="24"/>
          <w:lang w:val="es-MX" w:eastAsia="es-ES"/>
        </w:rPr>
        <w:t>las cuentas "3220-1 Resultados de ejercicios anteriores" y "3300-1 Exceso o insuficiencia en la actualización de la hacienda pública/patrimonio", observando que en el ejercicio 2014</w:t>
      </w:r>
      <w:r w:rsidR="00274F35">
        <w:rPr>
          <w:rFonts w:ascii="Arial" w:hAnsi="Arial" w:cs="Arial"/>
          <w:sz w:val="24"/>
          <w:szCs w:val="24"/>
          <w:lang w:val="es-MX" w:eastAsia="es-ES"/>
        </w:rPr>
        <w:t xml:space="preserve"> </w:t>
      </w:r>
      <w:r w:rsidRPr="00BE0FAF">
        <w:rPr>
          <w:rFonts w:ascii="Arial" w:hAnsi="Arial" w:cs="Arial"/>
          <w:sz w:val="24"/>
          <w:szCs w:val="24"/>
          <w:lang w:val="es-MX" w:eastAsia="es-ES"/>
        </w:rPr>
        <w:t>ya había sido registrado en el rubro "Ingresos financieros",</w:t>
      </w:r>
      <w:r w:rsidR="00274F35">
        <w:rPr>
          <w:rFonts w:ascii="Arial" w:hAnsi="Arial" w:cs="Arial"/>
          <w:sz w:val="24"/>
          <w:szCs w:val="24"/>
          <w:lang w:val="es-MX" w:eastAsia="es-ES"/>
        </w:rPr>
        <w:t xml:space="preserve"> incumpliendo lo establecido en </w:t>
      </w:r>
      <w:r w:rsidRPr="00BE0FAF">
        <w:rPr>
          <w:rFonts w:ascii="Arial" w:hAnsi="Arial" w:cs="Arial"/>
          <w:sz w:val="24"/>
          <w:szCs w:val="24"/>
          <w:lang w:val="es-MX" w:eastAsia="es-ES"/>
        </w:rPr>
        <w:t>los artículos 40 y 42 de la Ley General de Contabilidad Gubernamental.</w:t>
      </w:r>
    </w:p>
    <w:p w:rsidR="00BD6E87" w:rsidRPr="00BE0FAF" w:rsidRDefault="00BD6E87" w:rsidP="00BE0FAF">
      <w:pPr>
        <w:spacing w:after="0" w:line="360" w:lineRule="auto"/>
        <w:contextualSpacing/>
        <w:jc w:val="both"/>
        <w:rPr>
          <w:rFonts w:ascii="Arial" w:hAnsi="Arial" w:cs="Arial"/>
          <w:sz w:val="24"/>
          <w:szCs w:val="24"/>
          <w:lang w:val="es-MX" w:eastAsia="es-ES"/>
        </w:rPr>
      </w:pPr>
    </w:p>
    <w:p w:rsidR="00BD6E87" w:rsidRPr="00274F35" w:rsidRDefault="00BD6E87"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Acción(es) o recomendación(es) emitida(s)</w:t>
      </w:r>
    </w:p>
    <w:p w:rsidR="00BD6E87" w:rsidRPr="00274F35" w:rsidRDefault="00BD6E87"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Promoción de Fincamiento de Responsabilidad Administrativa.</w:t>
      </w:r>
    </w:p>
    <w:p w:rsidR="00274F35" w:rsidRDefault="00274F35" w:rsidP="00BE0FAF">
      <w:pPr>
        <w:spacing w:after="0" w:line="360" w:lineRule="auto"/>
        <w:contextualSpacing/>
        <w:jc w:val="both"/>
        <w:rPr>
          <w:rFonts w:ascii="Arial" w:hAnsi="Arial" w:cs="Arial"/>
          <w:sz w:val="24"/>
          <w:szCs w:val="24"/>
          <w:lang w:val="es-MX" w:eastAsia="es-ES"/>
        </w:rPr>
      </w:pPr>
    </w:p>
    <w:p w:rsidR="00BD6E87" w:rsidRPr="00274F35" w:rsidRDefault="00BD6E87"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INGRESOS Y OTROS BENEFICIOS</w:t>
      </w:r>
    </w:p>
    <w:p w:rsidR="00BD6E87" w:rsidRPr="00274F35" w:rsidRDefault="00BD6E87"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Otros ingresos y beneficios</w:t>
      </w:r>
    </w:p>
    <w:p w:rsidR="00BD6E87" w:rsidRPr="00274F35" w:rsidRDefault="00BD6E87"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Ingresos financieros</w:t>
      </w:r>
    </w:p>
    <w:p w:rsidR="00BD6E87" w:rsidRPr="00274F35" w:rsidRDefault="00BD6E87"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Intereses del Fideicomiso</w:t>
      </w:r>
    </w:p>
    <w:p w:rsidR="00BD6E87" w:rsidRPr="00BE0FAF" w:rsidRDefault="00BD6E87" w:rsidP="00BE0FAF">
      <w:pPr>
        <w:spacing w:after="0" w:line="360" w:lineRule="auto"/>
        <w:contextualSpacing/>
        <w:jc w:val="both"/>
        <w:rPr>
          <w:rFonts w:ascii="Arial" w:hAnsi="Arial" w:cs="Arial"/>
          <w:sz w:val="24"/>
          <w:szCs w:val="24"/>
          <w:lang w:val="es-MX" w:eastAsia="es-ES"/>
        </w:rPr>
      </w:pPr>
      <w:r w:rsidRPr="00274F35">
        <w:rPr>
          <w:rFonts w:ascii="Arial" w:hAnsi="Arial" w:cs="Arial"/>
          <w:b/>
          <w:sz w:val="24"/>
          <w:szCs w:val="24"/>
          <w:lang w:val="es-MX" w:eastAsia="es-ES"/>
        </w:rPr>
        <w:t>17.</w:t>
      </w:r>
      <w:r w:rsidRPr="00BE0FAF">
        <w:rPr>
          <w:rFonts w:ascii="Arial" w:hAnsi="Arial" w:cs="Arial"/>
          <w:sz w:val="24"/>
          <w:szCs w:val="24"/>
          <w:lang w:val="es-MX" w:eastAsia="es-ES"/>
        </w:rPr>
        <w:t xml:space="preserve"> La póliza D00359 del 30 de septiembre de 2015, ampara </w:t>
      </w:r>
      <w:r w:rsidR="00274F35">
        <w:rPr>
          <w:rFonts w:ascii="Arial" w:hAnsi="Arial" w:cs="Arial"/>
          <w:sz w:val="24"/>
          <w:szCs w:val="24"/>
          <w:lang w:val="es-MX" w:eastAsia="es-ES"/>
        </w:rPr>
        <w:t xml:space="preserve">el registro de los intereses de </w:t>
      </w:r>
      <w:r w:rsidRPr="00BE0FAF">
        <w:rPr>
          <w:rFonts w:ascii="Arial" w:hAnsi="Arial" w:cs="Arial"/>
          <w:sz w:val="24"/>
          <w:szCs w:val="24"/>
          <w:lang w:val="es-MX" w:eastAsia="es-ES"/>
        </w:rPr>
        <w:t>inversiones del mes de noviembre de 2012, observando que</w:t>
      </w:r>
      <w:r w:rsidR="00274F35">
        <w:rPr>
          <w:rFonts w:ascii="Arial" w:hAnsi="Arial" w:cs="Arial"/>
          <w:sz w:val="24"/>
          <w:szCs w:val="24"/>
          <w:lang w:val="es-MX" w:eastAsia="es-ES"/>
        </w:rPr>
        <w:t xml:space="preserve"> éstos ya fueron registrados en </w:t>
      </w:r>
      <w:r w:rsidRPr="00BE0FAF">
        <w:rPr>
          <w:rFonts w:ascii="Arial" w:hAnsi="Arial" w:cs="Arial"/>
          <w:sz w:val="24"/>
          <w:szCs w:val="24"/>
          <w:lang w:val="es-MX" w:eastAsia="es-ES"/>
        </w:rPr>
        <w:t>las pólizas 2545 del 2 de mayo de 2014 y 2329 del 01 de</w:t>
      </w:r>
      <w:r w:rsidR="00274F35">
        <w:rPr>
          <w:rFonts w:ascii="Arial" w:hAnsi="Arial" w:cs="Arial"/>
          <w:sz w:val="24"/>
          <w:szCs w:val="24"/>
          <w:lang w:val="es-MX" w:eastAsia="es-ES"/>
        </w:rPr>
        <w:t xml:space="preserve"> julio de 2013, incumpliendo lo </w:t>
      </w:r>
      <w:r w:rsidRPr="00BE0FAF">
        <w:rPr>
          <w:rFonts w:ascii="Arial" w:hAnsi="Arial" w:cs="Arial"/>
          <w:sz w:val="24"/>
          <w:szCs w:val="24"/>
          <w:lang w:val="es-MX" w:eastAsia="es-ES"/>
        </w:rPr>
        <w:t>establecido en los artículos 40 y 42 de la Ley General de Contabilidad Gubernamental.</w:t>
      </w:r>
    </w:p>
    <w:p w:rsidR="00BD6E87" w:rsidRPr="00BE0FAF" w:rsidRDefault="00BD6E87" w:rsidP="00BE0FAF">
      <w:pPr>
        <w:spacing w:after="0" w:line="360" w:lineRule="auto"/>
        <w:contextualSpacing/>
        <w:jc w:val="both"/>
        <w:rPr>
          <w:rFonts w:ascii="Arial" w:hAnsi="Arial" w:cs="Arial"/>
          <w:sz w:val="24"/>
          <w:szCs w:val="24"/>
          <w:lang w:val="es-MX" w:eastAsia="es-ES"/>
        </w:rPr>
      </w:pPr>
    </w:p>
    <w:p w:rsidR="00BD6E87" w:rsidRPr="00274F35" w:rsidRDefault="00BD6E87"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Acción(es) o recomendación(es) emitida(s)</w:t>
      </w:r>
    </w:p>
    <w:p w:rsidR="00BD6E87" w:rsidRPr="00274F35" w:rsidRDefault="00BD6E87"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Promoción de Fincamiento de Responsabilidad Administrativa.</w:t>
      </w:r>
    </w:p>
    <w:p w:rsidR="00274F35" w:rsidRDefault="00274F35" w:rsidP="00BE0FAF">
      <w:pPr>
        <w:spacing w:after="0" w:line="360" w:lineRule="auto"/>
        <w:contextualSpacing/>
        <w:jc w:val="both"/>
        <w:rPr>
          <w:rFonts w:ascii="Arial" w:hAnsi="Arial" w:cs="Arial"/>
          <w:sz w:val="24"/>
          <w:szCs w:val="24"/>
          <w:lang w:val="es-MX" w:eastAsia="es-ES"/>
        </w:rPr>
      </w:pPr>
    </w:p>
    <w:p w:rsidR="00BD6E87" w:rsidRPr="00274F35" w:rsidRDefault="00BD6E87"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GASTOS Y OTRAS PÉRDIDAS</w:t>
      </w:r>
    </w:p>
    <w:p w:rsidR="00BD6E87" w:rsidRPr="00274F35" w:rsidRDefault="00BD6E87"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Gastos de funcionamiento</w:t>
      </w:r>
    </w:p>
    <w:p w:rsidR="00BD6E87" w:rsidRPr="00274F35" w:rsidRDefault="00BD6E87"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Servicios personales</w:t>
      </w:r>
    </w:p>
    <w:p w:rsidR="00BD6E87" w:rsidRPr="00274F35" w:rsidRDefault="00BD6E87" w:rsidP="00BE0FAF">
      <w:pPr>
        <w:spacing w:after="0" w:line="360" w:lineRule="auto"/>
        <w:contextualSpacing/>
        <w:jc w:val="both"/>
        <w:rPr>
          <w:rFonts w:ascii="Arial" w:hAnsi="Arial" w:cs="Arial"/>
          <w:b/>
          <w:sz w:val="24"/>
          <w:szCs w:val="24"/>
          <w:u w:val="single"/>
          <w:lang w:val="es-MX" w:eastAsia="es-ES"/>
        </w:rPr>
      </w:pPr>
      <w:r w:rsidRPr="00274F35">
        <w:rPr>
          <w:rFonts w:ascii="Arial" w:hAnsi="Arial" w:cs="Arial"/>
          <w:b/>
          <w:sz w:val="24"/>
          <w:szCs w:val="24"/>
          <w:u w:val="single"/>
          <w:lang w:val="es-MX" w:eastAsia="es-ES"/>
        </w:rPr>
        <w:t>Sueldos base al personal permanente</w:t>
      </w:r>
    </w:p>
    <w:p w:rsidR="00BD6E87" w:rsidRPr="00BE0FAF" w:rsidRDefault="00BD6E87" w:rsidP="00BE0FAF">
      <w:pPr>
        <w:spacing w:after="0" w:line="360" w:lineRule="auto"/>
        <w:contextualSpacing/>
        <w:jc w:val="both"/>
        <w:rPr>
          <w:rFonts w:ascii="Arial" w:hAnsi="Arial" w:cs="Arial"/>
          <w:sz w:val="24"/>
          <w:szCs w:val="24"/>
          <w:lang w:val="es-MX" w:eastAsia="es-ES"/>
        </w:rPr>
      </w:pPr>
      <w:r w:rsidRPr="00274F35">
        <w:rPr>
          <w:rFonts w:ascii="Arial" w:hAnsi="Arial" w:cs="Arial"/>
          <w:b/>
          <w:sz w:val="24"/>
          <w:szCs w:val="24"/>
          <w:lang w:val="es-MX" w:eastAsia="es-ES"/>
        </w:rPr>
        <w:t>18</w:t>
      </w:r>
      <w:r w:rsidRPr="00BE0FAF">
        <w:rPr>
          <w:rFonts w:ascii="Arial" w:hAnsi="Arial" w:cs="Arial"/>
          <w:sz w:val="24"/>
          <w:szCs w:val="24"/>
          <w:lang w:val="es-MX" w:eastAsia="es-ES"/>
        </w:rPr>
        <w:t>. El Fideicomiso realizó descuentos a sus empleados vía</w:t>
      </w:r>
      <w:r w:rsidR="00274F35">
        <w:rPr>
          <w:rFonts w:ascii="Arial" w:hAnsi="Arial" w:cs="Arial"/>
          <w:sz w:val="24"/>
          <w:szCs w:val="24"/>
          <w:lang w:val="es-MX" w:eastAsia="es-ES"/>
        </w:rPr>
        <w:t xml:space="preserve"> nómina por $317,146 durante el </w:t>
      </w:r>
      <w:r w:rsidRPr="00BE0FAF">
        <w:rPr>
          <w:rFonts w:ascii="Arial" w:hAnsi="Arial" w:cs="Arial"/>
          <w:sz w:val="24"/>
          <w:szCs w:val="24"/>
          <w:lang w:val="es-MX" w:eastAsia="es-ES"/>
        </w:rPr>
        <w:t>ejercicio 2015, correspondiente a préstamos especiales otorga</w:t>
      </w:r>
      <w:r w:rsidR="00274F35">
        <w:rPr>
          <w:rFonts w:ascii="Arial" w:hAnsi="Arial" w:cs="Arial"/>
          <w:sz w:val="24"/>
          <w:szCs w:val="24"/>
          <w:lang w:val="es-MX" w:eastAsia="es-ES"/>
        </w:rPr>
        <w:t xml:space="preserve">dos por Fovileón Estado, </w:t>
      </w:r>
      <w:r w:rsidRPr="00BE0FAF">
        <w:rPr>
          <w:rFonts w:ascii="Arial" w:hAnsi="Arial" w:cs="Arial"/>
          <w:sz w:val="24"/>
          <w:szCs w:val="24"/>
          <w:lang w:val="es-MX" w:eastAsia="es-ES"/>
        </w:rPr>
        <w:t>observando lo siguiente:</w:t>
      </w:r>
    </w:p>
    <w:p w:rsidR="00274F35" w:rsidRDefault="00274F35" w:rsidP="00BE0FAF">
      <w:pPr>
        <w:spacing w:after="0" w:line="360" w:lineRule="auto"/>
        <w:contextualSpacing/>
        <w:jc w:val="both"/>
        <w:rPr>
          <w:rFonts w:ascii="Arial" w:hAnsi="Arial" w:cs="Arial"/>
          <w:sz w:val="24"/>
          <w:szCs w:val="24"/>
          <w:lang w:val="es-MX" w:eastAsia="es-ES"/>
        </w:rPr>
      </w:pPr>
    </w:p>
    <w:p w:rsidR="00BD6E87" w:rsidRPr="00BE0FAF" w:rsidRDefault="00BD6E87"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1) Las retenciones por este concepto afectaron el registro contable originando una</w:t>
      </w:r>
      <w:r w:rsidR="00274F35">
        <w:rPr>
          <w:rFonts w:ascii="Arial" w:hAnsi="Arial" w:cs="Arial"/>
          <w:sz w:val="24"/>
          <w:szCs w:val="24"/>
          <w:lang w:val="es-MX" w:eastAsia="es-ES"/>
        </w:rPr>
        <w:t xml:space="preserve"> </w:t>
      </w:r>
      <w:r w:rsidRPr="00BE0FAF">
        <w:rPr>
          <w:rFonts w:ascii="Arial" w:hAnsi="Arial" w:cs="Arial"/>
          <w:sz w:val="24"/>
          <w:szCs w:val="24"/>
          <w:lang w:val="es-MX" w:eastAsia="es-ES"/>
        </w:rPr>
        <w:t>diferencia de $634,116 entre el saldo de la cue</w:t>
      </w:r>
      <w:r w:rsidR="00274F35">
        <w:rPr>
          <w:rFonts w:ascii="Arial" w:hAnsi="Arial" w:cs="Arial"/>
          <w:sz w:val="24"/>
          <w:szCs w:val="24"/>
          <w:lang w:val="es-MX" w:eastAsia="es-ES"/>
        </w:rPr>
        <w:t xml:space="preserve">nta "5111-11301 Sueldos base al </w:t>
      </w:r>
      <w:r w:rsidRPr="00BE0FAF">
        <w:rPr>
          <w:rFonts w:ascii="Arial" w:hAnsi="Arial" w:cs="Arial"/>
          <w:sz w:val="24"/>
          <w:szCs w:val="24"/>
          <w:lang w:val="es-MX" w:eastAsia="es-ES"/>
        </w:rPr>
        <w:t>personal permanente" y los resúmenes de nómina, d</w:t>
      </w:r>
      <w:r w:rsidR="00274F35">
        <w:rPr>
          <w:rFonts w:ascii="Arial" w:hAnsi="Arial" w:cs="Arial"/>
          <w:sz w:val="24"/>
          <w:szCs w:val="24"/>
          <w:lang w:val="es-MX" w:eastAsia="es-ES"/>
        </w:rPr>
        <w:t xml:space="preserve">e la manera siguiente: $317,146 </w:t>
      </w:r>
      <w:r w:rsidRPr="00BE0FAF">
        <w:rPr>
          <w:rFonts w:ascii="Arial" w:hAnsi="Arial" w:cs="Arial"/>
          <w:sz w:val="24"/>
          <w:szCs w:val="24"/>
          <w:lang w:val="es-MX" w:eastAsia="es-ES"/>
        </w:rPr>
        <w:t>correspondiente al registro quincenal de la ret</w:t>
      </w:r>
      <w:r w:rsidR="00274F35">
        <w:rPr>
          <w:rFonts w:ascii="Arial" w:hAnsi="Arial" w:cs="Arial"/>
          <w:sz w:val="24"/>
          <w:szCs w:val="24"/>
          <w:lang w:val="es-MX" w:eastAsia="es-ES"/>
        </w:rPr>
        <w:t xml:space="preserve">ención vía nómina; $317,146 por </w:t>
      </w:r>
      <w:r w:rsidRPr="00BE0FAF">
        <w:rPr>
          <w:rFonts w:ascii="Arial" w:hAnsi="Arial" w:cs="Arial"/>
          <w:sz w:val="24"/>
          <w:szCs w:val="24"/>
          <w:lang w:val="es-MX" w:eastAsia="es-ES"/>
        </w:rPr>
        <w:t>"ajuste" registrado el 31 de diciembre de 2015 y ($176) de diferencia no aclarada.</w:t>
      </w:r>
    </w:p>
    <w:p w:rsidR="00BD6E87" w:rsidRPr="00BE0FAF" w:rsidRDefault="00BD6E87"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2) Las retenciones correspondientes al ejercicio 2015 por</w:t>
      </w:r>
      <w:r w:rsidR="00274F35">
        <w:rPr>
          <w:rFonts w:ascii="Arial" w:hAnsi="Arial" w:cs="Arial"/>
          <w:sz w:val="24"/>
          <w:szCs w:val="24"/>
          <w:lang w:val="es-MX" w:eastAsia="es-ES"/>
        </w:rPr>
        <w:t xml:space="preserve"> $317,146 y $388,300 del </w:t>
      </w:r>
      <w:r w:rsidRPr="00BE0FAF">
        <w:rPr>
          <w:rFonts w:ascii="Arial" w:hAnsi="Arial" w:cs="Arial"/>
          <w:sz w:val="24"/>
          <w:szCs w:val="24"/>
          <w:lang w:val="es-MX" w:eastAsia="es-ES"/>
        </w:rPr>
        <w:t>ejercicio 2014 se registraron en el rubro "Derechos a r</w:t>
      </w:r>
      <w:r w:rsidR="00274F35">
        <w:rPr>
          <w:rFonts w:ascii="Arial" w:hAnsi="Arial" w:cs="Arial"/>
          <w:sz w:val="24"/>
          <w:szCs w:val="24"/>
          <w:lang w:val="es-MX" w:eastAsia="es-ES"/>
        </w:rPr>
        <w:t xml:space="preserve">ecibir efectivo y equivalentes" </w:t>
      </w:r>
      <w:r w:rsidRPr="00BE0FAF">
        <w:rPr>
          <w:rFonts w:ascii="Arial" w:hAnsi="Arial" w:cs="Arial"/>
          <w:sz w:val="24"/>
          <w:szCs w:val="24"/>
          <w:lang w:val="es-MX" w:eastAsia="es-ES"/>
        </w:rPr>
        <w:t>en la cuenta "1123-3 Préstamos empleados Fovileó</w:t>
      </w:r>
      <w:r w:rsidR="00274F35">
        <w:rPr>
          <w:rFonts w:ascii="Arial" w:hAnsi="Arial" w:cs="Arial"/>
          <w:sz w:val="24"/>
          <w:szCs w:val="24"/>
          <w:lang w:val="es-MX" w:eastAsia="es-ES"/>
        </w:rPr>
        <w:t xml:space="preserve">n" y no en una cuenta por pagar </w:t>
      </w:r>
      <w:r w:rsidRPr="00BE0FAF">
        <w:rPr>
          <w:rFonts w:ascii="Arial" w:hAnsi="Arial" w:cs="Arial"/>
          <w:sz w:val="24"/>
          <w:szCs w:val="24"/>
          <w:lang w:val="es-MX" w:eastAsia="es-ES"/>
        </w:rPr>
        <w:t>atendiendo a su naturaleza acreedora.</w:t>
      </w:r>
    </w:p>
    <w:p w:rsidR="00BD6E87" w:rsidRPr="00BE0FAF" w:rsidRDefault="00BD6E87"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3) No han sido enteradas dichas retenciones a Fovileón Estado.</w:t>
      </w:r>
    </w:p>
    <w:p w:rsidR="00274F35" w:rsidRDefault="00274F35" w:rsidP="00BE0FAF">
      <w:pPr>
        <w:spacing w:after="0" w:line="360" w:lineRule="auto"/>
        <w:contextualSpacing/>
        <w:jc w:val="both"/>
        <w:rPr>
          <w:rFonts w:ascii="Arial" w:hAnsi="Arial" w:cs="Arial"/>
          <w:sz w:val="24"/>
          <w:szCs w:val="24"/>
          <w:lang w:val="es-MX" w:eastAsia="es-ES"/>
        </w:rPr>
      </w:pPr>
    </w:p>
    <w:p w:rsidR="00BD6E87" w:rsidRPr="00BE0FAF" w:rsidRDefault="00BD6E87"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lastRenderedPageBreak/>
        <w:t>Lo anterior incumple con el artículo 37 de la Ley General de Contabilidad Gubernamental.</w:t>
      </w:r>
    </w:p>
    <w:p w:rsidR="00274F35" w:rsidRDefault="00274F35" w:rsidP="00BE0FAF">
      <w:pPr>
        <w:spacing w:after="0" w:line="360" w:lineRule="auto"/>
        <w:contextualSpacing/>
        <w:jc w:val="both"/>
        <w:rPr>
          <w:rFonts w:ascii="Arial" w:hAnsi="Arial" w:cs="Arial"/>
          <w:sz w:val="24"/>
          <w:szCs w:val="24"/>
          <w:lang w:val="es-MX" w:eastAsia="es-ES"/>
        </w:rPr>
      </w:pPr>
    </w:p>
    <w:p w:rsidR="00BD6E87" w:rsidRPr="00274F35" w:rsidRDefault="00BD6E87"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Análisis de la Auditoría Superior del Estado</w:t>
      </w:r>
    </w:p>
    <w:p w:rsidR="00BD6E87" w:rsidRPr="00BE0FAF" w:rsidRDefault="00BD6E87" w:rsidP="00BE0FAF">
      <w:pPr>
        <w:spacing w:after="0" w:line="360" w:lineRule="auto"/>
        <w:contextualSpacing/>
        <w:jc w:val="both"/>
        <w:rPr>
          <w:rFonts w:ascii="Arial" w:hAnsi="Arial" w:cs="Arial"/>
          <w:sz w:val="24"/>
          <w:szCs w:val="24"/>
          <w:lang w:val="es-MX" w:eastAsia="es-ES"/>
        </w:rPr>
      </w:pPr>
      <w:r w:rsidRPr="00BE0FAF">
        <w:rPr>
          <w:rFonts w:ascii="Arial" w:hAnsi="Arial" w:cs="Arial"/>
          <w:sz w:val="24"/>
          <w:szCs w:val="24"/>
          <w:lang w:val="es-MX" w:eastAsia="es-ES"/>
        </w:rPr>
        <w:t>Derivado del análisis de la respuesta y la evidencia pr</w:t>
      </w:r>
      <w:r w:rsidR="00274F35">
        <w:rPr>
          <w:rFonts w:ascii="Arial" w:hAnsi="Arial" w:cs="Arial"/>
          <w:sz w:val="24"/>
          <w:szCs w:val="24"/>
          <w:lang w:val="es-MX" w:eastAsia="es-ES"/>
        </w:rPr>
        <w:t xml:space="preserve">esentada por el Ente Público se </w:t>
      </w:r>
      <w:r w:rsidRPr="00BE0FAF">
        <w:rPr>
          <w:rFonts w:ascii="Arial" w:hAnsi="Arial" w:cs="Arial"/>
          <w:sz w:val="24"/>
          <w:szCs w:val="24"/>
          <w:lang w:val="es-MX" w:eastAsia="es-ES"/>
        </w:rPr>
        <w:t>solventa parcialmente, si bien se realizaron los asientos cont</w:t>
      </w:r>
      <w:r w:rsidR="00274F35">
        <w:rPr>
          <w:rFonts w:ascii="Arial" w:hAnsi="Arial" w:cs="Arial"/>
          <w:sz w:val="24"/>
          <w:szCs w:val="24"/>
          <w:lang w:val="es-MX" w:eastAsia="es-ES"/>
        </w:rPr>
        <w:t xml:space="preserve">ables corrigiendo las anomalías </w:t>
      </w:r>
      <w:r w:rsidRPr="00BE0FAF">
        <w:rPr>
          <w:rFonts w:ascii="Arial" w:hAnsi="Arial" w:cs="Arial"/>
          <w:sz w:val="24"/>
          <w:szCs w:val="24"/>
          <w:lang w:val="es-MX" w:eastAsia="es-ES"/>
        </w:rPr>
        <w:t>observadas en el punto 1 y 2 aún no se cuenta con el Con</w:t>
      </w:r>
      <w:r w:rsidR="00274F35">
        <w:rPr>
          <w:rFonts w:ascii="Arial" w:hAnsi="Arial" w:cs="Arial"/>
          <w:sz w:val="24"/>
          <w:szCs w:val="24"/>
          <w:lang w:val="es-MX" w:eastAsia="es-ES"/>
        </w:rPr>
        <w:t xml:space="preserve">venio modificatorio formalizado </w:t>
      </w:r>
      <w:r w:rsidRPr="00BE0FAF">
        <w:rPr>
          <w:rFonts w:ascii="Arial" w:hAnsi="Arial" w:cs="Arial"/>
          <w:sz w:val="24"/>
          <w:szCs w:val="24"/>
          <w:lang w:val="es-MX" w:eastAsia="es-ES"/>
        </w:rPr>
        <w:t>para poder reconocer dichas aportaciones a Fovileón Estado.</w:t>
      </w:r>
    </w:p>
    <w:p w:rsidR="00274F35" w:rsidRDefault="00274F35" w:rsidP="00BE0FAF">
      <w:pPr>
        <w:spacing w:after="0" w:line="360" w:lineRule="auto"/>
        <w:contextualSpacing/>
        <w:jc w:val="both"/>
        <w:rPr>
          <w:rFonts w:ascii="Arial" w:hAnsi="Arial" w:cs="Arial"/>
          <w:sz w:val="24"/>
          <w:szCs w:val="24"/>
          <w:lang w:val="es-MX" w:eastAsia="es-ES"/>
        </w:rPr>
      </w:pPr>
    </w:p>
    <w:p w:rsidR="00BD6E87" w:rsidRPr="00274F35" w:rsidRDefault="00BD6E87" w:rsidP="00BE0FAF">
      <w:pPr>
        <w:spacing w:after="0" w:line="360" w:lineRule="auto"/>
        <w:contextualSpacing/>
        <w:jc w:val="both"/>
        <w:rPr>
          <w:rFonts w:ascii="Arial" w:hAnsi="Arial" w:cs="Arial"/>
          <w:b/>
          <w:sz w:val="24"/>
          <w:szCs w:val="24"/>
          <w:lang w:val="es-MX" w:eastAsia="es-ES"/>
        </w:rPr>
      </w:pPr>
      <w:r w:rsidRPr="00274F35">
        <w:rPr>
          <w:rFonts w:ascii="Arial" w:hAnsi="Arial" w:cs="Arial"/>
          <w:b/>
          <w:sz w:val="24"/>
          <w:szCs w:val="24"/>
          <w:lang w:val="es-MX" w:eastAsia="es-ES"/>
        </w:rPr>
        <w:t>Acción(es) o recomendación(es) emitida(s)</w:t>
      </w:r>
    </w:p>
    <w:p w:rsidR="00F90318" w:rsidRPr="00274F35" w:rsidRDefault="00BD6E87" w:rsidP="00BE0FAF">
      <w:pPr>
        <w:spacing w:after="0" w:line="360" w:lineRule="auto"/>
        <w:contextualSpacing/>
        <w:jc w:val="both"/>
        <w:rPr>
          <w:rFonts w:ascii="Arial" w:hAnsi="Arial" w:cs="Arial"/>
          <w:i/>
          <w:sz w:val="24"/>
          <w:szCs w:val="24"/>
          <w:lang w:val="es-MX" w:eastAsia="es-ES"/>
        </w:rPr>
      </w:pPr>
      <w:r w:rsidRPr="00274F35">
        <w:rPr>
          <w:rFonts w:ascii="Arial" w:hAnsi="Arial" w:cs="Arial"/>
          <w:i/>
          <w:sz w:val="24"/>
          <w:szCs w:val="24"/>
          <w:lang w:val="es-MX" w:eastAsia="es-ES"/>
        </w:rPr>
        <w:t>Promoción de Fincamiento de Responsabilidad Administrativa.</w:t>
      </w:r>
    </w:p>
    <w:p w:rsidR="00F90318" w:rsidRDefault="00F90318" w:rsidP="009A7A82">
      <w:pPr>
        <w:spacing w:after="0" w:line="360" w:lineRule="auto"/>
        <w:contextualSpacing/>
        <w:jc w:val="both"/>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BD6E87" w:rsidRPr="00274F35" w:rsidRDefault="00BD6E87" w:rsidP="00274F35">
      <w:pPr>
        <w:pStyle w:val="Textoindependiente"/>
        <w:spacing w:line="360" w:lineRule="auto"/>
        <w:rPr>
          <w:rFonts w:ascii="Arial" w:hAnsi="Arial" w:cs="Arial"/>
          <w:b/>
          <w:sz w:val="24"/>
          <w:szCs w:val="24"/>
          <w:lang w:val="es-MX"/>
        </w:rPr>
      </w:pPr>
      <w:r w:rsidRPr="00274F35">
        <w:rPr>
          <w:rFonts w:ascii="Arial" w:hAnsi="Arial" w:cs="Arial"/>
          <w:b/>
          <w:sz w:val="24"/>
          <w:szCs w:val="24"/>
          <w:lang w:val="es-MX"/>
        </w:rPr>
        <w:t>Solicitud.-</w:t>
      </w:r>
    </w:p>
    <w:p w:rsidR="00BD6E87" w:rsidRPr="00274F35" w:rsidRDefault="00BD6E87" w:rsidP="00274F35">
      <w:pPr>
        <w:pStyle w:val="Textoindependiente"/>
        <w:spacing w:line="360" w:lineRule="auto"/>
        <w:rPr>
          <w:rFonts w:ascii="Arial" w:hAnsi="Arial" w:cs="Arial"/>
          <w:sz w:val="24"/>
          <w:szCs w:val="24"/>
          <w:lang w:val="es-MX"/>
        </w:rPr>
      </w:pPr>
      <w:r w:rsidRPr="00274F35">
        <w:rPr>
          <w:rFonts w:ascii="Arial" w:hAnsi="Arial" w:cs="Arial"/>
          <w:sz w:val="24"/>
          <w:szCs w:val="24"/>
          <w:lang w:val="es-MX"/>
        </w:rPr>
        <w:t>Contenida en el acuerdo Legislativo número 308, tomado por el Pleno en la sesión del  24 de septiembre de 2013, publicado en el Periódico Oficial del Estado de fecha 2 de</w:t>
      </w:r>
      <w:r w:rsidR="00274D57">
        <w:rPr>
          <w:rFonts w:ascii="Arial" w:hAnsi="Arial" w:cs="Arial"/>
          <w:sz w:val="24"/>
          <w:szCs w:val="24"/>
          <w:lang w:val="es-MX"/>
        </w:rPr>
        <w:t xml:space="preserve"> octubre de 2013, remitido a l</w:t>
      </w:r>
      <w:r w:rsidRPr="00274F35">
        <w:rPr>
          <w:rFonts w:ascii="Arial" w:hAnsi="Arial" w:cs="Arial"/>
          <w:sz w:val="24"/>
          <w:szCs w:val="24"/>
          <w:lang w:val="es-MX"/>
        </w:rPr>
        <w:t xml:space="preserve">a Auditoría Superior del Estado, en fecha 10 de octubre de 2013 mediante el oficio número 387/2013, emitido por los CC. Presidenta y Secretario de la Comisión de Vigilancia del H. Congreso del Estado, en virtud del cual se instruye a este Órgano Superior de Fiscalización, para que en cumplimiento a lo preceptuado por la Ley de Fiscalización Superior del Estado de Nuevo León, verifique la aplicación por parte del ente fiscalizado, de la Ley General de Contabilidad Gubernamental </w:t>
      </w:r>
      <w:r w:rsidRPr="00274F35">
        <w:rPr>
          <w:rFonts w:ascii="Arial" w:hAnsi="Arial" w:cs="Arial"/>
          <w:sz w:val="24"/>
          <w:szCs w:val="24"/>
          <w:lang w:val="es-MX"/>
        </w:rPr>
        <w:lastRenderedPageBreak/>
        <w:t>(LGCG), así como las disposiciones normativas emitidas por el Consejo Nacional de Armonización Contable (Conac).</w:t>
      </w:r>
    </w:p>
    <w:p w:rsidR="00BD6E87" w:rsidRPr="00274F35" w:rsidRDefault="00BD6E87" w:rsidP="00274F35">
      <w:pPr>
        <w:pStyle w:val="Textoindependiente"/>
        <w:spacing w:line="360" w:lineRule="auto"/>
        <w:rPr>
          <w:rFonts w:ascii="Arial" w:hAnsi="Arial" w:cs="Arial"/>
          <w:sz w:val="24"/>
          <w:szCs w:val="24"/>
          <w:lang w:val="es-MX"/>
        </w:rPr>
      </w:pPr>
    </w:p>
    <w:p w:rsidR="00BD6E87" w:rsidRPr="00274F35" w:rsidRDefault="00BD6E87" w:rsidP="00274F35">
      <w:pPr>
        <w:pStyle w:val="Textoindependiente"/>
        <w:spacing w:line="360" w:lineRule="auto"/>
        <w:rPr>
          <w:rFonts w:ascii="Arial" w:hAnsi="Arial" w:cs="Arial"/>
          <w:b/>
          <w:sz w:val="24"/>
          <w:szCs w:val="24"/>
          <w:lang w:val="es-MX"/>
        </w:rPr>
      </w:pPr>
      <w:r w:rsidRPr="00274F35">
        <w:rPr>
          <w:rFonts w:ascii="Arial" w:hAnsi="Arial" w:cs="Arial"/>
          <w:b/>
          <w:sz w:val="24"/>
          <w:szCs w:val="24"/>
          <w:lang w:val="es-MX"/>
        </w:rPr>
        <w:t>Objeto de la revisión.-</w:t>
      </w:r>
    </w:p>
    <w:p w:rsidR="00BD6E87" w:rsidRPr="00274F35" w:rsidRDefault="00BD6E87" w:rsidP="00274F35">
      <w:pPr>
        <w:pStyle w:val="Textoindependiente"/>
        <w:spacing w:line="360" w:lineRule="auto"/>
        <w:rPr>
          <w:rFonts w:ascii="Arial" w:hAnsi="Arial" w:cs="Arial"/>
          <w:sz w:val="24"/>
          <w:szCs w:val="24"/>
          <w:lang w:val="es-MX"/>
        </w:rPr>
      </w:pPr>
      <w:r w:rsidRPr="00274F35">
        <w:rPr>
          <w:rFonts w:ascii="Arial" w:hAnsi="Arial" w:cs="Arial"/>
          <w:sz w:val="24"/>
          <w:szCs w:val="24"/>
          <w:lang w:val="es-MX"/>
        </w:rPr>
        <w:t>Para</w:t>
      </w:r>
      <w:r w:rsidR="00274D57">
        <w:rPr>
          <w:rFonts w:ascii="Arial" w:hAnsi="Arial" w:cs="Arial"/>
          <w:sz w:val="24"/>
          <w:szCs w:val="24"/>
          <w:lang w:val="es-MX"/>
        </w:rPr>
        <w:t xml:space="preserve"> cumplir con lo solicitado, la</w:t>
      </w:r>
      <w:r w:rsidRPr="00274F35">
        <w:rPr>
          <w:rFonts w:ascii="Arial" w:hAnsi="Arial" w:cs="Arial"/>
          <w:sz w:val="24"/>
          <w:szCs w:val="24"/>
          <w:lang w:val="es-MX"/>
        </w:rPr>
        <w:t xml:space="preserve"> Auditoría Superior del Estado, programó una revisión específica con el objeto de verificar el cumplimiento de la LGCG y normativa emitida por el Conac, así como la operación de los sistemas de registro y contabilidad del Ente Público.</w:t>
      </w:r>
    </w:p>
    <w:p w:rsidR="00BD6E87" w:rsidRPr="00274F35" w:rsidRDefault="00BD6E87" w:rsidP="00274F35">
      <w:pPr>
        <w:pStyle w:val="Textoindependiente"/>
        <w:spacing w:line="360" w:lineRule="auto"/>
        <w:rPr>
          <w:rFonts w:ascii="Arial" w:hAnsi="Arial" w:cs="Arial"/>
          <w:sz w:val="24"/>
          <w:szCs w:val="24"/>
          <w:lang w:val="es-MX"/>
        </w:rPr>
      </w:pPr>
    </w:p>
    <w:p w:rsidR="00BD6E87" w:rsidRPr="00274F35" w:rsidRDefault="00BD6E87" w:rsidP="00274F35">
      <w:pPr>
        <w:pStyle w:val="Textoindependiente"/>
        <w:spacing w:line="360" w:lineRule="auto"/>
        <w:rPr>
          <w:rFonts w:ascii="Arial" w:hAnsi="Arial" w:cs="Arial"/>
          <w:b/>
          <w:sz w:val="24"/>
          <w:szCs w:val="24"/>
          <w:lang w:val="es-MX"/>
        </w:rPr>
      </w:pPr>
      <w:r w:rsidRPr="00274F35">
        <w:rPr>
          <w:rFonts w:ascii="Arial" w:hAnsi="Arial" w:cs="Arial"/>
          <w:b/>
          <w:sz w:val="24"/>
          <w:szCs w:val="24"/>
          <w:lang w:val="es-MX"/>
        </w:rPr>
        <w:t>Procedimientos de auditoría realizados.-</w:t>
      </w:r>
    </w:p>
    <w:p w:rsidR="00BD6E87" w:rsidRPr="00274F35" w:rsidRDefault="00BD6E87" w:rsidP="00274F35">
      <w:pPr>
        <w:pStyle w:val="Textoindependiente"/>
        <w:spacing w:line="360" w:lineRule="auto"/>
        <w:rPr>
          <w:rFonts w:ascii="Arial" w:hAnsi="Arial" w:cs="Arial"/>
          <w:sz w:val="24"/>
          <w:szCs w:val="24"/>
          <w:lang w:val="es-MX"/>
        </w:rPr>
      </w:pPr>
      <w:r w:rsidRPr="00274F35">
        <w:rPr>
          <w:rFonts w:ascii="Arial" w:hAnsi="Arial" w:cs="Arial"/>
          <w:sz w:val="24"/>
          <w:szCs w:val="24"/>
          <w:lang w:val="es-MX"/>
        </w:rPr>
        <w:t>Para efectuar lo anterior, el procedimiento consistió en aplicar en el Ente Público un cuestionario basado en las Guías de Revisión para el Cumplimiento de la LGCG y los documentos emitidos por el Conac, recabando evidencia y evaluando el grado de avance en la implementación y observancia de la normativa vigente en la materia.</w:t>
      </w:r>
    </w:p>
    <w:p w:rsidR="00BD6E87" w:rsidRDefault="00BD6E87" w:rsidP="00274F35">
      <w:pPr>
        <w:pStyle w:val="Textoindependiente"/>
        <w:spacing w:line="360" w:lineRule="auto"/>
        <w:rPr>
          <w:rFonts w:ascii="Arial" w:hAnsi="Arial" w:cs="Arial"/>
          <w:sz w:val="24"/>
          <w:szCs w:val="24"/>
          <w:lang w:val="es-MX"/>
        </w:rPr>
      </w:pPr>
    </w:p>
    <w:p w:rsidR="00274F35" w:rsidRDefault="00274F35" w:rsidP="00274F35">
      <w:pPr>
        <w:pStyle w:val="Textoindependiente"/>
        <w:spacing w:line="360" w:lineRule="auto"/>
        <w:rPr>
          <w:rFonts w:ascii="Arial" w:hAnsi="Arial" w:cs="Arial"/>
          <w:sz w:val="24"/>
          <w:szCs w:val="24"/>
          <w:lang w:val="es-MX"/>
        </w:rPr>
      </w:pPr>
    </w:p>
    <w:p w:rsidR="00274F35" w:rsidRPr="00274F35" w:rsidRDefault="00274F35" w:rsidP="00274F35">
      <w:pPr>
        <w:pStyle w:val="Textoindependiente"/>
        <w:spacing w:line="360" w:lineRule="auto"/>
        <w:rPr>
          <w:rFonts w:ascii="Arial" w:hAnsi="Arial" w:cs="Arial"/>
          <w:sz w:val="24"/>
          <w:szCs w:val="24"/>
          <w:lang w:val="es-MX"/>
        </w:rPr>
      </w:pPr>
    </w:p>
    <w:p w:rsidR="00BD6E87" w:rsidRPr="00274F35" w:rsidRDefault="00BD6E87" w:rsidP="00274F35">
      <w:pPr>
        <w:pStyle w:val="Textoindependiente"/>
        <w:spacing w:line="360" w:lineRule="auto"/>
        <w:rPr>
          <w:rFonts w:ascii="Arial" w:hAnsi="Arial" w:cs="Arial"/>
          <w:b/>
          <w:sz w:val="24"/>
          <w:szCs w:val="24"/>
          <w:lang w:val="es-MX"/>
        </w:rPr>
      </w:pPr>
      <w:r w:rsidRPr="00274F35">
        <w:rPr>
          <w:rFonts w:ascii="Arial" w:hAnsi="Arial" w:cs="Arial"/>
          <w:b/>
          <w:sz w:val="24"/>
          <w:szCs w:val="24"/>
          <w:lang w:val="es-MX"/>
        </w:rPr>
        <w:t>Resultados obtenidos.-</w:t>
      </w:r>
    </w:p>
    <w:p w:rsidR="00BD6E87" w:rsidRPr="00274F35" w:rsidRDefault="00BD6E87" w:rsidP="00274F35">
      <w:pPr>
        <w:pStyle w:val="Textoindependiente"/>
        <w:spacing w:line="360" w:lineRule="auto"/>
        <w:rPr>
          <w:rFonts w:ascii="Arial" w:hAnsi="Arial" w:cs="Arial"/>
          <w:sz w:val="24"/>
          <w:szCs w:val="24"/>
          <w:lang w:val="es-MX"/>
        </w:rPr>
      </w:pPr>
      <w:r w:rsidRPr="00274F35">
        <w:rPr>
          <w:rFonts w:ascii="Arial" w:hAnsi="Arial" w:cs="Arial"/>
          <w:sz w:val="24"/>
          <w:szCs w:val="24"/>
          <w:lang w:val="es-MX"/>
        </w:rPr>
        <w:t>Los resultados obtenidos de la referida revisión, se reflejan en la observación indicada con el número 1, en el apartado VII del presente informe.</w:t>
      </w:r>
    </w:p>
    <w:p w:rsidR="009A7A82" w:rsidRPr="00274F35" w:rsidRDefault="009A7A82" w:rsidP="00274F35">
      <w:pPr>
        <w:autoSpaceDE w:val="0"/>
        <w:autoSpaceDN w:val="0"/>
        <w:adjustRightInd w:val="0"/>
        <w:spacing w:after="0" w:line="360" w:lineRule="auto"/>
        <w:jc w:val="both"/>
        <w:rPr>
          <w:rFonts w:ascii="Arial" w:hAnsi="Arial" w:cs="Arial"/>
          <w:sz w:val="24"/>
          <w:szCs w:val="24"/>
          <w:lang w:val="es-MX" w:eastAsia="es-ES"/>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0050A4">
        <w:rPr>
          <w:rFonts w:ascii="Arial" w:hAnsi="Arial" w:cs="Arial"/>
          <w:bCs/>
          <w:sz w:val="24"/>
        </w:rPr>
        <w:t>Órgano</w:t>
      </w:r>
      <w:r w:rsidR="00EF3C47">
        <w:rPr>
          <w:rFonts w:ascii="Arial" w:hAnsi="Arial" w:cs="Arial"/>
          <w:bCs/>
          <w:sz w:val="24"/>
        </w:rPr>
        <w:t xml:space="preserve"> Técnico</w:t>
      </w:r>
      <w:r w:rsidR="000050A4">
        <w:rPr>
          <w:rFonts w:ascii="Arial" w:hAnsi="Arial" w:cs="Arial"/>
          <w:bCs/>
          <w:sz w:val="24"/>
        </w:rPr>
        <w:t xml:space="preserve"> de Fiscalización nos informa</w:t>
      </w:r>
      <w:r w:rsidR="00EF3C47">
        <w:rPr>
          <w:rFonts w:ascii="Arial" w:hAnsi="Arial" w:cs="Arial"/>
          <w:bCs/>
          <w:sz w:val="24"/>
        </w:rPr>
        <w:t xml:space="preserve"> que</w:t>
      </w:r>
      <w:r w:rsidRPr="00B67BEE">
        <w:rPr>
          <w:rFonts w:ascii="Arial" w:hAnsi="Arial" w:cs="Arial"/>
          <w:bCs/>
          <w:sz w:val="24"/>
        </w:rPr>
        <w:t xml:space="preserve"> no se recibieron denuncias para la revisión </w:t>
      </w:r>
      <w:r w:rsidRPr="00B67BEE">
        <w:rPr>
          <w:rFonts w:ascii="Arial" w:hAnsi="Arial" w:cs="Arial"/>
          <w:bCs/>
          <w:sz w:val="24"/>
        </w:rPr>
        <w:lastRenderedPageBreak/>
        <w:t>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BD6E87">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0050A4">
        <w:rPr>
          <w:rFonts w:ascii="Arial" w:hAnsi="Arial" w:cs="Arial"/>
          <w:bCs/>
          <w:sz w:val="24"/>
        </w:rPr>
        <w:t xml:space="preserve">2011, </w:t>
      </w:r>
      <w:r w:rsidR="00BD6E87">
        <w:rPr>
          <w:rFonts w:ascii="Arial" w:eastAsia="Times New Roman" w:hAnsi="Arial" w:cs="Arial"/>
          <w:bCs/>
          <w:sz w:val="24"/>
          <w:szCs w:val="24"/>
          <w:lang w:eastAsia="es-MX"/>
        </w:rPr>
        <w:t>2012,</w:t>
      </w:r>
      <w:r>
        <w:rPr>
          <w:rFonts w:ascii="Arial" w:eastAsia="Times New Roman" w:hAnsi="Arial" w:cs="Arial"/>
          <w:bCs/>
          <w:sz w:val="24"/>
          <w:szCs w:val="24"/>
          <w:lang w:eastAsia="es-MX"/>
        </w:rPr>
        <w:t xml:space="preserve"> 2013</w:t>
      </w:r>
      <w:r w:rsidR="00BD6E87">
        <w:rPr>
          <w:rFonts w:ascii="Arial" w:eastAsia="Times New Roman" w:hAnsi="Arial" w:cs="Arial"/>
          <w:bCs/>
          <w:sz w:val="24"/>
          <w:szCs w:val="24"/>
          <w:lang w:eastAsia="es-MX"/>
        </w:rPr>
        <w:t xml:space="preserve"> y 2014</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BD6E87">
        <w:rPr>
          <w:rFonts w:ascii="Arial" w:eastAsia="Times New Roman" w:hAnsi="Arial" w:cs="Arial"/>
          <w:bCs/>
          <w:sz w:val="24"/>
          <w:szCs w:val="24"/>
          <w:lang w:eastAsia="es-MX"/>
        </w:rPr>
        <w:t xml:space="preserve"> Se indica que no existe alguna acción pendiente en trámite.</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9C0345" w:rsidP="009C034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lastRenderedPageBreak/>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9C0345" w:rsidRDefault="00FA27A6" w:rsidP="009A7A82">
      <w:pPr>
        <w:spacing w:before="240" w:line="360" w:lineRule="auto"/>
        <w:ind w:firstLine="709"/>
        <w:jc w:val="both"/>
        <w:rPr>
          <w:rFonts w:ascii="Arial" w:hAnsi="Arial" w:cs="Arial"/>
          <w:bCs/>
          <w:sz w:val="24"/>
          <w:szCs w:val="24"/>
        </w:rPr>
      </w:pPr>
      <w:r>
        <w:rPr>
          <w:rFonts w:ascii="Arial" w:hAnsi="Arial" w:cs="Arial"/>
          <w:bCs/>
          <w:sz w:val="24"/>
          <w:szCs w:val="24"/>
        </w:rPr>
        <w:t>Constatamos que el Informe del Fideicomiso Puente Internacional Solidaridad atiende los contenidos</w:t>
      </w:r>
      <w:r w:rsidR="009C0345" w:rsidRPr="00295C16">
        <w:rPr>
          <w:rFonts w:ascii="Arial" w:hAnsi="Arial" w:cs="Arial"/>
          <w:bCs/>
          <w:sz w:val="24"/>
          <w:szCs w:val="24"/>
        </w:rPr>
        <w:t xml:space="preserve"> generales que se estipulan en los artículos 49 y 50 de la </w:t>
      </w:r>
      <w:r w:rsidR="006B5CF6">
        <w:rPr>
          <w:rFonts w:ascii="Arial" w:hAnsi="Arial" w:cs="Arial"/>
          <w:bCs/>
          <w:sz w:val="24"/>
          <w:szCs w:val="24"/>
        </w:rPr>
        <w:t>Ley</w:t>
      </w:r>
      <w:r w:rsidR="009C0345" w:rsidRPr="00295C16">
        <w:rPr>
          <w:rFonts w:ascii="Arial" w:hAnsi="Arial" w:cs="Arial"/>
          <w:bCs/>
          <w:sz w:val="24"/>
          <w:szCs w:val="24"/>
        </w:rPr>
        <w:t xml:space="preserve"> de Fiscalización Superior del</w:t>
      </w:r>
      <w:r>
        <w:rPr>
          <w:rFonts w:ascii="Arial" w:hAnsi="Arial" w:cs="Arial"/>
          <w:bCs/>
          <w:sz w:val="24"/>
          <w:szCs w:val="24"/>
        </w:rPr>
        <w:t xml:space="preserve"> Estado de Nuevo León, respecto</w:t>
      </w:r>
      <w:r w:rsidR="009C0345" w:rsidRPr="00295C16">
        <w:rPr>
          <w:rFonts w:ascii="Arial" w:hAnsi="Arial" w:cs="Arial"/>
          <w:bCs/>
          <w:sz w:val="24"/>
          <w:szCs w:val="24"/>
        </w:rPr>
        <w:t xml:space="preserve"> a los resultados de su gestión financiera, </w:t>
      </w:r>
      <w:r>
        <w:rPr>
          <w:rFonts w:ascii="Arial" w:hAnsi="Arial" w:cs="Arial"/>
          <w:bCs/>
          <w:sz w:val="24"/>
          <w:szCs w:val="24"/>
        </w:rPr>
        <w:t xml:space="preserve">estos </w:t>
      </w:r>
      <w:r w:rsidR="009C0345" w:rsidRPr="00295C16">
        <w:rPr>
          <w:rFonts w:ascii="Arial" w:hAnsi="Arial" w:cs="Arial"/>
          <w:bCs/>
          <w:sz w:val="24"/>
          <w:szCs w:val="24"/>
        </w:rPr>
        <w:t>que se ajustaron a los criterios señalados en las Leyes</w:t>
      </w:r>
      <w:r>
        <w:rPr>
          <w:rFonts w:ascii="Arial" w:hAnsi="Arial" w:cs="Arial"/>
          <w:bCs/>
          <w:sz w:val="24"/>
          <w:szCs w:val="24"/>
        </w:rPr>
        <w:t xml:space="preserve"> de P</w:t>
      </w:r>
      <w:r w:rsidR="009C0345" w:rsidRPr="00295C16">
        <w:rPr>
          <w:rFonts w:ascii="Arial" w:hAnsi="Arial" w:cs="Arial"/>
          <w:bCs/>
          <w:sz w:val="24"/>
          <w:szCs w:val="24"/>
        </w:rPr>
        <w:t>resupuestos y demás disposiciones aplicables, así como el cumplimiento de los objetivos generales y metas de los programas y subprogramas aprobados</w:t>
      </w:r>
      <w:r w:rsidR="00E033FC">
        <w:rPr>
          <w:rFonts w:ascii="Arial" w:hAnsi="Arial" w:cs="Arial"/>
          <w:bCs/>
          <w:sz w:val="24"/>
          <w:szCs w:val="24"/>
        </w:rPr>
        <w:t>, salvo lo comentado</w:t>
      </w:r>
      <w:r>
        <w:rPr>
          <w:rFonts w:ascii="Arial" w:hAnsi="Arial" w:cs="Arial"/>
          <w:bCs/>
          <w:sz w:val="24"/>
          <w:szCs w:val="24"/>
        </w:rPr>
        <w:t xml:space="preserve"> en el a</w:t>
      </w:r>
      <w:r w:rsidR="00E033FC">
        <w:rPr>
          <w:rFonts w:ascii="Arial" w:hAnsi="Arial" w:cs="Arial"/>
          <w:bCs/>
          <w:sz w:val="24"/>
          <w:szCs w:val="24"/>
        </w:rPr>
        <w:t>partado quinto del citado Informe de resultado</w:t>
      </w:r>
      <w:r>
        <w:rPr>
          <w:rFonts w:ascii="Arial" w:hAnsi="Arial" w:cs="Arial"/>
          <w:bCs/>
          <w:sz w:val="24"/>
          <w:szCs w:val="24"/>
        </w:rPr>
        <w:t>s allegado por la Auditoría Superior</w:t>
      </w:r>
      <w:r w:rsidR="009C0345" w:rsidRPr="00295C16">
        <w:rPr>
          <w:rFonts w:ascii="Arial" w:hAnsi="Arial" w:cs="Arial"/>
          <w:bCs/>
          <w:sz w:val="24"/>
          <w:szCs w:val="24"/>
        </w:rPr>
        <w:t xml:space="preserve">. </w:t>
      </w:r>
    </w:p>
    <w:p w:rsidR="000050A4" w:rsidRPr="00295C16" w:rsidRDefault="000050A4" w:rsidP="009A7A82">
      <w:pPr>
        <w:spacing w:before="240" w:line="360" w:lineRule="auto"/>
        <w:ind w:firstLine="709"/>
        <w:jc w:val="both"/>
        <w:rPr>
          <w:rFonts w:ascii="Arial" w:hAnsi="Arial" w:cs="Arial"/>
          <w:bCs/>
          <w:sz w:val="24"/>
          <w:szCs w:val="24"/>
        </w:rPr>
      </w:pPr>
    </w:p>
    <w:p w:rsidR="009C0345" w:rsidRPr="00295C16" w:rsidRDefault="009C0345"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TERCERA: </w:t>
      </w:r>
      <w:r w:rsidRPr="00295C16">
        <w:rPr>
          <w:rFonts w:ascii="Arial" w:hAnsi="Arial" w:cs="Arial"/>
          <w:sz w:val="24"/>
          <w:szCs w:val="24"/>
        </w:rPr>
        <w:t>También tenemos que la Ley de Fiscalización Superior del Estado refiere en su artículo 19 que la fiscalización de la cuenta pública</w:t>
      </w:r>
      <w:r w:rsidR="00FA27A6">
        <w:rPr>
          <w:rFonts w:ascii="Arial" w:hAnsi="Arial" w:cs="Arial"/>
          <w:sz w:val="24"/>
          <w:szCs w:val="24"/>
        </w:rPr>
        <w:t>, establece</w:t>
      </w:r>
      <w:r w:rsidRPr="00295C16">
        <w:rPr>
          <w:rFonts w:ascii="Arial" w:hAnsi="Arial" w:cs="Arial"/>
          <w:sz w:val="24"/>
          <w:szCs w:val="24"/>
        </w:rPr>
        <w:t xml:space="preserve"> entre otros</w:t>
      </w:r>
      <w:r w:rsidR="00FA27A6">
        <w:rPr>
          <w:rFonts w:ascii="Arial" w:hAnsi="Arial" w:cs="Arial"/>
          <w:sz w:val="24"/>
          <w:szCs w:val="24"/>
        </w:rPr>
        <w:t xml:space="preserve"> objetivos, el evaluar los resultados </w:t>
      </w:r>
      <w:r w:rsidRPr="00295C16">
        <w:rPr>
          <w:rFonts w:ascii="Arial" w:hAnsi="Arial" w:cs="Arial"/>
          <w:sz w:val="24"/>
          <w:szCs w:val="24"/>
        </w:rPr>
        <w:t>de la gestión financiera por lo cual se verificará, entre otras cosas, si se cumplió con las disposiciones jurídicas aplicables en materia de registro y contabilidad gubernamental.</w:t>
      </w:r>
    </w:p>
    <w:p w:rsidR="00745B59" w:rsidRDefault="00AE1EF7" w:rsidP="009A7A82">
      <w:pPr>
        <w:spacing w:before="240" w:line="360" w:lineRule="auto"/>
        <w:ind w:firstLine="709"/>
        <w:jc w:val="both"/>
        <w:rPr>
          <w:rFonts w:ascii="Arial" w:hAnsi="Arial" w:cs="Arial"/>
          <w:sz w:val="24"/>
        </w:rPr>
      </w:pPr>
      <w:r w:rsidRPr="00295C16">
        <w:rPr>
          <w:rFonts w:ascii="Arial" w:hAnsi="Arial" w:cs="Arial"/>
          <w:b/>
          <w:bCs/>
          <w:sz w:val="24"/>
          <w:szCs w:val="24"/>
        </w:rPr>
        <w:lastRenderedPageBreak/>
        <w:t xml:space="preserve">CUARTA: </w:t>
      </w:r>
      <w:r w:rsidRPr="00295C16">
        <w:rPr>
          <w:rFonts w:ascii="Arial" w:hAnsi="Arial" w:cs="Arial"/>
          <w:sz w:val="24"/>
          <w:szCs w:val="24"/>
        </w:rPr>
        <w:t xml:space="preserve">En relación al apartado V del </w:t>
      </w:r>
      <w:r w:rsidR="00FA27A6">
        <w:rPr>
          <w:rFonts w:ascii="Arial" w:hAnsi="Arial" w:cs="Arial"/>
          <w:sz w:val="24"/>
          <w:szCs w:val="24"/>
        </w:rPr>
        <w:t>Informe de</w:t>
      </w:r>
      <w:r w:rsidR="00A77799">
        <w:rPr>
          <w:rFonts w:ascii="Arial" w:hAnsi="Arial" w:cs="Arial"/>
          <w:sz w:val="24"/>
          <w:szCs w:val="24"/>
        </w:rPr>
        <w:t xml:space="preserve"> Resultado</w:t>
      </w:r>
      <w:r w:rsidR="00FA27A6">
        <w:rPr>
          <w:rFonts w:ascii="Arial" w:hAnsi="Arial" w:cs="Arial"/>
          <w:sz w:val="24"/>
          <w:szCs w:val="24"/>
        </w:rPr>
        <w:t>s</w:t>
      </w:r>
      <w:r w:rsidRPr="00295C16">
        <w:rPr>
          <w:rFonts w:ascii="Arial" w:hAnsi="Arial" w:cs="Arial"/>
          <w:sz w:val="24"/>
          <w:szCs w:val="24"/>
        </w:rPr>
        <w:t xml:space="preserve">, </w:t>
      </w:r>
      <w:r w:rsidR="00FA27A6">
        <w:rPr>
          <w:rFonts w:ascii="Arial" w:hAnsi="Arial" w:cs="Arial"/>
          <w:sz w:val="24"/>
          <w:szCs w:val="24"/>
        </w:rPr>
        <w:t>o</w:t>
      </w:r>
      <w:r w:rsidR="001436C3" w:rsidRPr="001436C3">
        <w:rPr>
          <w:rFonts w:ascii="Arial" w:hAnsi="Arial" w:cs="Arial"/>
          <w:sz w:val="24"/>
          <w:szCs w:val="24"/>
        </w:rPr>
        <w:t>bservaciones derivadas de la revisión practicada, aclaraciones a las mismas, y su análisis por la Auditoría</w:t>
      </w:r>
      <w:r w:rsidR="00FA27A6">
        <w:rPr>
          <w:rFonts w:ascii="Arial" w:hAnsi="Arial" w:cs="Arial"/>
          <w:sz w:val="24"/>
          <w:szCs w:val="24"/>
        </w:rPr>
        <w:t xml:space="preserve"> Superior del Estado, en las que se incluyen</w:t>
      </w:r>
      <w:r w:rsidR="001436C3" w:rsidRPr="001436C3">
        <w:rPr>
          <w:rFonts w:ascii="Arial" w:hAnsi="Arial" w:cs="Arial"/>
          <w:sz w:val="24"/>
          <w:szCs w:val="24"/>
        </w:rPr>
        <w:t xml:space="preserve"> las acciones que se ejercerán y recomendaciones que se formularán</w:t>
      </w:r>
      <w:r w:rsidR="00FA41EB">
        <w:rPr>
          <w:rFonts w:ascii="Arial" w:hAnsi="Arial" w:cs="Arial"/>
          <w:sz w:val="24"/>
          <w:szCs w:val="24"/>
        </w:rPr>
        <w:t>,</w:t>
      </w:r>
      <w:r w:rsidR="007F779D" w:rsidRPr="00295C16">
        <w:rPr>
          <w:rFonts w:ascii="Arial" w:hAnsi="Arial" w:cs="Arial"/>
          <w:sz w:val="24"/>
          <w:szCs w:val="24"/>
        </w:rPr>
        <w:t xml:space="preserve"> </w:t>
      </w:r>
      <w:r w:rsidR="00FE335D">
        <w:rPr>
          <w:rFonts w:ascii="Arial" w:hAnsi="Arial" w:cs="Arial"/>
          <w:sz w:val="24"/>
          <w:szCs w:val="24"/>
        </w:rPr>
        <w:t>se observan algunas</w:t>
      </w:r>
      <w:r w:rsidR="007F779D" w:rsidRPr="00295C16">
        <w:rPr>
          <w:rFonts w:ascii="Arial" w:hAnsi="Arial" w:cs="Arial"/>
          <w:sz w:val="24"/>
          <w:szCs w:val="24"/>
        </w:rPr>
        <w:t xml:space="preserve"> </w:t>
      </w:r>
      <w:r w:rsidR="00843912">
        <w:rPr>
          <w:rFonts w:ascii="Arial" w:hAnsi="Arial" w:cs="Arial"/>
          <w:sz w:val="24"/>
          <w:szCs w:val="24"/>
        </w:rPr>
        <w:t>observaciones de</w:t>
      </w:r>
      <w:r w:rsidR="00FA27A6">
        <w:rPr>
          <w:rFonts w:ascii="Arial" w:hAnsi="Arial" w:cs="Arial"/>
          <w:sz w:val="24"/>
          <w:szCs w:val="24"/>
        </w:rPr>
        <w:t xml:space="preserve"> carácter administrativo.</w:t>
      </w:r>
      <w:r w:rsidR="00FE335D">
        <w:rPr>
          <w:rFonts w:ascii="Arial" w:hAnsi="Arial" w:cs="Arial"/>
          <w:sz w:val="24"/>
          <w:szCs w:val="24"/>
        </w:rPr>
        <w:t xml:space="preserve"> </w:t>
      </w:r>
    </w:p>
    <w:p w:rsidR="00975896" w:rsidRPr="00975896" w:rsidRDefault="00E72928" w:rsidP="009A7A82">
      <w:pPr>
        <w:spacing w:after="0" w:line="360" w:lineRule="auto"/>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Pr>
          <w:rFonts w:ascii="Arial" w:hAnsi="Arial" w:cs="Arial"/>
          <w:sz w:val="24"/>
          <w:szCs w:val="24"/>
        </w:rPr>
        <w:t>L</w:t>
      </w:r>
      <w:r w:rsidR="00FA27A6">
        <w:rPr>
          <w:rFonts w:ascii="Arial" w:hAnsi="Arial" w:cs="Arial"/>
          <w:sz w:val="24"/>
          <w:szCs w:val="24"/>
        </w:rPr>
        <w:t>a Auditoría</w:t>
      </w:r>
      <w:r>
        <w:rPr>
          <w:rFonts w:ascii="Arial" w:hAnsi="Arial" w:cs="Arial"/>
          <w:sz w:val="24"/>
          <w:szCs w:val="24"/>
        </w:rPr>
        <w:t xml:space="preserve"> nos informa también</w:t>
      </w:r>
      <w:r w:rsidR="00FA27A6">
        <w:rPr>
          <w:rFonts w:ascii="Arial" w:hAnsi="Arial" w:cs="Arial"/>
          <w:sz w:val="24"/>
          <w:szCs w:val="24"/>
        </w:rPr>
        <w:t xml:space="preserve"> que </w:t>
      </w:r>
      <w:r w:rsidR="007F5756" w:rsidRPr="00975896">
        <w:rPr>
          <w:rFonts w:ascii="Arial" w:hAnsi="Arial" w:cs="Arial"/>
          <w:sz w:val="24"/>
          <w:szCs w:val="24"/>
        </w:rPr>
        <w:t>respecto al</w:t>
      </w:r>
      <w:r w:rsidR="00FA27A6">
        <w:rPr>
          <w:rFonts w:ascii="Arial" w:hAnsi="Arial" w:cs="Arial"/>
          <w:sz w:val="24"/>
          <w:szCs w:val="24"/>
        </w:rPr>
        <w:t xml:space="preserve"> trámite y resultados obtenidos, </w:t>
      </w:r>
      <w:r w:rsidR="007F5756" w:rsidRPr="00975896">
        <w:rPr>
          <w:rFonts w:ascii="Arial" w:hAnsi="Arial" w:cs="Arial"/>
          <w:sz w:val="24"/>
          <w:szCs w:val="24"/>
        </w:rPr>
        <w:t xml:space="preserve">derivados de las solicitudes formuladas </w:t>
      </w:r>
      <w:r>
        <w:rPr>
          <w:rFonts w:ascii="Arial" w:hAnsi="Arial" w:cs="Arial"/>
          <w:sz w:val="24"/>
          <w:szCs w:val="24"/>
        </w:rPr>
        <w:t xml:space="preserve">que en su </w:t>
      </w:r>
      <w:r w:rsidR="00843912">
        <w:rPr>
          <w:rFonts w:ascii="Arial" w:hAnsi="Arial" w:cs="Arial"/>
          <w:sz w:val="24"/>
          <w:szCs w:val="24"/>
        </w:rPr>
        <w:t xml:space="preserve">caso </w:t>
      </w:r>
      <w:r w:rsidR="00843912" w:rsidRPr="00975896">
        <w:rPr>
          <w:rFonts w:ascii="Arial" w:hAnsi="Arial" w:cs="Arial"/>
          <w:sz w:val="24"/>
          <w:szCs w:val="24"/>
        </w:rPr>
        <w:t>el</w:t>
      </w:r>
      <w:r w:rsidR="007F5756" w:rsidRPr="00975896">
        <w:rPr>
          <w:rFonts w:ascii="Arial" w:hAnsi="Arial" w:cs="Arial"/>
          <w:sz w:val="24"/>
          <w:szCs w:val="24"/>
        </w:rPr>
        <w:t xml:space="preserve"> Congreso del Estado</w:t>
      </w:r>
      <w:r>
        <w:rPr>
          <w:rFonts w:ascii="Arial" w:hAnsi="Arial" w:cs="Arial"/>
          <w:sz w:val="24"/>
          <w:szCs w:val="24"/>
        </w:rPr>
        <w:t xml:space="preserve"> considerara necesarias solicitar para ser atendidas en el proceso de auditoría que se realizó al Fideicomiso, es de destacar que </w:t>
      </w:r>
      <w:r w:rsidRPr="00F10A38">
        <w:rPr>
          <w:rFonts w:ascii="Arial" w:hAnsi="Arial" w:cs="Arial"/>
          <w:sz w:val="24"/>
          <w:szCs w:val="24"/>
        </w:rPr>
        <w:t xml:space="preserve">no se presentaron diligencias al respecto. </w:t>
      </w:r>
      <w:r w:rsidR="00FA27A6" w:rsidRPr="00F10A38">
        <w:rPr>
          <w:rFonts w:ascii="Arial" w:hAnsi="Arial" w:cs="Arial"/>
          <w:sz w:val="24"/>
          <w:szCs w:val="24"/>
        </w:rPr>
        <w:t xml:space="preserve"> </w:t>
      </w:r>
    </w:p>
    <w:p w:rsidR="00975896" w:rsidRPr="00EB01DD" w:rsidRDefault="00975896" w:rsidP="009A7A82">
      <w:pPr>
        <w:spacing w:after="0" w:line="360" w:lineRule="auto"/>
        <w:ind w:left="708" w:firstLine="708"/>
        <w:jc w:val="both"/>
        <w:rPr>
          <w:rFonts w:ascii="Arial" w:hAnsi="Arial" w:cs="Arial"/>
        </w:rPr>
      </w:pPr>
    </w:p>
    <w:p w:rsidR="007F5756" w:rsidRPr="007F5756" w:rsidRDefault="00975896" w:rsidP="009A7A82">
      <w:pPr>
        <w:autoSpaceDE w:val="0"/>
        <w:autoSpaceDN w:val="0"/>
        <w:adjustRightInd w:val="0"/>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7F5756" w:rsidRPr="007F5756">
        <w:rPr>
          <w:rFonts w:ascii="Arial" w:hAnsi="Arial" w:cs="Arial"/>
          <w:sz w:val="24"/>
          <w:szCs w:val="24"/>
        </w:rPr>
        <w:t>Adicionalmente</w:t>
      </w:r>
      <w:r w:rsidR="00E72928">
        <w:rPr>
          <w:rFonts w:ascii="Arial" w:hAnsi="Arial" w:cs="Arial"/>
          <w:sz w:val="24"/>
          <w:szCs w:val="24"/>
        </w:rPr>
        <w:t>,</w:t>
      </w:r>
      <w:r w:rsidR="007F5756" w:rsidRPr="007F5756">
        <w:rPr>
          <w:rFonts w:ascii="Arial" w:hAnsi="Arial" w:cs="Arial"/>
          <w:sz w:val="24"/>
          <w:szCs w:val="24"/>
        </w:rPr>
        <w:t xml:space="preserve"> se nos informa que durante </w:t>
      </w:r>
      <w:r w:rsidR="00F072A9">
        <w:rPr>
          <w:rFonts w:ascii="Arial" w:hAnsi="Arial" w:cs="Arial"/>
          <w:sz w:val="24"/>
          <w:szCs w:val="24"/>
        </w:rPr>
        <w:t>el ejercicio 201</w:t>
      </w:r>
      <w:r w:rsidR="00BD6E87">
        <w:rPr>
          <w:rFonts w:ascii="Arial" w:hAnsi="Arial" w:cs="Arial"/>
          <w:sz w:val="24"/>
          <w:szCs w:val="24"/>
        </w:rPr>
        <w:t>5</w:t>
      </w:r>
      <w:r w:rsidR="007F779D">
        <w:rPr>
          <w:rFonts w:ascii="Arial" w:hAnsi="Arial" w:cs="Arial"/>
          <w:sz w:val="24"/>
          <w:szCs w:val="24"/>
        </w:rPr>
        <w:t xml:space="preserve">, </w:t>
      </w:r>
      <w:r w:rsidR="007F5756" w:rsidRPr="007F5756">
        <w:rPr>
          <w:rFonts w:ascii="Arial" w:hAnsi="Arial" w:cs="Arial"/>
          <w:sz w:val="24"/>
          <w:szCs w:val="24"/>
        </w:rPr>
        <w:t>no se recibieron solicitudes de revisión de situaciones excepcionales en relación a la cuenta pública</w:t>
      </w:r>
      <w:r w:rsidR="00E72928">
        <w:rPr>
          <w:rFonts w:ascii="Arial" w:hAnsi="Arial" w:cs="Arial"/>
          <w:sz w:val="24"/>
          <w:szCs w:val="24"/>
        </w:rPr>
        <w:t xml:space="preserve"> del Fideicomiso</w:t>
      </w:r>
      <w:r w:rsidR="007F5756" w:rsidRPr="007F5756">
        <w:rPr>
          <w:rFonts w:ascii="Arial" w:hAnsi="Arial" w:cs="Arial"/>
          <w:sz w:val="24"/>
          <w:szCs w:val="24"/>
        </w:rPr>
        <w:t xml:space="preserve"> </w:t>
      </w:r>
      <w:r w:rsidR="00E72928">
        <w:rPr>
          <w:rFonts w:ascii="Arial" w:hAnsi="Arial" w:cs="Arial"/>
          <w:sz w:val="24"/>
          <w:szCs w:val="24"/>
        </w:rPr>
        <w:t>auditado.</w:t>
      </w:r>
    </w:p>
    <w:p w:rsidR="007F5756" w:rsidRPr="007F5756" w:rsidRDefault="007F5756" w:rsidP="009A7A82">
      <w:pPr>
        <w:autoSpaceDE w:val="0"/>
        <w:autoSpaceDN w:val="0"/>
        <w:adjustRightInd w:val="0"/>
        <w:spacing w:after="0" w:line="360" w:lineRule="auto"/>
        <w:ind w:firstLine="708"/>
        <w:jc w:val="both"/>
        <w:rPr>
          <w:rFonts w:ascii="Arial" w:hAnsi="Arial" w:cs="Arial"/>
          <w:sz w:val="24"/>
          <w:szCs w:val="24"/>
        </w:rPr>
      </w:pPr>
    </w:p>
    <w:p w:rsidR="00807DB8" w:rsidRDefault="00E72928" w:rsidP="00807DB8">
      <w:pPr>
        <w:spacing w:after="0" w:line="360" w:lineRule="auto"/>
        <w:ind w:firstLine="708"/>
        <w:jc w:val="both"/>
        <w:rPr>
          <w:rFonts w:ascii="Arial" w:hAnsi="Arial" w:cs="Arial"/>
          <w:sz w:val="24"/>
          <w:szCs w:val="24"/>
        </w:rPr>
      </w:pPr>
      <w:r>
        <w:rPr>
          <w:rFonts w:ascii="Arial" w:hAnsi="Arial" w:cs="Arial"/>
          <w:b/>
          <w:sz w:val="24"/>
          <w:szCs w:val="24"/>
        </w:rPr>
        <w:t>SEPTIMA</w:t>
      </w:r>
      <w:r w:rsidR="00975896" w:rsidRPr="007F779D">
        <w:rPr>
          <w:rFonts w:ascii="Arial" w:hAnsi="Arial" w:cs="Arial"/>
          <w:b/>
          <w:sz w:val="24"/>
          <w:szCs w:val="24"/>
        </w:rPr>
        <w:t>:</w:t>
      </w:r>
      <w:r w:rsidR="00975896" w:rsidRPr="00975896">
        <w:rPr>
          <w:rFonts w:ascii="Arial" w:hAnsi="Arial" w:cs="Arial"/>
          <w:sz w:val="24"/>
          <w:szCs w:val="24"/>
        </w:rPr>
        <w:t xml:space="preserve"> 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Pr>
          <w:rFonts w:ascii="Arial" w:hAnsi="Arial" w:cs="Arial"/>
          <w:bCs/>
          <w:sz w:val="24"/>
          <w:szCs w:val="24"/>
        </w:rPr>
        <w:t xml:space="preserve">al </w:t>
      </w:r>
      <w:r>
        <w:rPr>
          <w:rFonts w:ascii="Arial" w:hAnsi="Arial" w:cs="Arial"/>
          <w:b/>
          <w:bCs/>
          <w:sz w:val="24"/>
          <w:szCs w:val="24"/>
        </w:rPr>
        <w:t xml:space="preserve">Fideicomiso </w:t>
      </w:r>
      <w:r w:rsidR="000050A4">
        <w:rPr>
          <w:rFonts w:ascii="Arial" w:hAnsi="Arial" w:cs="Arial"/>
          <w:b/>
          <w:bCs/>
          <w:sz w:val="24"/>
          <w:szCs w:val="24"/>
        </w:rPr>
        <w:t>Fondo para la Vivienda de los Trabajadores del Estado.</w:t>
      </w:r>
    </w:p>
    <w:p w:rsidR="00807DB8" w:rsidRDefault="00807DB8" w:rsidP="00807DB8">
      <w:pPr>
        <w:spacing w:after="0" w:line="360" w:lineRule="auto"/>
        <w:ind w:firstLine="708"/>
        <w:jc w:val="both"/>
        <w:rPr>
          <w:rFonts w:ascii="Arial" w:hAnsi="Arial" w:cs="Arial"/>
          <w:sz w:val="24"/>
          <w:szCs w:val="24"/>
        </w:rPr>
      </w:pPr>
    </w:p>
    <w:p w:rsidR="00E55433" w:rsidRDefault="00E55433" w:rsidP="00807DB8">
      <w:pPr>
        <w:spacing w:after="0" w:line="360" w:lineRule="auto"/>
        <w:ind w:firstLine="708"/>
        <w:jc w:val="both"/>
        <w:rPr>
          <w:rFonts w:ascii="Arial" w:hAnsi="Arial" w:cs="Arial"/>
          <w:sz w:val="24"/>
          <w:szCs w:val="24"/>
        </w:rPr>
      </w:pPr>
      <w:r>
        <w:rPr>
          <w:rFonts w:ascii="Arial" w:hAnsi="Arial" w:cs="Arial"/>
          <w:sz w:val="24"/>
          <w:szCs w:val="24"/>
        </w:rPr>
        <w:lastRenderedPageBreak/>
        <w:t>En general en el desarrollo de la actividad financiera y el cumplimiento de la normativ</w:t>
      </w:r>
      <w:r w:rsidR="00E82188">
        <w:rPr>
          <w:rFonts w:ascii="Arial" w:hAnsi="Arial" w:cs="Arial"/>
          <w:sz w:val="24"/>
          <w:szCs w:val="24"/>
        </w:rPr>
        <w:t>id</w:t>
      </w:r>
      <w:r>
        <w:rPr>
          <w:rFonts w:ascii="Arial" w:hAnsi="Arial" w:cs="Arial"/>
          <w:sz w:val="24"/>
          <w:szCs w:val="24"/>
        </w:rPr>
        <w:t>a</w:t>
      </w:r>
      <w:r w:rsidR="00E82188">
        <w:rPr>
          <w:rFonts w:ascii="Arial" w:hAnsi="Arial" w:cs="Arial"/>
          <w:sz w:val="24"/>
          <w:szCs w:val="24"/>
        </w:rPr>
        <w:t>d</w:t>
      </w:r>
      <w:r>
        <w:rPr>
          <w:rFonts w:ascii="Arial" w:hAnsi="Arial" w:cs="Arial"/>
          <w:sz w:val="24"/>
          <w:szCs w:val="24"/>
        </w:rPr>
        <w:t xml:space="preserve"> que </w:t>
      </w:r>
      <w:r w:rsidR="00E82188">
        <w:rPr>
          <w:rFonts w:ascii="Arial" w:hAnsi="Arial" w:cs="Arial"/>
          <w:sz w:val="24"/>
          <w:szCs w:val="24"/>
        </w:rPr>
        <w:t>debe atender</w:t>
      </w:r>
      <w:r>
        <w:rPr>
          <w:rFonts w:ascii="Arial" w:hAnsi="Arial" w:cs="Arial"/>
          <w:sz w:val="24"/>
          <w:szCs w:val="24"/>
        </w:rPr>
        <w:t xml:space="preserve"> </w:t>
      </w:r>
      <w:r w:rsidR="000050A4">
        <w:rPr>
          <w:rFonts w:ascii="Arial" w:hAnsi="Arial" w:cs="Arial"/>
          <w:sz w:val="24"/>
          <w:szCs w:val="24"/>
        </w:rPr>
        <w:t>ese</w:t>
      </w:r>
      <w:r w:rsidR="00E82188">
        <w:rPr>
          <w:rFonts w:ascii="Arial" w:hAnsi="Arial" w:cs="Arial"/>
          <w:sz w:val="24"/>
          <w:szCs w:val="24"/>
        </w:rPr>
        <w:t xml:space="preserve"> Fideicomiso</w:t>
      </w:r>
      <w:r>
        <w:rPr>
          <w:rFonts w:ascii="Arial" w:hAnsi="Arial" w:cs="Arial"/>
          <w:sz w:val="24"/>
          <w:szCs w:val="24"/>
        </w:rPr>
        <w:t>,</w:t>
      </w:r>
      <w:r w:rsidR="007F779D">
        <w:rPr>
          <w:rFonts w:ascii="Arial" w:hAnsi="Arial" w:cs="Arial"/>
          <w:sz w:val="24"/>
          <w:szCs w:val="24"/>
        </w:rPr>
        <w:t xml:space="preserve"> ha sido de acuerdo a los Normas de Información Financiera aplicables</w:t>
      </w:r>
      <w:r>
        <w:rPr>
          <w:rFonts w:ascii="Arial" w:hAnsi="Arial" w:cs="Arial"/>
          <w:sz w:val="24"/>
          <w:szCs w:val="24"/>
        </w:rPr>
        <w:t xml:space="preserve">. </w:t>
      </w:r>
    </w:p>
    <w:p w:rsidR="00807DB8" w:rsidRDefault="00807DB8" w:rsidP="00807DB8">
      <w:pPr>
        <w:spacing w:after="0" w:line="360" w:lineRule="auto"/>
        <w:ind w:firstLine="708"/>
        <w:jc w:val="both"/>
        <w:rPr>
          <w:rFonts w:ascii="Arial" w:hAnsi="Arial" w:cs="Arial"/>
          <w:sz w:val="24"/>
          <w:szCs w:val="24"/>
        </w:rPr>
      </w:pPr>
    </w:p>
    <w:p w:rsidR="00831D49" w:rsidRPr="00E82188" w:rsidRDefault="00C41E1F" w:rsidP="00E82188">
      <w:pPr>
        <w:spacing w:after="0" w:line="360" w:lineRule="auto"/>
        <w:ind w:firstLine="708"/>
        <w:jc w:val="both"/>
        <w:rPr>
          <w:rFonts w:ascii="Arial" w:hAnsi="Arial" w:cs="Arial"/>
          <w:sz w:val="24"/>
          <w:szCs w:val="24"/>
        </w:rPr>
      </w:pPr>
      <w:r w:rsidRPr="00C41E1F">
        <w:rPr>
          <w:rFonts w:ascii="Arial" w:hAnsi="Arial" w:cs="Arial"/>
          <w:sz w:val="24"/>
          <w:szCs w:val="24"/>
        </w:rPr>
        <w:t>Quienes integramos la</w:t>
      </w:r>
      <w:r w:rsidR="00807DB8">
        <w:rPr>
          <w:rFonts w:ascii="Arial" w:hAnsi="Arial" w:cs="Arial"/>
          <w:sz w:val="24"/>
          <w:szCs w:val="24"/>
        </w:rPr>
        <w:t xml:space="preserve"> presente C</w:t>
      </w:r>
      <w:r w:rsidRPr="00C41E1F">
        <w:rPr>
          <w:rFonts w:ascii="Arial" w:hAnsi="Arial" w:cs="Arial"/>
          <w:sz w:val="24"/>
          <w:szCs w:val="24"/>
        </w:rPr>
        <w:t>omisión de análisis y dictamen legislativo observamos que en el desarrollo de las operaciones financieras y gasto público,</w:t>
      </w:r>
      <w:r w:rsidR="00E82188">
        <w:rPr>
          <w:rFonts w:ascii="Arial" w:hAnsi="Arial" w:cs="Arial"/>
          <w:sz w:val="24"/>
          <w:szCs w:val="24"/>
        </w:rPr>
        <w:t xml:space="preserve"> el</w:t>
      </w:r>
      <w:r w:rsidRPr="00C41E1F">
        <w:rPr>
          <w:rFonts w:ascii="Arial" w:hAnsi="Arial" w:cs="Arial"/>
          <w:sz w:val="24"/>
          <w:szCs w:val="24"/>
        </w:rPr>
        <w:t xml:space="preserve"> </w:t>
      </w:r>
      <w:r w:rsidR="000050A4">
        <w:rPr>
          <w:rFonts w:ascii="Arial" w:hAnsi="Arial" w:cs="Arial"/>
          <w:bCs/>
          <w:sz w:val="24"/>
          <w:szCs w:val="24"/>
        </w:rPr>
        <w:t xml:space="preserve">al </w:t>
      </w:r>
      <w:r w:rsidR="000050A4">
        <w:rPr>
          <w:rFonts w:ascii="Arial" w:hAnsi="Arial" w:cs="Arial"/>
          <w:b/>
          <w:bCs/>
          <w:sz w:val="24"/>
          <w:szCs w:val="24"/>
        </w:rPr>
        <w:t>Fideicomiso Fondo para la Vivienda de los Trabajadores del Estado,</w:t>
      </w:r>
      <w:r w:rsidR="000050A4">
        <w:rPr>
          <w:rFonts w:ascii="Arial" w:hAnsi="Arial" w:cs="Arial"/>
          <w:sz w:val="24"/>
          <w:szCs w:val="24"/>
        </w:rPr>
        <w:t xml:space="preserve"> ejerció</w:t>
      </w:r>
      <w:r w:rsidRPr="00C41E1F">
        <w:rPr>
          <w:rFonts w:ascii="Arial" w:hAnsi="Arial" w:cs="Arial"/>
          <w:sz w:val="24"/>
          <w:szCs w:val="24"/>
        </w:rPr>
        <w:t xml:space="preserve"> los controles y prácticas administrativas adecuadas para el mejor desempeño y ejercicio de los recursos públicos,</w:t>
      </w:r>
      <w:r w:rsidR="00E82188">
        <w:rPr>
          <w:rFonts w:ascii="Arial" w:hAnsi="Arial" w:cs="Arial"/>
          <w:sz w:val="24"/>
          <w:szCs w:val="24"/>
        </w:rPr>
        <w:t xml:space="preserve"> en virtud de ello,</w:t>
      </w:r>
      <w:r w:rsidRPr="00C41E1F">
        <w:rPr>
          <w:rFonts w:ascii="Arial" w:hAnsi="Arial" w:cs="Arial"/>
          <w:sz w:val="24"/>
          <w:szCs w:val="24"/>
        </w:rPr>
        <w:t xml:space="preserve"> se propone la aprobación de la Cuenta Pública</w:t>
      </w:r>
      <w:r w:rsidR="00E82188">
        <w:rPr>
          <w:rFonts w:ascii="Arial" w:hAnsi="Arial" w:cs="Arial"/>
          <w:sz w:val="24"/>
          <w:szCs w:val="24"/>
        </w:rPr>
        <w:t xml:space="preserve"> de mérito</w:t>
      </w:r>
      <w:r w:rsidRPr="00C41E1F">
        <w:rPr>
          <w:rFonts w:ascii="Arial" w:hAnsi="Arial" w:cs="Arial"/>
          <w:sz w:val="24"/>
          <w:szCs w:val="24"/>
        </w:rPr>
        <w:t xml:space="preserve"> correspondiente al ejercicio</w:t>
      </w:r>
      <w:r w:rsidR="00E82188">
        <w:rPr>
          <w:rFonts w:ascii="Arial" w:hAnsi="Arial" w:cs="Arial"/>
          <w:sz w:val="24"/>
          <w:szCs w:val="24"/>
        </w:rPr>
        <w:t xml:space="preserve"> fiscal</w:t>
      </w:r>
      <w:r w:rsidRPr="00C41E1F">
        <w:rPr>
          <w:rFonts w:ascii="Arial" w:hAnsi="Arial" w:cs="Arial"/>
          <w:sz w:val="24"/>
          <w:szCs w:val="24"/>
        </w:rPr>
        <w:t xml:space="preserve"> 201</w:t>
      </w:r>
      <w:r w:rsidR="00BD6E87">
        <w:rPr>
          <w:rFonts w:ascii="Arial" w:hAnsi="Arial" w:cs="Arial"/>
          <w:sz w:val="24"/>
          <w:szCs w:val="24"/>
        </w:rPr>
        <w:t>5</w:t>
      </w:r>
      <w:r w:rsidRPr="00C41E1F">
        <w:rPr>
          <w:rFonts w:ascii="Arial" w:hAnsi="Arial" w:cs="Arial"/>
          <w:sz w:val="24"/>
          <w:szCs w:val="24"/>
        </w:rPr>
        <w:t>.</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0050A4" w:rsidRDefault="000050A4" w:rsidP="000050A4">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0050A4" w:rsidRDefault="000050A4" w:rsidP="000050A4">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 de</w:t>
      </w:r>
      <w:r w:rsidR="00A764C2">
        <w:rPr>
          <w:rFonts w:ascii="Arial" w:hAnsi="Arial" w:cs="Arial"/>
          <w:bCs/>
          <w:sz w:val="24"/>
          <w:szCs w:val="24"/>
        </w:rPr>
        <w:t xml:space="preserve"> la revisión </w:t>
      </w:r>
      <w:r>
        <w:rPr>
          <w:rFonts w:ascii="Arial" w:hAnsi="Arial" w:cs="Arial"/>
          <w:bCs/>
          <w:sz w:val="24"/>
          <w:szCs w:val="24"/>
        </w:rPr>
        <w:t xml:space="preserve">la Cuenta </w:t>
      </w:r>
      <w:r w:rsidR="00BD6E87">
        <w:rPr>
          <w:rFonts w:ascii="Arial" w:hAnsi="Arial" w:cs="Arial"/>
          <w:bCs/>
          <w:sz w:val="24"/>
          <w:szCs w:val="24"/>
        </w:rPr>
        <w:t>Pública 2015</w:t>
      </w:r>
      <w:r>
        <w:rPr>
          <w:rFonts w:ascii="Arial" w:hAnsi="Arial" w:cs="Arial"/>
          <w:bCs/>
          <w:sz w:val="24"/>
          <w:szCs w:val="24"/>
        </w:rPr>
        <w:t xml:space="preserve">, del </w:t>
      </w:r>
      <w:r w:rsidRPr="00833E1F">
        <w:rPr>
          <w:rFonts w:ascii="Arial" w:hAnsi="Arial" w:cs="Arial"/>
          <w:b/>
          <w:sz w:val="24"/>
        </w:rPr>
        <w:t>FIDEICOMISO FONDO PARA LA VIVIENDA PARA LOS TRABAJADORES DE LA EDUCACIÓN</w:t>
      </w:r>
      <w:r>
        <w:rPr>
          <w:rFonts w:ascii="Arial" w:hAnsi="Arial" w:cs="Arial"/>
          <w:b/>
          <w:bCs/>
          <w:sz w:val="24"/>
          <w:szCs w:val="24"/>
        </w:rPr>
        <w:t>.</w:t>
      </w:r>
      <w:r>
        <w:rPr>
          <w:rFonts w:ascii="Arial" w:hAnsi="Arial" w:cs="Arial"/>
          <w:sz w:val="24"/>
          <w:szCs w:val="24"/>
        </w:rPr>
        <w:t xml:space="preserve"> </w:t>
      </w:r>
    </w:p>
    <w:p w:rsidR="000050A4" w:rsidRDefault="000050A4" w:rsidP="000050A4">
      <w:pPr>
        <w:spacing w:line="360" w:lineRule="auto"/>
        <w:ind w:firstLine="709"/>
        <w:jc w:val="both"/>
        <w:rPr>
          <w:rFonts w:ascii="Arial" w:hAnsi="Arial" w:cs="Arial"/>
          <w:b/>
          <w:bCs/>
          <w:sz w:val="24"/>
          <w:szCs w:val="24"/>
        </w:rPr>
      </w:pPr>
    </w:p>
    <w:p w:rsidR="000050A4" w:rsidRDefault="000050A4" w:rsidP="000050A4">
      <w:pPr>
        <w:spacing w:after="0" w:line="360" w:lineRule="auto"/>
        <w:ind w:firstLine="708"/>
        <w:jc w:val="both"/>
        <w:rPr>
          <w:rFonts w:ascii="Arial" w:eastAsia="Times New Roman" w:hAnsi="Arial" w:cs="Arial"/>
          <w:bCs/>
          <w:sz w:val="24"/>
          <w:szCs w:val="24"/>
          <w:lang w:eastAsia="es-MX"/>
        </w:rPr>
      </w:pPr>
      <w:r>
        <w:rPr>
          <w:rFonts w:ascii="Arial" w:hAnsi="Arial" w:cs="Arial"/>
          <w:b/>
          <w:bCs/>
          <w:sz w:val="24"/>
          <w:szCs w:val="24"/>
        </w:rPr>
        <w:t>SEGUNDO.-</w:t>
      </w:r>
      <w:r w:rsidRPr="00A4247E">
        <w:rPr>
          <w:rFonts w:ascii="Arial" w:eastAsia="Times New Roman" w:hAnsi="Arial" w:cs="Arial"/>
          <w:bCs/>
          <w:sz w:val="24"/>
          <w:szCs w:val="24"/>
          <w:lang w:eastAsia="es-MX"/>
        </w:rPr>
        <w:t xml:space="preserve"> </w:t>
      </w:r>
      <w:r w:rsidRPr="0027456A">
        <w:rPr>
          <w:rFonts w:ascii="Arial" w:eastAsia="Times New Roman" w:hAnsi="Arial" w:cs="Arial"/>
          <w:bCs/>
          <w:sz w:val="24"/>
          <w:szCs w:val="24"/>
          <w:lang w:eastAsia="es-MX"/>
        </w:rPr>
        <w:t>Tras el análisis del contenido del Informe de Resultados que nos ocupa, se tienen por con</w:t>
      </w:r>
      <w:r w:rsidR="00A764C2">
        <w:rPr>
          <w:rFonts w:ascii="Arial" w:eastAsia="Times New Roman" w:hAnsi="Arial" w:cs="Arial"/>
          <w:bCs/>
          <w:sz w:val="24"/>
          <w:szCs w:val="24"/>
          <w:lang w:eastAsia="es-MX"/>
        </w:rPr>
        <w:t>ocidas</w:t>
      </w:r>
      <w:r w:rsidRPr="0027456A">
        <w:rPr>
          <w:rFonts w:ascii="Arial" w:eastAsia="Times New Roman" w:hAnsi="Arial" w:cs="Arial"/>
          <w:bCs/>
          <w:sz w:val="24"/>
          <w:szCs w:val="24"/>
          <w:lang w:eastAsia="es-MX"/>
        </w:rPr>
        <w:t xml:space="preserve"> las observaciones derivadas de la revisión practicada por la Auditoría Superior del Estado,</w:t>
      </w:r>
      <w:r>
        <w:rPr>
          <w:rFonts w:ascii="Arial" w:eastAsia="Times New Roman" w:hAnsi="Arial" w:cs="Arial"/>
          <w:bCs/>
          <w:sz w:val="24"/>
          <w:szCs w:val="24"/>
          <w:lang w:eastAsia="es-MX"/>
        </w:rPr>
        <w:t xml:space="preserve"> </w:t>
      </w:r>
      <w:r w:rsidR="00BD6E87">
        <w:rPr>
          <w:rFonts w:ascii="Arial" w:eastAsia="Times New Roman" w:hAnsi="Arial" w:cs="Arial"/>
          <w:bCs/>
          <w:sz w:val="24"/>
          <w:szCs w:val="24"/>
          <w:lang w:eastAsia="es-MX"/>
        </w:rPr>
        <w:t xml:space="preserve">señaladas con los números </w:t>
      </w:r>
      <w:r w:rsidR="00BD6E87" w:rsidRPr="00274F35">
        <w:rPr>
          <w:rFonts w:ascii="Arial" w:eastAsia="Times New Roman" w:hAnsi="Arial" w:cs="Arial"/>
          <w:bCs/>
          <w:sz w:val="24"/>
          <w:szCs w:val="24"/>
          <w:lang w:eastAsia="es-MX"/>
        </w:rPr>
        <w:t>1 a</w:t>
      </w:r>
      <w:r w:rsidR="00274F35" w:rsidRPr="00274F35">
        <w:rPr>
          <w:rFonts w:ascii="Arial" w:eastAsia="Times New Roman" w:hAnsi="Arial" w:cs="Arial"/>
          <w:bCs/>
          <w:sz w:val="24"/>
          <w:szCs w:val="24"/>
          <w:lang w:eastAsia="es-MX"/>
        </w:rPr>
        <w:t xml:space="preserve">l 18 </w:t>
      </w:r>
      <w:r w:rsidRPr="0027456A">
        <w:rPr>
          <w:rFonts w:ascii="Arial" w:eastAsia="Times New Roman" w:hAnsi="Arial" w:cs="Arial"/>
          <w:bCs/>
          <w:sz w:val="24"/>
          <w:szCs w:val="24"/>
          <w:lang w:eastAsia="es-MX"/>
        </w:rPr>
        <w:t>respecto de las cuales</w:t>
      </w:r>
      <w:r w:rsidRPr="00274D57">
        <w:rPr>
          <w:rFonts w:ascii="Arial" w:eastAsia="Times New Roman" w:hAnsi="Arial" w:cs="Arial"/>
          <w:bCs/>
          <w:sz w:val="24"/>
          <w:szCs w:val="24"/>
          <w:lang w:eastAsia="es-MX"/>
        </w:rPr>
        <w:t xml:space="preserve"> no se determinó emitir pliegos </w:t>
      </w:r>
      <w:r w:rsidRPr="00274D57">
        <w:rPr>
          <w:rFonts w:ascii="Arial" w:eastAsia="Times New Roman" w:hAnsi="Arial" w:cs="Arial"/>
          <w:bCs/>
          <w:sz w:val="24"/>
          <w:szCs w:val="24"/>
          <w:lang w:eastAsia="es-MX"/>
        </w:rPr>
        <w:lastRenderedPageBreak/>
        <w:t>presuntivos de responsabilidades y</w:t>
      </w:r>
      <w:r>
        <w:rPr>
          <w:rFonts w:ascii="Arial" w:eastAsia="Times New Roman" w:hAnsi="Arial" w:cs="Arial"/>
          <w:bCs/>
          <w:sz w:val="24"/>
          <w:szCs w:val="24"/>
          <w:lang w:eastAsia="es-MX"/>
        </w:rPr>
        <w:t>a</w:t>
      </w:r>
      <w:r w:rsidRPr="0027456A">
        <w:rPr>
          <w:rFonts w:ascii="Arial" w:eastAsia="Times New Roman" w:hAnsi="Arial" w:cs="Arial"/>
          <w:bCs/>
          <w:sz w:val="24"/>
          <w:szCs w:val="24"/>
          <w:lang w:eastAsia="es-MX"/>
        </w:rPr>
        <w:t xml:space="preserve"> que no se apreciaron observaciones que afectación económica.</w:t>
      </w:r>
    </w:p>
    <w:p w:rsidR="000050A4" w:rsidRDefault="000050A4" w:rsidP="000050A4">
      <w:pPr>
        <w:spacing w:after="0" w:line="360" w:lineRule="auto"/>
        <w:ind w:firstLine="708"/>
        <w:jc w:val="both"/>
        <w:rPr>
          <w:rFonts w:ascii="Arial" w:hAnsi="Arial" w:cs="Arial"/>
          <w:b/>
          <w:bCs/>
          <w:sz w:val="24"/>
          <w:szCs w:val="24"/>
        </w:rPr>
      </w:pPr>
    </w:p>
    <w:p w:rsidR="000050A4" w:rsidRPr="00947B22" w:rsidRDefault="000050A4" w:rsidP="000050A4">
      <w:pPr>
        <w:spacing w:after="0" w:line="360" w:lineRule="auto"/>
        <w:ind w:right="23" w:firstLine="708"/>
        <w:jc w:val="both"/>
        <w:rPr>
          <w:rFonts w:ascii="Arial" w:eastAsia="Times New Roman" w:hAnsi="Arial" w:cs="Arial"/>
          <w:bCs/>
          <w:sz w:val="24"/>
          <w:szCs w:val="24"/>
          <w:lang w:eastAsia="es-MX"/>
        </w:rPr>
      </w:pPr>
      <w:r w:rsidRPr="00947B22">
        <w:rPr>
          <w:rFonts w:ascii="Arial" w:eastAsia="Times New Roman" w:hAnsi="Arial" w:cs="Arial"/>
          <w:b/>
          <w:bCs/>
          <w:sz w:val="24"/>
          <w:szCs w:val="24"/>
          <w:lang w:eastAsia="es-MX"/>
        </w:rPr>
        <w:t xml:space="preserve">TERCERO.- </w:t>
      </w:r>
      <w:r w:rsidRPr="00947B22">
        <w:rPr>
          <w:rFonts w:ascii="Arial" w:eastAsia="Times New Roman" w:hAnsi="Arial" w:cs="Arial"/>
          <w:bCs/>
          <w:sz w:val="24"/>
          <w:szCs w:val="24"/>
          <w:lang w:eastAsia="es-MX"/>
        </w:rPr>
        <w:t>Atendiendo a las características y alcance de las observaciones seña</w:t>
      </w:r>
      <w:r>
        <w:rPr>
          <w:rFonts w:ascii="Arial" w:eastAsia="Times New Roman" w:hAnsi="Arial" w:cs="Arial"/>
          <w:bCs/>
          <w:sz w:val="24"/>
          <w:szCs w:val="24"/>
          <w:lang w:eastAsia="es-MX"/>
        </w:rPr>
        <w:t>ladas en el resolutivo anterior</w:t>
      </w:r>
      <w:r w:rsidRPr="00947B22">
        <w:rPr>
          <w:rFonts w:ascii="Arial" w:eastAsia="Times New Roman" w:hAnsi="Arial" w:cs="Arial"/>
          <w:bCs/>
          <w:sz w:val="24"/>
          <w:szCs w:val="24"/>
          <w:lang w:eastAsia="es-MX"/>
        </w:rPr>
        <w:t xml:space="preserve"> como causa de promoción de fincamiento de responsabilidad administrativa</w:t>
      </w:r>
      <w:r>
        <w:rPr>
          <w:rFonts w:ascii="Arial" w:eastAsia="Times New Roman" w:hAnsi="Arial" w:cs="Arial"/>
          <w:bCs/>
          <w:sz w:val="24"/>
          <w:szCs w:val="24"/>
          <w:lang w:eastAsia="es-MX"/>
        </w:rPr>
        <w:t xml:space="preserve"> y recomendaciones </w:t>
      </w:r>
      <w:r w:rsidRPr="00947B22">
        <w:rPr>
          <w:rFonts w:ascii="Arial" w:eastAsia="Times New Roman" w:hAnsi="Arial" w:cs="Arial"/>
          <w:bCs/>
          <w:sz w:val="24"/>
          <w:szCs w:val="24"/>
          <w:lang w:eastAsia="es-MX"/>
        </w:rPr>
        <w:t>a la gestión o control interno y habiéndose encontrando que no generan afectaciones económicas y considerando al mismo tiempo que tales observaciones no afectan la actuación del ente fiscalizado, se estima que la Cuenta Pública 201</w:t>
      </w:r>
      <w:r w:rsidR="00BD6E87">
        <w:rPr>
          <w:rFonts w:ascii="Arial" w:eastAsia="Times New Roman" w:hAnsi="Arial" w:cs="Arial"/>
          <w:bCs/>
          <w:sz w:val="24"/>
          <w:szCs w:val="24"/>
          <w:lang w:eastAsia="es-MX"/>
        </w:rPr>
        <w:t>5</w:t>
      </w:r>
      <w:r w:rsidRPr="00947B22">
        <w:rPr>
          <w:rFonts w:ascii="Arial" w:eastAsia="Times New Roman" w:hAnsi="Arial" w:cs="Arial"/>
          <w:bCs/>
          <w:sz w:val="24"/>
          <w:szCs w:val="24"/>
          <w:lang w:eastAsia="es-MX"/>
        </w:rPr>
        <w:t xml:space="preserve"> del </w:t>
      </w:r>
      <w:r w:rsidRPr="00833E1F">
        <w:rPr>
          <w:rFonts w:ascii="Arial" w:hAnsi="Arial" w:cs="Arial"/>
          <w:b/>
          <w:sz w:val="24"/>
        </w:rPr>
        <w:t>FIDEICOMISO FONDO PARA LA VIVIENDA PARA LOS TRABAJADORES DE LA EDUCACIÓN</w:t>
      </w:r>
      <w:r w:rsidRPr="00947B22">
        <w:rPr>
          <w:rFonts w:ascii="Arial" w:eastAsia="Times New Roman" w:hAnsi="Arial" w:cs="Arial"/>
          <w:bCs/>
          <w:sz w:val="24"/>
          <w:szCs w:val="24"/>
          <w:lang w:eastAsia="es-MX"/>
        </w:rPr>
        <w:t xml:space="preserve"> es susceptible de aprobación.</w:t>
      </w:r>
    </w:p>
    <w:p w:rsidR="000050A4" w:rsidRDefault="000050A4" w:rsidP="000050A4">
      <w:pPr>
        <w:spacing w:after="0" w:line="360" w:lineRule="auto"/>
        <w:ind w:left="660" w:right="617"/>
        <w:jc w:val="both"/>
        <w:rPr>
          <w:rFonts w:ascii="Arial" w:eastAsia="Times New Roman" w:hAnsi="Arial" w:cs="Arial"/>
          <w:bCs/>
          <w:sz w:val="24"/>
          <w:szCs w:val="24"/>
          <w:lang w:eastAsia="es-MX"/>
        </w:rPr>
      </w:pPr>
    </w:p>
    <w:p w:rsidR="000050A4" w:rsidRDefault="000050A4" w:rsidP="000050A4">
      <w:pPr>
        <w:spacing w:after="0" w:line="360" w:lineRule="auto"/>
        <w:ind w:right="23" w:firstLine="708"/>
        <w:jc w:val="both"/>
        <w:rPr>
          <w:rFonts w:ascii="Arial" w:eastAsia="Times New Roman" w:hAnsi="Arial" w:cs="Arial"/>
          <w:b/>
          <w:sz w:val="24"/>
          <w:szCs w:val="24"/>
          <w:lang w:eastAsia="es-MX"/>
        </w:rPr>
      </w:pPr>
      <w:r w:rsidRPr="00947B22">
        <w:rPr>
          <w:rFonts w:ascii="Arial" w:eastAsia="Times New Roman" w:hAnsi="Arial" w:cs="Arial"/>
          <w:bCs/>
          <w:sz w:val="24"/>
          <w:szCs w:val="24"/>
          <w:lang w:eastAsia="es-MX"/>
        </w:rPr>
        <w:t>Por lo tanto y en cumplimiento de lo señalado en el artículo 63 fracción XIII de la Constitución Política del Estado Libre y Soberano de Nuevo León y demás disposiciones legales aplicables</w:t>
      </w:r>
      <w:r w:rsidR="009377B6">
        <w:rPr>
          <w:rFonts w:ascii="Arial" w:hAnsi="Arial" w:cs="Arial"/>
          <w:bCs/>
          <w:sz w:val="24"/>
          <w:szCs w:val="24"/>
        </w:rPr>
        <w:t>, así como lo descrito en el apartado de Consideraciones del presente Dictamen,</w:t>
      </w:r>
      <w:r w:rsidRPr="00947B22">
        <w:rPr>
          <w:rFonts w:ascii="Arial" w:eastAsia="Times New Roman" w:hAnsi="Arial" w:cs="Arial"/>
          <w:bCs/>
          <w:sz w:val="24"/>
          <w:szCs w:val="24"/>
          <w:lang w:eastAsia="es-MX"/>
        </w:rPr>
        <w:t xml:space="preserve"> </w:t>
      </w:r>
      <w:r w:rsidRPr="00947B22">
        <w:rPr>
          <w:rFonts w:ascii="Arial" w:eastAsia="Times New Roman" w:hAnsi="Arial" w:cs="Arial"/>
          <w:b/>
          <w:bCs/>
          <w:sz w:val="24"/>
          <w:szCs w:val="24"/>
          <w:lang w:eastAsia="es-MX"/>
        </w:rPr>
        <w:t>SE APRUEBA</w:t>
      </w:r>
      <w:r w:rsidRPr="00947B22">
        <w:rPr>
          <w:rFonts w:ascii="Arial" w:eastAsia="Times New Roman" w:hAnsi="Arial" w:cs="Arial"/>
          <w:bCs/>
          <w:sz w:val="24"/>
          <w:szCs w:val="24"/>
          <w:lang w:eastAsia="es-MX"/>
        </w:rPr>
        <w:t xml:space="preserve"> la Cuenta Pública 201</w:t>
      </w:r>
      <w:r w:rsidR="007469BF">
        <w:rPr>
          <w:rFonts w:ascii="Arial" w:eastAsia="Times New Roman" w:hAnsi="Arial" w:cs="Arial"/>
          <w:bCs/>
          <w:sz w:val="24"/>
          <w:szCs w:val="24"/>
          <w:lang w:eastAsia="es-MX"/>
        </w:rPr>
        <w:t>5</w:t>
      </w:r>
      <w:r w:rsidRPr="00947B22">
        <w:rPr>
          <w:rFonts w:ascii="Arial" w:eastAsia="Times New Roman" w:hAnsi="Arial" w:cs="Arial"/>
          <w:bCs/>
          <w:sz w:val="24"/>
          <w:szCs w:val="24"/>
          <w:lang w:eastAsia="es-MX"/>
        </w:rPr>
        <w:t xml:space="preserve"> </w:t>
      </w:r>
      <w:r w:rsidRPr="00947B22">
        <w:rPr>
          <w:rFonts w:ascii="Arial" w:eastAsia="Times New Roman" w:hAnsi="Arial" w:cs="Arial"/>
          <w:sz w:val="24"/>
          <w:szCs w:val="24"/>
          <w:lang w:eastAsia="es-MX"/>
        </w:rPr>
        <w:t>del</w:t>
      </w:r>
      <w:r w:rsidRPr="00947B22">
        <w:rPr>
          <w:rFonts w:ascii="Arial" w:eastAsia="Times New Roman" w:hAnsi="Arial" w:cs="Arial"/>
          <w:b/>
          <w:sz w:val="24"/>
          <w:szCs w:val="24"/>
          <w:lang w:eastAsia="es-MX"/>
        </w:rPr>
        <w:t xml:space="preserve"> </w:t>
      </w:r>
      <w:r w:rsidRPr="00833E1F">
        <w:rPr>
          <w:rFonts w:ascii="Arial" w:hAnsi="Arial" w:cs="Arial"/>
          <w:b/>
          <w:sz w:val="24"/>
        </w:rPr>
        <w:t>FIDEICOMISO FONDO PARA LA VIVIENDA PARA LOS TRABAJADORES DE LA EDUCACIÓN</w:t>
      </w:r>
      <w:r w:rsidRPr="00947B22">
        <w:rPr>
          <w:rFonts w:ascii="Arial" w:eastAsia="Times New Roman" w:hAnsi="Arial" w:cs="Arial"/>
          <w:b/>
          <w:sz w:val="24"/>
          <w:szCs w:val="24"/>
          <w:lang w:eastAsia="es-MX"/>
        </w:rPr>
        <w:t>.</w:t>
      </w:r>
    </w:p>
    <w:p w:rsidR="000050A4" w:rsidRDefault="000050A4" w:rsidP="000050A4">
      <w:pPr>
        <w:spacing w:after="0" w:line="360" w:lineRule="auto"/>
        <w:ind w:firstLine="708"/>
        <w:jc w:val="both"/>
        <w:rPr>
          <w:rFonts w:ascii="Arial" w:hAnsi="Arial" w:cs="Arial"/>
          <w:bCs/>
          <w:sz w:val="24"/>
          <w:szCs w:val="24"/>
        </w:rPr>
      </w:pPr>
    </w:p>
    <w:p w:rsidR="000050A4" w:rsidRPr="00947B22" w:rsidRDefault="000050A4" w:rsidP="000050A4">
      <w:pPr>
        <w:spacing w:after="0" w:line="360" w:lineRule="auto"/>
        <w:ind w:right="23" w:firstLine="708"/>
        <w:jc w:val="both"/>
        <w:rPr>
          <w:rFonts w:ascii="Arial" w:eastAsia="Times New Roman" w:hAnsi="Arial" w:cs="Arial"/>
          <w:b/>
          <w:bCs/>
          <w:sz w:val="24"/>
          <w:szCs w:val="24"/>
          <w:lang w:eastAsia="es-MX"/>
        </w:rPr>
      </w:pPr>
      <w:r w:rsidRPr="00947B22">
        <w:rPr>
          <w:rFonts w:ascii="Arial" w:eastAsia="Times New Roman" w:hAnsi="Arial" w:cs="Arial"/>
          <w:b/>
          <w:sz w:val="24"/>
          <w:szCs w:val="24"/>
          <w:lang w:eastAsia="es-MX"/>
        </w:rPr>
        <w:t xml:space="preserve">CUARTO.- </w:t>
      </w:r>
      <w:r w:rsidRPr="00947B22">
        <w:rPr>
          <w:rFonts w:ascii="Arial" w:eastAsia="Times New Roman" w:hAnsi="Arial" w:cs="Arial"/>
          <w:sz w:val="24"/>
          <w:szCs w:val="24"/>
          <w:lang w:eastAsia="es-MX"/>
        </w:rPr>
        <w:t>Se instruye a la Auditoria Superior del Estado para que en términos del párrafo segundo del artículo 52 de la</w:t>
      </w:r>
      <w:r w:rsidRPr="00947B22">
        <w:rPr>
          <w:rFonts w:ascii="Arial" w:eastAsia="Times New Roman" w:hAnsi="Arial" w:cs="Arial"/>
          <w:sz w:val="24"/>
          <w:szCs w:val="24"/>
          <w:lang w:val="es-ES_tradnl" w:eastAsia="es-MX"/>
        </w:rPr>
        <w:t xml:space="preserve"> </w:t>
      </w:r>
      <w:r w:rsidRPr="00947B22">
        <w:rPr>
          <w:rFonts w:ascii="Arial" w:eastAsia="Times New Roman" w:hAnsi="Arial" w:cs="Arial"/>
          <w:sz w:val="24"/>
          <w:szCs w:val="24"/>
          <w:lang w:eastAsia="es-MX"/>
        </w:rPr>
        <w:t>Ley de Fiscalización Superior del Estado de Nuevo León</w:t>
      </w:r>
      <w:r w:rsidRPr="00947B22">
        <w:rPr>
          <w:rFonts w:ascii="Arial" w:eastAsia="Times New Roman" w:hAnsi="Arial" w:cs="Arial"/>
          <w:b/>
          <w:sz w:val="24"/>
          <w:szCs w:val="24"/>
          <w:lang w:eastAsia="es-MX"/>
        </w:rPr>
        <w:t xml:space="preserve"> EXPIDA EL FINIQUITO CORRESPONDIENTE, </w:t>
      </w:r>
      <w:r w:rsidRPr="00947B22">
        <w:rPr>
          <w:rFonts w:ascii="Arial" w:eastAsia="Times New Roman" w:hAnsi="Arial" w:cs="Arial"/>
          <w:sz w:val="24"/>
          <w:szCs w:val="24"/>
          <w:lang w:eastAsia="es-MX"/>
        </w:rPr>
        <w:t xml:space="preserve">quedando a salvo los derechos del Órgano de Fiscalización en los términos del artículo 51 de la Ley de Fiscalización Superior del Estado de Nuevo León, a fin de continuar con cualquier acción </w:t>
      </w:r>
      <w:r w:rsidRPr="00947B22">
        <w:rPr>
          <w:rFonts w:ascii="Arial" w:eastAsia="Times New Roman" w:hAnsi="Arial" w:cs="Arial"/>
          <w:sz w:val="24"/>
          <w:szCs w:val="24"/>
          <w:lang w:eastAsia="es-MX"/>
        </w:rPr>
        <w:lastRenderedPageBreak/>
        <w:t>de las señaladas en el artículo 53 de la citada Ley, derivadas de la revisión de la cuenta pública del</w:t>
      </w:r>
      <w:r w:rsidRPr="00947B22">
        <w:rPr>
          <w:rFonts w:ascii="Arial" w:eastAsia="Times New Roman" w:hAnsi="Arial" w:cs="Arial"/>
          <w:b/>
          <w:sz w:val="24"/>
          <w:szCs w:val="24"/>
          <w:lang w:eastAsia="es-MX"/>
        </w:rPr>
        <w:t xml:space="preserve"> </w:t>
      </w:r>
      <w:r w:rsidRPr="00833E1F">
        <w:rPr>
          <w:rFonts w:ascii="Arial" w:hAnsi="Arial" w:cs="Arial"/>
          <w:b/>
          <w:sz w:val="24"/>
        </w:rPr>
        <w:t>FIDEICOMISO FONDO PARA LA VIVIENDA PARA LOS TRABAJADORES DE LA EDUCACIÓN</w:t>
      </w:r>
      <w:r w:rsidRPr="00947B22">
        <w:rPr>
          <w:rFonts w:ascii="Arial" w:eastAsia="Times New Roman" w:hAnsi="Arial" w:cs="Arial"/>
          <w:b/>
          <w:sz w:val="24"/>
          <w:szCs w:val="24"/>
          <w:lang w:val="es-MX" w:eastAsia="es-MX"/>
        </w:rPr>
        <w:t xml:space="preserve">, </w:t>
      </w:r>
      <w:r w:rsidRPr="00947B22">
        <w:rPr>
          <w:rFonts w:ascii="Arial" w:eastAsia="Times New Roman" w:hAnsi="Arial" w:cs="Arial"/>
          <w:sz w:val="24"/>
          <w:szCs w:val="24"/>
          <w:lang w:eastAsia="es-MX"/>
        </w:rPr>
        <w:t>correspondiente al ejercicio</w:t>
      </w:r>
      <w:r w:rsidR="00BD6E87">
        <w:rPr>
          <w:rFonts w:ascii="Arial" w:eastAsia="Times New Roman" w:hAnsi="Arial" w:cs="Arial"/>
          <w:b/>
          <w:sz w:val="24"/>
          <w:szCs w:val="24"/>
          <w:lang w:eastAsia="es-MX"/>
        </w:rPr>
        <w:t xml:space="preserve"> 2015</w:t>
      </w:r>
      <w:r w:rsidRPr="00947B22">
        <w:rPr>
          <w:rFonts w:ascii="Arial" w:eastAsia="Times New Roman" w:hAnsi="Arial" w:cs="Arial"/>
          <w:b/>
          <w:sz w:val="24"/>
          <w:szCs w:val="24"/>
          <w:lang w:eastAsia="es-MX"/>
        </w:rPr>
        <w:t>.</w:t>
      </w:r>
    </w:p>
    <w:p w:rsidR="000050A4" w:rsidRDefault="000050A4" w:rsidP="000050A4">
      <w:pPr>
        <w:spacing w:line="360" w:lineRule="auto"/>
        <w:ind w:firstLine="709"/>
        <w:jc w:val="both"/>
        <w:rPr>
          <w:rFonts w:ascii="Arial" w:hAnsi="Arial" w:cs="Arial"/>
          <w:bCs/>
          <w:sz w:val="24"/>
          <w:szCs w:val="24"/>
        </w:rPr>
      </w:pPr>
    </w:p>
    <w:p w:rsidR="000050A4" w:rsidRPr="006C2B1B" w:rsidRDefault="00F10A38" w:rsidP="000050A4">
      <w:pPr>
        <w:spacing w:after="0" w:line="360" w:lineRule="auto"/>
        <w:ind w:firstLine="708"/>
        <w:jc w:val="both"/>
        <w:rPr>
          <w:rFonts w:ascii="Arial" w:hAnsi="Arial" w:cs="Arial"/>
          <w:sz w:val="24"/>
          <w:szCs w:val="24"/>
        </w:rPr>
      </w:pPr>
      <w:r>
        <w:rPr>
          <w:rFonts w:ascii="Arial" w:hAnsi="Arial" w:cs="Arial"/>
          <w:b/>
          <w:bCs/>
          <w:sz w:val="24"/>
          <w:szCs w:val="24"/>
        </w:rPr>
        <w:t>QUIN</w:t>
      </w:r>
      <w:r w:rsidR="000050A4">
        <w:rPr>
          <w:rFonts w:ascii="Arial" w:hAnsi="Arial" w:cs="Arial"/>
          <w:b/>
          <w:bCs/>
          <w:sz w:val="24"/>
          <w:szCs w:val="24"/>
        </w:rPr>
        <w:t>TO.-</w:t>
      </w:r>
      <w:r w:rsidR="000050A4">
        <w:rPr>
          <w:rFonts w:ascii="Arial" w:hAnsi="Arial" w:cs="Arial"/>
          <w:bCs/>
          <w:sz w:val="24"/>
          <w:szCs w:val="24"/>
        </w:rPr>
        <w:t xml:space="preserve"> Remítase copia a la </w:t>
      </w:r>
      <w:r w:rsidR="000050A4" w:rsidRPr="00CE0720">
        <w:rPr>
          <w:rFonts w:ascii="Arial" w:hAnsi="Arial" w:cs="Arial"/>
          <w:b/>
          <w:bCs/>
          <w:sz w:val="24"/>
          <w:szCs w:val="24"/>
        </w:rPr>
        <w:t>AUDITORÍA SUPE</w:t>
      </w:r>
      <w:r w:rsidR="000050A4">
        <w:rPr>
          <w:rFonts w:ascii="Arial" w:hAnsi="Arial" w:cs="Arial"/>
          <w:b/>
          <w:bCs/>
          <w:sz w:val="24"/>
          <w:szCs w:val="24"/>
        </w:rPr>
        <w:t>R</w:t>
      </w:r>
      <w:r w:rsidR="000050A4" w:rsidRPr="00CE0720">
        <w:rPr>
          <w:rFonts w:ascii="Arial" w:hAnsi="Arial" w:cs="Arial"/>
          <w:b/>
          <w:bCs/>
          <w:sz w:val="24"/>
          <w:szCs w:val="24"/>
        </w:rPr>
        <w:t>IOR DEL ESTADO DE NUEVO LEÓN</w:t>
      </w:r>
      <w:r w:rsidR="000050A4">
        <w:rPr>
          <w:rFonts w:ascii="Arial" w:hAnsi="Arial" w:cs="Arial"/>
          <w:bCs/>
          <w:sz w:val="24"/>
          <w:szCs w:val="24"/>
        </w:rPr>
        <w:t xml:space="preserve"> y al </w:t>
      </w:r>
      <w:r w:rsidR="000050A4" w:rsidRPr="00833E1F">
        <w:rPr>
          <w:rFonts w:ascii="Arial" w:hAnsi="Arial" w:cs="Arial"/>
          <w:b/>
          <w:sz w:val="24"/>
        </w:rPr>
        <w:t>FIDEICOMISO FONDO PARA LA VIVIENDA PARA LOS TRABAJADORES DE LA EDUCACIÓN</w:t>
      </w:r>
      <w:r w:rsidR="000050A4">
        <w:rPr>
          <w:rFonts w:ascii="Arial" w:hAnsi="Arial" w:cs="Arial"/>
          <w:b/>
          <w:bCs/>
          <w:sz w:val="24"/>
          <w:szCs w:val="24"/>
        </w:rPr>
        <w:t>,</w:t>
      </w:r>
      <w:r w:rsidR="000050A4">
        <w:rPr>
          <w:rFonts w:ascii="Arial" w:hAnsi="Arial" w:cs="Arial"/>
          <w:bCs/>
          <w:sz w:val="24"/>
          <w:szCs w:val="24"/>
        </w:rPr>
        <w:t xml:space="preserve"> para su conocimiento y efectos legales a que haya lugar.</w:t>
      </w:r>
    </w:p>
    <w:p w:rsidR="000050A4" w:rsidRPr="009A7A82" w:rsidRDefault="000050A4" w:rsidP="000050A4">
      <w:pPr>
        <w:spacing w:line="360" w:lineRule="auto"/>
        <w:ind w:firstLine="709"/>
        <w:jc w:val="both"/>
        <w:rPr>
          <w:rFonts w:ascii="Arial" w:hAnsi="Arial" w:cs="Arial"/>
          <w:bCs/>
          <w:sz w:val="24"/>
          <w:szCs w:val="24"/>
        </w:rPr>
      </w:pPr>
    </w:p>
    <w:p w:rsidR="000050A4" w:rsidRPr="007F749B" w:rsidRDefault="000050A4" w:rsidP="000050A4">
      <w:pPr>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Pr="007F749B">
        <w:rPr>
          <w:rFonts w:ascii="Arial" w:hAnsi="Arial" w:cs="Arial"/>
        </w:rPr>
        <w:t xml:space="preserve"> </w:t>
      </w:r>
    </w:p>
    <w:p w:rsidR="000050A4" w:rsidRPr="00FE07C7" w:rsidRDefault="000050A4" w:rsidP="000050A4">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0050A4" w:rsidRDefault="000050A4" w:rsidP="000050A4">
      <w:pPr>
        <w:pStyle w:val="Ttulo1"/>
        <w:spacing w:line="360" w:lineRule="auto"/>
        <w:rPr>
          <w:rFonts w:ascii="Arial" w:hAnsi="Arial" w:cs="Arial"/>
          <w:b/>
          <w:sz w:val="22"/>
          <w:szCs w:val="22"/>
          <w:u w:val="none"/>
        </w:rPr>
      </w:pPr>
    </w:p>
    <w:p w:rsidR="000050A4" w:rsidRPr="009A7A82" w:rsidRDefault="000050A4" w:rsidP="000050A4">
      <w:pPr>
        <w:rPr>
          <w:lang w:val="es-ES_tradnl" w:eastAsia="ar-SA"/>
        </w:rPr>
      </w:pPr>
    </w:p>
    <w:p w:rsidR="000050A4" w:rsidRDefault="003012D7" w:rsidP="000050A4">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0050A4">
        <w:rPr>
          <w:rFonts w:ascii="Arial" w:hAnsi="Arial" w:cs="Arial"/>
          <w:b/>
          <w:lang w:val="es-ES_tradnl"/>
        </w:rPr>
        <w:t>:</w:t>
      </w:r>
    </w:p>
    <w:p w:rsidR="000050A4" w:rsidRDefault="000050A4" w:rsidP="000050A4">
      <w:pPr>
        <w:pStyle w:val="Body1"/>
        <w:widowControl w:val="0"/>
        <w:tabs>
          <w:tab w:val="left" w:pos="3828"/>
        </w:tabs>
        <w:suppressAutoHyphens/>
        <w:spacing w:after="120" w:line="360" w:lineRule="auto"/>
        <w:jc w:val="center"/>
        <w:rPr>
          <w:rFonts w:ascii="Arial" w:hAnsi="Arial" w:cs="Arial"/>
          <w:b/>
          <w:sz w:val="22"/>
          <w:lang w:val="es-ES_tradnl"/>
        </w:rPr>
      </w:pPr>
    </w:p>
    <w:p w:rsidR="003012D7" w:rsidRDefault="003012D7" w:rsidP="003012D7">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3012D7" w:rsidRDefault="003012D7" w:rsidP="003012D7">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050A4" w:rsidTr="00493A57">
        <w:trPr>
          <w:cantSplit/>
          <w:trHeight w:val="340"/>
          <w:jc w:val="center"/>
        </w:trPr>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050A4" w:rsidRDefault="000050A4" w:rsidP="00493A57">
            <w:pPr>
              <w:outlineLvl w:val="0"/>
              <w:rPr>
                <w:rFonts w:ascii="Arial" w:eastAsia="Arial Unicode MS" w:hAnsi="Arial" w:cs="Arial"/>
                <w:b/>
                <w:color w:val="000000"/>
                <w:lang w:val="es-MX"/>
              </w:rPr>
            </w:pP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0050A4" w:rsidTr="00493A57">
        <w:trPr>
          <w:cantSplit/>
          <w:trHeight w:val="340"/>
          <w:jc w:val="center"/>
        </w:trPr>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050A4" w:rsidRDefault="000050A4" w:rsidP="00493A57">
            <w:pPr>
              <w:jc w:val="center"/>
              <w:outlineLvl w:val="0"/>
              <w:rPr>
                <w:rFonts w:ascii="Arial" w:eastAsia="Arial Unicode MS" w:hAnsi="Arial" w:cs="Arial"/>
                <w:b/>
                <w:color w:val="000000"/>
                <w:lang w:val="es-MX"/>
              </w:rPr>
            </w:pP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0050A4" w:rsidTr="00493A57">
        <w:trPr>
          <w:cantSplit/>
          <w:trHeight w:val="340"/>
          <w:jc w:val="center"/>
        </w:trPr>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050A4" w:rsidRDefault="000050A4" w:rsidP="00493A57">
            <w:pPr>
              <w:jc w:val="center"/>
              <w:outlineLvl w:val="0"/>
              <w:rPr>
                <w:rFonts w:ascii="Arial" w:eastAsia="Arial Unicode MS" w:hAnsi="Arial" w:cs="Arial"/>
                <w:b/>
                <w:color w:val="000000"/>
                <w:lang w:val="es-MX"/>
              </w:rPr>
            </w:pP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050A4" w:rsidRDefault="000050A4" w:rsidP="00493A57">
            <w:pPr>
              <w:jc w:val="center"/>
              <w:outlineLvl w:val="0"/>
              <w:rPr>
                <w:rFonts w:ascii="Arial" w:eastAsia="Arial Unicode MS" w:hAnsi="Arial" w:cs="Arial"/>
                <w:b/>
                <w:color w:val="000000"/>
                <w:lang w:val="es-MX"/>
              </w:rPr>
            </w:pP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0050A4" w:rsidTr="00493A57">
        <w:trPr>
          <w:cantSplit/>
          <w:trHeight w:val="340"/>
          <w:jc w:val="center"/>
        </w:trPr>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050A4" w:rsidRDefault="000050A4" w:rsidP="00493A57">
            <w:pPr>
              <w:outlineLvl w:val="0"/>
              <w:rPr>
                <w:rFonts w:ascii="Arial" w:eastAsia="Arial Unicode MS" w:hAnsi="Arial" w:cs="Arial"/>
                <w:b/>
                <w:color w:val="000000"/>
                <w:lang w:val="es-MX"/>
              </w:rPr>
            </w:pP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050A4" w:rsidRDefault="000050A4" w:rsidP="00493A57">
            <w:pPr>
              <w:jc w:val="center"/>
              <w:outlineLvl w:val="0"/>
              <w:rPr>
                <w:rFonts w:ascii="Arial" w:eastAsia="Arial Unicode MS" w:hAnsi="Arial" w:cs="Arial"/>
                <w:b/>
                <w:color w:val="000000"/>
                <w:lang w:val="it-IT"/>
              </w:rPr>
            </w:pPr>
          </w:p>
          <w:p w:rsidR="000050A4" w:rsidRDefault="000050A4" w:rsidP="00493A57">
            <w:pPr>
              <w:outlineLvl w:val="0"/>
              <w:rPr>
                <w:rFonts w:ascii="Arial" w:eastAsia="Arial Unicode MS" w:hAnsi="Arial" w:cs="Arial"/>
                <w:b/>
                <w:color w:val="000000"/>
                <w:lang w:val="it-IT"/>
              </w:rPr>
            </w:pPr>
          </w:p>
          <w:p w:rsidR="000050A4" w:rsidRDefault="000050A4" w:rsidP="00493A57">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0050A4" w:rsidTr="00493A57">
        <w:trPr>
          <w:cantSplit/>
          <w:trHeight w:val="340"/>
          <w:jc w:val="center"/>
        </w:trPr>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050A4" w:rsidRDefault="000050A4" w:rsidP="00493A57">
            <w:pPr>
              <w:jc w:val="center"/>
              <w:outlineLvl w:val="0"/>
              <w:rPr>
                <w:rFonts w:ascii="Arial" w:eastAsia="Arial Unicode MS" w:hAnsi="Arial" w:cs="Arial"/>
                <w:b/>
                <w:color w:val="000000"/>
                <w:lang w:val="es-MX"/>
              </w:rPr>
            </w:pP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0050A4" w:rsidRDefault="000050A4" w:rsidP="00493A5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050A4" w:rsidRDefault="000050A4" w:rsidP="00493A57">
            <w:pP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b/>
                <w:color w:val="000000"/>
                <w:lang w:val="es-MX"/>
              </w:rPr>
            </w:pPr>
          </w:p>
          <w:p w:rsidR="000050A4" w:rsidRDefault="000050A4" w:rsidP="00493A57">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E82188" w:rsidRDefault="00E82188" w:rsidP="003A1C58">
      <w:pPr>
        <w:spacing w:before="240" w:line="360" w:lineRule="auto"/>
        <w:ind w:firstLine="709"/>
        <w:jc w:val="both"/>
        <w:rPr>
          <w:rFonts w:ascii="Arial" w:hAnsi="Arial" w:cs="Arial"/>
          <w:sz w:val="24"/>
          <w:szCs w:val="24"/>
        </w:rPr>
      </w:pPr>
      <w:bookmarkStart w:id="0" w:name="_GoBack"/>
      <w:bookmarkEnd w:id="0"/>
    </w:p>
    <w:sectPr w:rsidR="00E82188" w:rsidSect="003A1C58">
      <w:footerReference w:type="default" r:id="rId17"/>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2D" w:rsidRDefault="0068552D" w:rsidP="005003EB">
      <w:pPr>
        <w:spacing w:after="0" w:line="240" w:lineRule="auto"/>
      </w:pPr>
      <w:r>
        <w:separator/>
      </w:r>
    </w:p>
  </w:endnote>
  <w:endnote w:type="continuationSeparator" w:id="0">
    <w:p w:rsidR="0068552D" w:rsidRDefault="0068552D"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57" w:rsidRPr="0088072B" w:rsidRDefault="00493A57">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3A1C58">
      <w:rPr>
        <w:rFonts w:ascii="Century Gothic" w:hAnsi="Century Gothic"/>
        <w:noProof/>
        <w:sz w:val="20"/>
        <w:szCs w:val="20"/>
      </w:rPr>
      <w:t>39</w:t>
    </w:r>
    <w:r w:rsidRPr="0088072B">
      <w:rPr>
        <w:rFonts w:ascii="Century Gothic" w:hAnsi="Century Gothic"/>
        <w:sz w:val="20"/>
        <w:szCs w:val="20"/>
      </w:rPr>
      <w:fldChar w:fldCharType="end"/>
    </w:r>
  </w:p>
  <w:p w:rsidR="00493A57" w:rsidRPr="00513CE9" w:rsidRDefault="00493A57"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493A57" w:rsidRPr="00513CE9" w:rsidRDefault="00493A57" w:rsidP="007E057C">
    <w:pPr>
      <w:pStyle w:val="Piedepgina"/>
      <w:jc w:val="center"/>
      <w:rPr>
        <w:rFonts w:ascii="Century Gothic" w:hAnsi="Century Gothic"/>
        <w:sz w:val="14"/>
        <w:szCs w:val="14"/>
      </w:rPr>
    </w:pPr>
    <w:r>
      <w:rPr>
        <w:rFonts w:ascii="Arial" w:hAnsi="Arial" w:cs="Arial"/>
        <w:sz w:val="14"/>
        <w:szCs w:val="14"/>
      </w:rPr>
      <w:t>Dictamen del Expediente</w:t>
    </w:r>
    <w:r w:rsidR="00274D57">
      <w:rPr>
        <w:rFonts w:ascii="Arial" w:hAnsi="Arial" w:cs="Arial"/>
        <w:sz w:val="14"/>
        <w:szCs w:val="14"/>
      </w:rPr>
      <w:t xml:space="preserve"> 10429/LXXIV Cuenta Pública 2015</w:t>
    </w:r>
    <w:r w:rsidRPr="00513CE9">
      <w:rPr>
        <w:rFonts w:ascii="Arial" w:hAnsi="Arial" w:cs="Arial"/>
        <w:sz w:val="14"/>
        <w:szCs w:val="14"/>
      </w:rPr>
      <w:t xml:space="preserve"> de</w:t>
    </w:r>
    <w:r>
      <w:rPr>
        <w:rFonts w:ascii="Arial" w:hAnsi="Arial" w:cs="Arial"/>
        <w:sz w:val="14"/>
        <w:szCs w:val="14"/>
      </w:rPr>
      <w:t>l Fideicomiso Fondo para la Vivienda para los Trabajadores de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2D" w:rsidRDefault="0068552D" w:rsidP="005003EB">
      <w:pPr>
        <w:spacing w:after="0" w:line="240" w:lineRule="auto"/>
      </w:pPr>
      <w:r>
        <w:separator/>
      </w:r>
    </w:p>
  </w:footnote>
  <w:footnote w:type="continuationSeparator" w:id="0">
    <w:p w:rsidR="0068552D" w:rsidRDefault="0068552D"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133752B"/>
    <w:multiLevelType w:val="hybridMultilevel"/>
    <w:tmpl w:val="FA90F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81E8E"/>
    <w:multiLevelType w:val="hybridMultilevel"/>
    <w:tmpl w:val="F5AC5D08"/>
    <w:lvl w:ilvl="0" w:tplc="632CE5A8">
      <w:start w:val="1"/>
      <w:numFmt w:val="upperRoman"/>
      <w:lvlText w:val="%1."/>
      <w:lvlJc w:val="left"/>
      <w:pPr>
        <w:ind w:left="72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D3A90"/>
    <w:multiLevelType w:val="hybridMultilevel"/>
    <w:tmpl w:val="9654B5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1"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4"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5EA358D"/>
    <w:multiLevelType w:val="hybridMultilevel"/>
    <w:tmpl w:val="F6F23E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4"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5"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2"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num>
  <w:num w:numId="2">
    <w:abstractNumId w:val="22"/>
  </w:num>
  <w:num w:numId="3">
    <w:abstractNumId w:val="5"/>
  </w:num>
  <w:num w:numId="4">
    <w:abstractNumId w:val="3"/>
  </w:num>
  <w:num w:numId="5">
    <w:abstractNumId w:val="7"/>
  </w:num>
  <w:num w:numId="6">
    <w:abstractNumId w:val="17"/>
  </w:num>
  <w:num w:numId="7">
    <w:abstractNumId w:val="21"/>
  </w:num>
  <w:num w:numId="8">
    <w:abstractNumId w:val="16"/>
  </w:num>
  <w:num w:numId="9">
    <w:abstractNumId w:val="24"/>
  </w:num>
  <w:num w:numId="10">
    <w:abstractNumId w:val="28"/>
  </w:num>
  <w:num w:numId="11">
    <w:abstractNumId w:val="3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2"/>
  </w:num>
  <w:num w:numId="15">
    <w:abstractNumId w:val="0"/>
  </w:num>
  <w:num w:numId="16">
    <w:abstractNumId w:val="11"/>
  </w:num>
  <w:num w:numId="17">
    <w:abstractNumId w:val="29"/>
  </w:num>
  <w:num w:numId="18">
    <w:abstractNumId w:val="38"/>
  </w:num>
  <w:num w:numId="19">
    <w:abstractNumId w:val="9"/>
  </w:num>
  <w:num w:numId="20">
    <w:abstractNumId w:val="25"/>
  </w:num>
  <w:num w:numId="21">
    <w:abstractNumId w:val="13"/>
  </w:num>
  <w:num w:numId="22">
    <w:abstractNumId w:val="26"/>
  </w:num>
  <w:num w:numId="23">
    <w:abstractNumId w:val="14"/>
  </w:num>
  <w:num w:numId="24">
    <w:abstractNumId w:val="33"/>
  </w:num>
  <w:num w:numId="25">
    <w:abstractNumId w:val="39"/>
  </w:num>
  <w:num w:numId="26">
    <w:abstractNumId w:val="4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0"/>
  </w:num>
  <w:num w:numId="35">
    <w:abstractNumId w:val="10"/>
  </w:num>
  <w:num w:numId="36">
    <w:abstractNumId w:val="19"/>
  </w:num>
  <w:num w:numId="37">
    <w:abstractNumId w:val="8"/>
  </w:num>
  <w:num w:numId="38">
    <w:abstractNumId w:val="37"/>
  </w:num>
  <w:num w:numId="39">
    <w:abstractNumId w:val="2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36"/>
  </w:num>
  <w:num w:numId="44">
    <w:abstractNumId w:val="6"/>
  </w:num>
  <w:num w:numId="45">
    <w:abstractNumId w:val="31"/>
  </w:num>
  <w:num w:numId="46">
    <w:abstractNumId w:val="18"/>
  </w:num>
  <w:num w:numId="4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50A4"/>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A746D"/>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096F"/>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33B"/>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4D57"/>
    <w:rsid w:val="00274F35"/>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12D7"/>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93E"/>
    <w:rsid w:val="00382EDA"/>
    <w:rsid w:val="00386473"/>
    <w:rsid w:val="00387BDD"/>
    <w:rsid w:val="0039209E"/>
    <w:rsid w:val="00393507"/>
    <w:rsid w:val="003939C8"/>
    <w:rsid w:val="00393F80"/>
    <w:rsid w:val="00394448"/>
    <w:rsid w:val="00397279"/>
    <w:rsid w:val="003977EA"/>
    <w:rsid w:val="003A0649"/>
    <w:rsid w:val="003A1C58"/>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983"/>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4A76"/>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3A57"/>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0EB1"/>
    <w:rsid w:val="0058315F"/>
    <w:rsid w:val="00583762"/>
    <w:rsid w:val="0058672B"/>
    <w:rsid w:val="00586733"/>
    <w:rsid w:val="0058707D"/>
    <w:rsid w:val="00587295"/>
    <w:rsid w:val="00587498"/>
    <w:rsid w:val="005902D3"/>
    <w:rsid w:val="005932DE"/>
    <w:rsid w:val="00593D9F"/>
    <w:rsid w:val="00594935"/>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8552D"/>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6F09"/>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05AE"/>
    <w:rsid w:val="006F1794"/>
    <w:rsid w:val="006F2D61"/>
    <w:rsid w:val="006F2F9B"/>
    <w:rsid w:val="006F37EF"/>
    <w:rsid w:val="006F3859"/>
    <w:rsid w:val="006F713E"/>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69BF"/>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2FC6"/>
    <w:rsid w:val="00816CB8"/>
    <w:rsid w:val="00816E5B"/>
    <w:rsid w:val="00817A35"/>
    <w:rsid w:val="00817DC5"/>
    <w:rsid w:val="0082476F"/>
    <w:rsid w:val="00824C9E"/>
    <w:rsid w:val="00825485"/>
    <w:rsid w:val="0082584B"/>
    <w:rsid w:val="00831D49"/>
    <w:rsid w:val="00832615"/>
    <w:rsid w:val="008327D4"/>
    <w:rsid w:val="00833808"/>
    <w:rsid w:val="00833E1F"/>
    <w:rsid w:val="00834D18"/>
    <w:rsid w:val="008356E2"/>
    <w:rsid w:val="0083672B"/>
    <w:rsid w:val="0083712E"/>
    <w:rsid w:val="0084251D"/>
    <w:rsid w:val="00843912"/>
    <w:rsid w:val="00845748"/>
    <w:rsid w:val="00845F45"/>
    <w:rsid w:val="00846BE3"/>
    <w:rsid w:val="00846EB9"/>
    <w:rsid w:val="00847C4B"/>
    <w:rsid w:val="0085040A"/>
    <w:rsid w:val="00853F9E"/>
    <w:rsid w:val="0085492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15D"/>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377B6"/>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64C2"/>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2E2"/>
    <w:rsid w:val="00B001B4"/>
    <w:rsid w:val="00B01893"/>
    <w:rsid w:val="00B02398"/>
    <w:rsid w:val="00B04FBD"/>
    <w:rsid w:val="00B07B8E"/>
    <w:rsid w:val="00B07CD9"/>
    <w:rsid w:val="00B112E6"/>
    <w:rsid w:val="00B126B2"/>
    <w:rsid w:val="00B13026"/>
    <w:rsid w:val="00B208A1"/>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11F"/>
    <w:rsid w:val="00B85695"/>
    <w:rsid w:val="00B9047B"/>
    <w:rsid w:val="00B92054"/>
    <w:rsid w:val="00B93132"/>
    <w:rsid w:val="00BA0212"/>
    <w:rsid w:val="00BA1FE0"/>
    <w:rsid w:val="00BA26E0"/>
    <w:rsid w:val="00BA2972"/>
    <w:rsid w:val="00BA5254"/>
    <w:rsid w:val="00BA729D"/>
    <w:rsid w:val="00BB0A4C"/>
    <w:rsid w:val="00BB1661"/>
    <w:rsid w:val="00BB6553"/>
    <w:rsid w:val="00BB7207"/>
    <w:rsid w:val="00BB79C2"/>
    <w:rsid w:val="00BC02BC"/>
    <w:rsid w:val="00BC1C71"/>
    <w:rsid w:val="00BC3DD8"/>
    <w:rsid w:val="00BC3EB5"/>
    <w:rsid w:val="00BC3ED5"/>
    <w:rsid w:val="00BC4A03"/>
    <w:rsid w:val="00BC4D52"/>
    <w:rsid w:val="00BD3181"/>
    <w:rsid w:val="00BD5005"/>
    <w:rsid w:val="00BD6723"/>
    <w:rsid w:val="00BD6E87"/>
    <w:rsid w:val="00BD7816"/>
    <w:rsid w:val="00BE0FAF"/>
    <w:rsid w:val="00BE1187"/>
    <w:rsid w:val="00BE1BEA"/>
    <w:rsid w:val="00BE2CB6"/>
    <w:rsid w:val="00BE40CA"/>
    <w:rsid w:val="00BE604D"/>
    <w:rsid w:val="00BF44BF"/>
    <w:rsid w:val="00BF490A"/>
    <w:rsid w:val="00BF54E1"/>
    <w:rsid w:val="00BF69BE"/>
    <w:rsid w:val="00C033DF"/>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0A38"/>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4670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318"/>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C7E14"/>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82F7E7-29AC-4F0B-AD6A-AF938155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paragraph" w:styleId="Subttulo">
    <w:name w:val="Subtitle"/>
    <w:basedOn w:val="Normal"/>
    <w:next w:val="Normal"/>
    <w:link w:val="SubttuloCar"/>
    <w:qFormat/>
    <w:locked/>
    <w:rsid w:val="001E096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1E096F"/>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20214052">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51EA-F920-415F-A8FA-614CA110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6442</Words>
  <Characters>35434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abi lozano hernandez</dc:creator>
  <cp:lastModifiedBy>operador_pc</cp:lastModifiedBy>
  <cp:revision>2</cp:revision>
  <cp:lastPrinted>2017-03-07T00:20:00Z</cp:lastPrinted>
  <dcterms:created xsi:type="dcterms:W3CDTF">2017-03-07T00:20:00Z</dcterms:created>
  <dcterms:modified xsi:type="dcterms:W3CDTF">2017-03-07T00:20:00Z</dcterms:modified>
</cp:coreProperties>
</file>