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7B" w:rsidRPr="00DB235A" w:rsidRDefault="00A8117B" w:rsidP="00A8117B">
      <w:pPr>
        <w:rPr>
          <w:rFonts w:ascii="Arial" w:hAnsi="Arial" w:cs="Arial"/>
          <w:b/>
          <w:bCs/>
        </w:rPr>
      </w:pPr>
      <w:r w:rsidRPr="00DB235A">
        <w:rPr>
          <w:rFonts w:ascii="Arial" w:hAnsi="Arial" w:cs="Arial"/>
          <w:b/>
          <w:bCs/>
        </w:rPr>
        <w:t>HONORABLE ASAMBLEA:</w:t>
      </w:r>
    </w:p>
    <w:p w:rsidR="00A8117B" w:rsidRDefault="00A8117B" w:rsidP="00A8117B">
      <w:pPr>
        <w:ind w:firstLine="709"/>
        <w:jc w:val="both"/>
        <w:rPr>
          <w:rFonts w:ascii="Arial" w:hAnsi="Arial" w:cs="Arial"/>
          <w:sz w:val="24"/>
        </w:rPr>
      </w:pPr>
    </w:p>
    <w:p w:rsidR="00A8117B" w:rsidRDefault="00A8117B" w:rsidP="00A8117B">
      <w:pPr>
        <w:autoSpaceDE w:val="0"/>
        <w:autoSpaceDN w:val="0"/>
        <w:adjustRightInd w:val="0"/>
        <w:spacing w:after="0"/>
        <w:ind w:firstLine="709"/>
        <w:jc w:val="both"/>
        <w:rPr>
          <w:rFonts w:ascii="Arial" w:hAnsi="Arial" w:cs="Arial"/>
          <w:b/>
          <w:bCs/>
          <w:sz w:val="24"/>
          <w:szCs w:val="24"/>
        </w:rPr>
      </w:pPr>
      <w:r w:rsidRPr="00BC04C0">
        <w:rPr>
          <w:rFonts w:ascii="Arial" w:hAnsi="Arial" w:cs="Arial"/>
          <w:sz w:val="24"/>
          <w:szCs w:val="24"/>
        </w:rPr>
        <w:t xml:space="preserve">A la </w:t>
      </w:r>
      <w:r w:rsidRPr="00BC04C0">
        <w:rPr>
          <w:rFonts w:ascii="Arial" w:hAnsi="Arial" w:cs="Arial"/>
          <w:b/>
          <w:bCs/>
          <w:sz w:val="24"/>
          <w:szCs w:val="24"/>
        </w:rPr>
        <w:t>Comisión de Hacienda del Estado</w:t>
      </w:r>
      <w:r w:rsidRPr="00BC04C0">
        <w:rPr>
          <w:rFonts w:ascii="Arial" w:hAnsi="Arial" w:cs="Arial"/>
          <w:sz w:val="24"/>
          <w:szCs w:val="24"/>
        </w:rPr>
        <w:t xml:space="preserve"> le fue turnado para su</w:t>
      </w:r>
      <w:r>
        <w:rPr>
          <w:rFonts w:ascii="Arial" w:hAnsi="Arial" w:cs="Arial"/>
          <w:sz w:val="24"/>
          <w:szCs w:val="24"/>
        </w:rPr>
        <w:t xml:space="preserve"> estudio y dictamen, en fecha 14 de noviembre del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Pr="00BC04C0">
        <w:rPr>
          <w:rFonts w:ascii="Arial" w:hAnsi="Arial" w:cs="Arial"/>
          <w:sz w:val="24"/>
          <w:szCs w:val="24"/>
        </w:rPr>
        <w:t xml:space="preserve"> </w:t>
      </w:r>
      <w:r>
        <w:rPr>
          <w:rFonts w:ascii="Arial" w:hAnsi="Arial" w:cs="Arial"/>
          <w:sz w:val="24"/>
          <w:szCs w:val="24"/>
          <w:lang w:eastAsia="es-ES"/>
        </w:rPr>
        <w:t xml:space="preserve">del </w:t>
      </w:r>
      <w:r>
        <w:rPr>
          <w:rFonts w:ascii="Arial" w:hAnsi="Arial" w:cs="Arial"/>
          <w:b/>
          <w:sz w:val="24"/>
          <w:szCs w:val="24"/>
          <w:lang w:eastAsia="es-ES"/>
        </w:rPr>
        <w:t>FIDEICOMISO FONDO PARA LA VIVIENDA DE LOS TRABAJADORES DEL ESTADO</w:t>
      </w:r>
      <w:r>
        <w:rPr>
          <w:rFonts w:ascii="Arial" w:hAnsi="Arial" w:cs="Arial"/>
          <w:sz w:val="24"/>
          <w:szCs w:val="24"/>
          <w:lang w:eastAsia="es-ES"/>
        </w:rPr>
        <w:t xml:space="preserve"> </w:t>
      </w:r>
      <w:r w:rsidRPr="00BC04C0">
        <w:rPr>
          <w:rFonts w:ascii="Arial" w:hAnsi="Arial" w:cs="Arial"/>
          <w:sz w:val="24"/>
          <w:szCs w:val="24"/>
        </w:rPr>
        <w:t xml:space="preserve">correspondiente a su Ejercicio Fiscal </w:t>
      </w:r>
      <w:r>
        <w:rPr>
          <w:rFonts w:ascii="Arial" w:hAnsi="Arial" w:cs="Arial"/>
          <w:b/>
          <w:bCs/>
          <w:sz w:val="24"/>
          <w:szCs w:val="24"/>
        </w:rPr>
        <w:t>2015</w:t>
      </w:r>
      <w:r w:rsidRPr="00BC04C0">
        <w:rPr>
          <w:rFonts w:ascii="Arial" w:hAnsi="Arial" w:cs="Arial"/>
          <w:sz w:val="24"/>
          <w:szCs w:val="24"/>
        </w:rPr>
        <w:t xml:space="preserve">, bajo el expediente </w:t>
      </w:r>
      <w:r>
        <w:rPr>
          <w:rFonts w:ascii="Arial" w:hAnsi="Arial" w:cs="Arial"/>
          <w:b/>
          <w:sz w:val="24"/>
          <w:szCs w:val="24"/>
        </w:rPr>
        <w:t>10430</w:t>
      </w:r>
      <w:r>
        <w:rPr>
          <w:rFonts w:ascii="Arial" w:hAnsi="Arial" w:cs="Arial"/>
          <w:b/>
          <w:bCs/>
          <w:sz w:val="24"/>
          <w:szCs w:val="24"/>
        </w:rPr>
        <w:t>/LXXIV</w:t>
      </w:r>
      <w:r w:rsidRPr="00BC04C0">
        <w:rPr>
          <w:rFonts w:ascii="Arial" w:hAnsi="Arial" w:cs="Arial"/>
          <w:b/>
          <w:bCs/>
          <w:sz w:val="24"/>
          <w:szCs w:val="24"/>
        </w:rPr>
        <w:t>.</w:t>
      </w:r>
    </w:p>
    <w:p w:rsidR="00A8117B" w:rsidRPr="00BC04C0" w:rsidRDefault="00A8117B" w:rsidP="00A8117B">
      <w:pPr>
        <w:autoSpaceDE w:val="0"/>
        <w:autoSpaceDN w:val="0"/>
        <w:adjustRightInd w:val="0"/>
        <w:spacing w:after="0"/>
        <w:jc w:val="both"/>
        <w:rPr>
          <w:rFonts w:ascii="Arial" w:hAnsi="Arial" w:cs="Arial"/>
          <w:b/>
          <w:bCs/>
          <w:sz w:val="24"/>
          <w:szCs w:val="24"/>
        </w:rPr>
      </w:pPr>
    </w:p>
    <w:p w:rsidR="00A8117B" w:rsidRPr="000643C1" w:rsidRDefault="00A8117B" w:rsidP="00A8117B">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A8117B" w:rsidRPr="0082236B" w:rsidRDefault="00A8117B" w:rsidP="00652CB2">
      <w:pPr>
        <w:jc w:val="both"/>
        <w:rPr>
          <w:rFonts w:ascii="Arial" w:hAnsi="Arial" w:cs="Arial"/>
          <w:b/>
          <w:bCs/>
          <w:sz w:val="24"/>
          <w:szCs w:val="24"/>
        </w:rPr>
      </w:pPr>
      <w:r w:rsidRPr="00BC04C0">
        <w:rPr>
          <w:rFonts w:ascii="Arial" w:hAnsi="Arial" w:cs="Arial"/>
          <w:b/>
          <w:bCs/>
          <w:sz w:val="24"/>
          <w:szCs w:val="24"/>
        </w:rPr>
        <w:t>ANTECEDENTES:</w:t>
      </w:r>
    </w:p>
    <w:p w:rsidR="00A8117B" w:rsidRPr="0082236B" w:rsidRDefault="00A8117B" w:rsidP="00A8117B">
      <w:pPr>
        <w:autoSpaceDE w:val="0"/>
        <w:autoSpaceDN w:val="0"/>
        <w:adjustRightInd w:val="0"/>
        <w:spacing w:after="0"/>
        <w:jc w:val="both"/>
        <w:rPr>
          <w:rFonts w:ascii="Arial" w:hAnsi="Arial" w:cs="Arial"/>
          <w:b/>
          <w:bCs/>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y sus Organismos Descentralizados, así como las Instituciones Públicas de Educación que reciban recursos públicos.</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En el ejercicio de las referidas funciones, para la revisión de la C</w:t>
      </w:r>
      <w:r w:rsidR="00652CB2">
        <w:rPr>
          <w:rFonts w:ascii="Arial" w:hAnsi="Arial" w:cs="Arial"/>
          <w:sz w:val="24"/>
          <w:szCs w:val="24"/>
          <w:lang w:eastAsia="es-ES"/>
        </w:rPr>
        <w:t>uenta Pública del ejercicio 2015</w:t>
      </w:r>
      <w:r>
        <w:rPr>
          <w:rFonts w:ascii="Arial" w:hAnsi="Arial" w:cs="Arial"/>
          <w:sz w:val="24"/>
          <w:szCs w:val="24"/>
          <w:lang w:eastAsia="es-ES"/>
        </w:rPr>
        <w:t xml:space="preserve"> del </w:t>
      </w:r>
      <w:r w:rsidRPr="00652CB2">
        <w:rPr>
          <w:rFonts w:ascii="Arial" w:hAnsi="Arial" w:cs="Arial"/>
          <w:b/>
          <w:sz w:val="24"/>
          <w:szCs w:val="24"/>
          <w:lang w:eastAsia="es-ES"/>
        </w:rPr>
        <w:t>FIDEICOMISO FONDO PARA LA VIVIENDA DE LOS TRABAJADORES DEL ESTADO</w:t>
      </w:r>
      <w:r w:rsidR="00652CB2">
        <w:rPr>
          <w:rFonts w:ascii="Arial" w:hAnsi="Arial" w:cs="Arial"/>
          <w:sz w:val="24"/>
          <w:szCs w:val="24"/>
          <w:lang w:eastAsia="es-ES"/>
        </w:rPr>
        <w:t xml:space="preserve"> recibida el 22 de abril de 2016</w:t>
      </w:r>
      <w:r>
        <w:rPr>
          <w:rFonts w:ascii="Arial" w:hAnsi="Arial" w:cs="Arial"/>
          <w:sz w:val="24"/>
          <w:szCs w:val="24"/>
          <w:lang w:eastAsia="es-ES"/>
        </w:rPr>
        <w:t xml:space="preserve">, la </w:t>
      </w:r>
      <w:r>
        <w:rPr>
          <w:rFonts w:ascii="Arial" w:hAnsi="Arial" w:cs="Arial"/>
          <w:sz w:val="24"/>
          <w:szCs w:val="24"/>
          <w:lang w:eastAsia="es-ES"/>
        </w:rPr>
        <w:lastRenderedPageBreak/>
        <w:t>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En tal sentido, y en cumplimiento de lo preceptuado en los artículos 137 segundo párrafo de la Constitución Política del Estado Libre y Soberano de Nuevo León, 20 fracción XXXI, 48 primer párrafo y 82 fracción XV de la Ley de Fiscalización Superior del Estado de Nuevo León, la Auditoría Superior del Estado tiene a bien rendir el Informe del Resultado de la revisión practicada a la C</w:t>
      </w:r>
      <w:r w:rsidR="00652CB2">
        <w:rPr>
          <w:rFonts w:ascii="Arial" w:hAnsi="Arial" w:cs="Arial"/>
          <w:sz w:val="24"/>
          <w:szCs w:val="24"/>
          <w:lang w:eastAsia="es-ES"/>
        </w:rPr>
        <w:t>uenta Pública del ejercicio 2015</w:t>
      </w:r>
      <w:r>
        <w:rPr>
          <w:rFonts w:ascii="Arial" w:hAnsi="Arial" w:cs="Arial"/>
          <w:sz w:val="24"/>
          <w:szCs w:val="24"/>
          <w:lang w:eastAsia="es-ES"/>
        </w:rPr>
        <w:t xml:space="preserve"> del referido Ente Público, al H. Congreso del Estado.</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El Dictamen que se presenta al inicio de este Informe del Resultado, refleja la evaluación practicada al manejo y aplicación de los recursos públicos y al cumplimiento de la Ley General de Contabilidad Gubernamental así como las normas contables emitidas por el Consejo Nacional de Armonización Contable (</w:t>
      </w:r>
      <w:proofErr w:type="spellStart"/>
      <w:r>
        <w:rPr>
          <w:rFonts w:ascii="Arial" w:hAnsi="Arial" w:cs="Arial"/>
          <w:sz w:val="24"/>
          <w:szCs w:val="24"/>
          <w:lang w:eastAsia="es-ES"/>
        </w:rPr>
        <w:t>Conac</w:t>
      </w:r>
      <w:proofErr w:type="spellEnd"/>
      <w:r>
        <w:rPr>
          <w:rFonts w:ascii="Arial" w:hAnsi="Arial" w:cs="Arial"/>
          <w:sz w:val="24"/>
          <w:szCs w:val="24"/>
          <w:lang w:eastAsia="es-ES"/>
        </w:rPr>
        <w:t>).</w:t>
      </w: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 </w:t>
      </w:r>
    </w:p>
    <w:p w:rsidR="00A8117B" w:rsidRDefault="00652CB2"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En el apartado V de ese</w:t>
      </w:r>
      <w:r w:rsidR="00A8117B">
        <w:rPr>
          <w:rFonts w:ascii="Arial" w:hAnsi="Arial" w:cs="Arial"/>
          <w:sz w:val="24"/>
          <w:szCs w:val="24"/>
          <w:lang w:eastAsia="es-ES"/>
        </w:rPr>
        <w:t xml:space="preserve"> Informe, se incluyen los objetivos y alcances de la revisión practicada tanto a la gestión como en su caso al desempeño, incluyendo los criterios de selección y descripción de los procedimientos de auditoría aplicados.</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652CB2"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En el apartado VI</w:t>
      </w:r>
      <w:r w:rsidR="00A8117B">
        <w:rPr>
          <w:rFonts w:ascii="Arial" w:hAnsi="Arial" w:cs="Arial"/>
          <w:sz w:val="24"/>
          <w:szCs w:val="24"/>
          <w:lang w:eastAsia="es-ES"/>
        </w:rPr>
        <w:t xml:space="preserve"> se presenta una descripción de los elementos revisados y resultados obtenidos en la revisión, respecto de:</w:t>
      </w: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jc w:val="both"/>
        <w:rPr>
          <w:rFonts w:ascii="Arial" w:hAnsi="Arial" w:cs="Arial"/>
          <w:sz w:val="24"/>
          <w:szCs w:val="24"/>
          <w:lang w:eastAsia="es-ES"/>
        </w:rPr>
      </w:pPr>
    </w:p>
    <w:p w:rsidR="00A8117B" w:rsidRDefault="00A8117B" w:rsidP="00A8117B">
      <w:pPr>
        <w:pStyle w:val="Prrafodelista"/>
        <w:numPr>
          <w:ilvl w:val="0"/>
          <w:numId w:val="5"/>
        </w:numPr>
        <w:autoSpaceDE w:val="0"/>
        <w:autoSpaceDN w:val="0"/>
        <w:adjustRightInd w:val="0"/>
        <w:spacing w:after="0"/>
        <w:jc w:val="both"/>
        <w:rPr>
          <w:rFonts w:ascii="Arial" w:hAnsi="Arial" w:cs="Arial"/>
          <w:sz w:val="24"/>
          <w:szCs w:val="24"/>
          <w:lang w:eastAsia="es-ES"/>
        </w:rPr>
      </w:pPr>
      <w:r w:rsidRPr="0082236B">
        <w:rPr>
          <w:rFonts w:ascii="Arial" w:hAnsi="Arial" w:cs="Arial"/>
          <w:sz w:val="24"/>
          <w:szCs w:val="24"/>
          <w:lang w:eastAsia="es-ES"/>
        </w:rPr>
        <w:lastRenderedPageBreak/>
        <w:t>La evaluación de la gestión financiera y del gasto público;</w:t>
      </w:r>
    </w:p>
    <w:p w:rsidR="00A8117B" w:rsidRPr="00055B93" w:rsidRDefault="00A8117B" w:rsidP="00A8117B">
      <w:pPr>
        <w:pStyle w:val="Prrafodelista"/>
        <w:numPr>
          <w:ilvl w:val="0"/>
          <w:numId w:val="5"/>
        </w:numPr>
        <w:autoSpaceDE w:val="0"/>
        <w:autoSpaceDN w:val="0"/>
        <w:adjustRightInd w:val="0"/>
        <w:spacing w:after="0"/>
        <w:jc w:val="both"/>
        <w:rPr>
          <w:rFonts w:ascii="Arial" w:hAnsi="Arial" w:cs="Arial"/>
          <w:sz w:val="24"/>
          <w:szCs w:val="24"/>
          <w:lang w:val="es-MX" w:eastAsia="es-ES"/>
        </w:rPr>
      </w:pPr>
      <w:r w:rsidRPr="00055B93">
        <w:rPr>
          <w:rFonts w:ascii="Arial" w:hAnsi="Arial" w:cs="Arial"/>
          <w:sz w:val="24"/>
          <w:szCs w:val="24"/>
          <w:lang w:eastAsia="es-ES"/>
        </w:rPr>
        <w:t>Cumplimiento de la Ley General de Contabilidad Gubernamental y de las disposiciones contenidas en los ordenamientos y normativa correspondientes;</w:t>
      </w:r>
    </w:p>
    <w:p w:rsidR="00A8117B" w:rsidRPr="00055B93" w:rsidRDefault="00A8117B" w:rsidP="00A8117B">
      <w:pPr>
        <w:pStyle w:val="Prrafodelista"/>
        <w:numPr>
          <w:ilvl w:val="0"/>
          <w:numId w:val="5"/>
        </w:numPr>
        <w:autoSpaceDE w:val="0"/>
        <w:autoSpaceDN w:val="0"/>
        <w:adjustRightInd w:val="0"/>
        <w:spacing w:after="0"/>
        <w:jc w:val="both"/>
        <w:rPr>
          <w:rFonts w:ascii="Arial" w:hAnsi="Arial" w:cs="Arial"/>
          <w:sz w:val="24"/>
          <w:szCs w:val="24"/>
          <w:lang w:val="es-MX" w:eastAsia="es-ES"/>
        </w:rPr>
      </w:pPr>
      <w:r w:rsidRPr="00055B93">
        <w:rPr>
          <w:rFonts w:ascii="Arial" w:hAnsi="Arial" w:cs="Arial"/>
          <w:sz w:val="24"/>
          <w:szCs w:val="24"/>
          <w:lang w:eastAsia="es-ES"/>
        </w:rPr>
        <w:t>La evaluación del avance o cumplimiento de los programas y subprogramas aprobados.</w:t>
      </w:r>
    </w:p>
    <w:p w:rsidR="00A8117B" w:rsidRDefault="00A8117B" w:rsidP="00A8117B">
      <w:pPr>
        <w:spacing w:after="0"/>
        <w:jc w:val="both"/>
        <w:rPr>
          <w:rFonts w:ascii="Arial" w:hAnsi="Arial" w:cs="Arial"/>
          <w:sz w:val="24"/>
          <w:szCs w:val="24"/>
          <w:lang w:val="es-MX"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En el apartado V</w:t>
      </w:r>
      <w:r w:rsidR="00652CB2">
        <w:rPr>
          <w:rFonts w:ascii="Arial" w:hAnsi="Arial" w:cs="Arial"/>
          <w:sz w:val="24"/>
          <w:szCs w:val="24"/>
          <w:lang w:eastAsia="es-ES"/>
        </w:rPr>
        <w:t>II del</w:t>
      </w:r>
      <w:r>
        <w:rPr>
          <w:rFonts w:ascii="Arial" w:hAnsi="Arial" w:cs="Arial"/>
          <w:sz w:val="24"/>
          <w:szCs w:val="24"/>
          <w:lang w:eastAsia="es-ES"/>
        </w:rPr>
        <w:t xml:space="preserve">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652CB2">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Finalmente, </w:t>
      </w:r>
      <w:r w:rsidR="00A8117B">
        <w:rPr>
          <w:rFonts w:ascii="Arial" w:hAnsi="Arial" w:cs="Arial"/>
          <w:sz w:val="24"/>
          <w:szCs w:val="24"/>
          <w:lang w:eastAsia="es-ES"/>
        </w:rPr>
        <w:t>se informa sobre la situación que guardan las observaciones, recomendaciones y acciones promovidas por la Auditoría Superior del Estado, respecto de las Cuentas Públicas de ejercicios anteriores.</w:t>
      </w:r>
    </w:p>
    <w:p w:rsidR="00652CB2" w:rsidRDefault="00652CB2" w:rsidP="00652CB2">
      <w:pPr>
        <w:autoSpaceDE w:val="0"/>
        <w:autoSpaceDN w:val="0"/>
        <w:adjustRightInd w:val="0"/>
        <w:spacing w:after="0"/>
        <w:ind w:firstLine="709"/>
        <w:jc w:val="both"/>
        <w:rPr>
          <w:rFonts w:ascii="Arial" w:hAnsi="Arial" w:cs="Arial"/>
          <w:sz w:val="24"/>
          <w:szCs w:val="24"/>
          <w:lang w:eastAsia="es-ES"/>
        </w:rPr>
      </w:pPr>
    </w:p>
    <w:p w:rsidR="00A8117B" w:rsidRPr="00652CB2" w:rsidRDefault="00A8117B" w:rsidP="00652CB2">
      <w:pPr>
        <w:autoSpaceDE w:val="0"/>
        <w:autoSpaceDN w:val="0"/>
        <w:adjustRightInd w:val="0"/>
        <w:spacing w:after="0"/>
        <w:ind w:firstLine="709"/>
        <w:jc w:val="both"/>
        <w:rPr>
          <w:rFonts w:ascii="Arial" w:hAnsi="Arial" w:cs="Arial"/>
          <w:sz w:val="24"/>
          <w:szCs w:val="24"/>
          <w:lang w:eastAsia="es-ES"/>
        </w:rPr>
      </w:pPr>
      <w:r w:rsidRPr="00055B93">
        <w:rPr>
          <w:rFonts w:ascii="Arial" w:hAnsi="Arial" w:cs="Arial"/>
          <w:b/>
          <w:bCs/>
          <w:sz w:val="24"/>
          <w:szCs w:val="24"/>
          <w:lang w:eastAsia="es-ES"/>
        </w:rPr>
        <w:t>Entidad objeto de la revisión</w:t>
      </w:r>
    </w:p>
    <w:p w:rsidR="00A8117B" w:rsidRPr="00055B93" w:rsidRDefault="00A8117B" w:rsidP="00A8117B">
      <w:pPr>
        <w:autoSpaceDE w:val="0"/>
        <w:autoSpaceDN w:val="0"/>
        <w:adjustRightInd w:val="0"/>
        <w:spacing w:after="0"/>
        <w:ind w:left="360"/>
        <w:jc w:val="both"/>
        <w:rPr>
          <w:rFonts w:ascii="Arial" w:hAnsi="Arial" w:cs="Arial"/>
          <w:b/>
          <w:bCs/>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El FIDEICOMISO FONDO PARA LA VIVIENDA DE LOS TRABAJADORES DEL ESTADO (</w:t>
      </w:r>
      <w:proofErr w:type="spellStart"/>
      <w:r>
        <w:rPr>
          <w:rFonts w:ascii="Arial" w:hAnsi="Arial" w:cs="Arial"/>
          <w:sz w:val="24"/>
          <w:szCs w:val="24"/>
          <w:lang w:eastAsia="es-ES"/>
        </w:rPr>
        <w:t>Fovileon</w:t>
      </w:r>
      <w:proofErr w:type="spellEnd"/>
      <w:r>
        <w:rPr>
          <w:rFonts w:ascii="Arial" w:hAnsi="Arial" w:cs="Arial"/>
          <w:sz w:val="24"/>
          <w:szCs w:val="24"/>
          <w:lang w:eastAsia="es-ES"/>
        </w:rPr>
        <w:t xml:space="preserve"> Estado), se constituye el 11 de enero de 1988 mediante el contrato privado F/18903-5, entre el Gobierno del Estado de Nuevo León como Fideicomitente y Bancomer, S.A. ahora BBVA Bancomer, S.A. como Institución Fiduciaria, teniendo como Fideicomisario a los trabajadores al servicio del Estado.</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El objeto primordial del Fideicomiso es establecer y operar un sistema de financiamiento que facilite a los trabajadores al servicio del Estado la construcción, adquisición, remodelación, ampliación y mejoras de la vivienda.</w:t>
      </w:r>
    </w:p>
    <w:p w:rsidR="00652CB2" w:rsidRDefault="00652CB2" w:rsidP="00652CB2">
      <w:pPr>
        <w:pStyle w:val="Prrafodelista"/>
        <w:autoSpaceDE w:val="0"/>
        <w:autoSpaceDN w:val="0"/>
        <w:adjustRightInd w:val="0"/>
        <w:spacing w:after="0"/>
        <w:ind w:left="1080"/>
        <w:jc w:val="both"/>
        <w:rPr>
          <w:rFonts w:ascii="Arial" w:hAnsi="Arial" w:cs="Arial"/>
          <w:sz w:val="24"/>
          <w:szCs w:val="24"/>
          <w:lang w:eastAsia="es-ES"/>
        </w:rPr>
      </w:pPr>
    </w:p>
    <w:p w:rsidR="00A8117B" w:rsidRPr="00055B93" w:rsidRDefault="00A8117B" w:rsidP="00652CB2">
      <w:pPr>
        <w:pStyle w:val="Prrafodelista"/>
        <w:autoSpaceDE w:val="0"/>
        <w:autoSpaceDN w:val="0"/>
        <w:adjustRightInd w:val="0"/>
        <w:spacing w:after="0"/>
        <w:ind w:left="1080"/>
        <w:jc w:val="both"/>
        <w:rPr>
          <w:rFonts w:ascii="Arial" w:hAnsi="Arial" w:cs="Arial"/>
          <w:b/>
          <w:bCs/>
          <w:sz w:val="24"/>
          <w:szCs w:val="24"/>
          <w:lang w:eastAsia="es-ES"/>
        </w:rPr>
      </w:pPr>
      <w:r w:rsidRPr="00055B93">
        <w:rPr>
          <w:rFonts w:ascii="Arial" w:hAnsi="Arial" w:cs="Arial"/>
          <w:b/>
          <w:bCs/>
          <w:sz w:val="24"/>
          <w:szCs w:val="24"/>
          <w:lang w:eastAsia="es-ES"/>
        </w:rPr>
        <w:t>Objetivos y alcances de la revisión practicada tanto a la gestión como al desempeño, incluyendo los criterios de selección y descripción de los procedimientos de auditoría aplicados</w:t>
      </w:r>
    </w:p>
    <w:p w:rsidR="00A8117B" w:rsidRPr="00055B93" w:rsidRDefault="00A8117B" w:rsidP="00A8117B">
      <w:pPr>
        <w:pStyle w:val="Prrafodelista"/>
        <w:autoSpaceDE w:val="0"/>
        <w:autoSpaceDN w:val="0"/>
        <w:adjustRightInd w:val="0"/>
        <w:spacing w:after="0"/>
        <w:ind w:left="1080"/>
        <w:jc w:val="both"/>
        <w:rPr>
          <w:rFonts w:ascii="Arial" w:hAnsi="Arial" w:cs="Arial"/>
          <w:b/>
          <w:bCs/>
          <w:sz w:val="24"/>
          <w:szCs w:val="24"/>
          <w:lang w:eastAsia="es-ES"/>
        </w:rPr>
      </w:pPr>
    </w:p>
    <w:p w:rsidR="00A8117B" w:rsidRDefault="00A8117B" w:rsidP="00652CB2">
      <w:pPr>
        <w:pStyle w:val="Prrafodelista"/>
        <w:autoSpaceDE w:val="0"/>
        <w:autoSpaceDN w:val="0"/>
        <w:adjustRightInd w:val="0"/>
        <w:spacing w:after="0"/>
        <w:jc w:val="both"/>
        <w:rPr>
          <w:rFonts w:ascii="Arial" w:hAnsi="Arial" w:cs="Arial"/>
          <w:b/>
          <w:bCs/>
          <w:sz w:val="24"/>
          <w:szCs w:val="24"/>
          <w:lang w:eastAsia="es-ES"/>
        </w:rPr>
      </w:pPr>
      <w:r w:rsidRPr="00055B93">
        <w:rPr>
          <w:rFonts w:ascii="Arial" w:hAnsi="Arial" w:cs="Arial"/>
          <w:b/>
          <w:bCs/>
          <w:sz w:val="24"/>
          <w:szCs w:val="24"/>
          <w:lang w:eastAsia="es-ES"/>
        </w:rPr>
        <w:t>Auditorías programadas por tipo o materia</w:t>
      </w:r>
    </w:p>
    <w:p w:rsidR="00A8117B" w:rsidRPr="00055B93" w:rsidRDefault="00A8117B" w:rsidP="00A8117B">
      <w:pPr>
        <w:autoSpaceDE w:val="0"/>
        <w:autoSpaceDN w:val="0"/>
        <w:adjustRightInd w:val="0"/>
        <w:spacing w:after="0"/>
        <w:ind w:left="360"/>
        <w:jc w:val="both"/>
        <w:rPr>
          <w:rFonts w:ascii="Arial" w:hAnsi="Arial" w:cs="Arial"/>
          <w:b/>
          <w:bCs/>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eastAsia="es-ES"/>
        </w:rPr>
        <w:t xml:space="preserve">Con base en los criterios generales y particulares para la planeación específica utilizada en la integración del </w:t>
      </w:r>
      <w:r w:rsidR="00652CB2">
        <w:rPr>
          <w:rFonts w:ascii="Arial" w:hAnsi="Arial" w:cs="Arial"/>
          <w:sz w:val="24"/>
          <w:szCs w:val="24"/>
          <w:lang w:eastAsia="es-ES"/>
        </w:rPr>
        <w:t>Programa Anual de Auditoría 2016</w:t>
      </w:r>
      <w:r>
        <w:rPr>
          <w:rFonts w:ascii="Arial" w:hAnsi="Arial" w:cs="Arial"/>
          <w:sz w:val="24"/>
          <w:szCs w:val="24"/>
          <w:lang w:eastAsia="es-ES"/>
        </w:rPr>
        <w:t xml:space="preserve"> para la Fiscalización de las Cuentas Públicas correspond</w:t>
      </w:r>
      <w:r w:rsidR="00652CB2">
        <w:rPr>
          <w:rFonts w:ascii="Arial" w:hAnsi="Arial" w:cs="Arial"/>
          <w:sz w:val="24"/>
          <w:szCs w:val="24"/>
          <w:lang w:eastAsia="es-ES"/>
        </w:rPr>
        <w:t>ientes al ejercicio 2015</w:t>
      </w:r>
      <w:r>
        <w:rPr>
          <w:rFonts w:ascii="Arial" w:hAnsi="Arial" w:cs="Arial"/>
          <w:sz w:val="24"/>
          <w:szCs w:val="24"/>
          <w:lang w:eastAsia="es-ES"/>
        </w:rPr>
        <w:t>, presentado ante ese H. Congreso del Estado, para su conocimiento, por conducto de la Com</w:t>
      </w:r>
      <w:r w:rsidR="00652CB2">
        <w:rPr>
          <w:rFonts w:ascii="Arial" w:hAnsi="Arial" w:cs="Arial"/>
          <w:sz w:val="24"/>
          <w:szCs w:val="24"/>
          <w:lang w:eastAsia="es-ES"/>
        </w:rPr>
        <w:t>isión de Vigilancia, en fecha 14 de junio del año 2016</w:t>
      </w:r>
      <w:r>
        <w:rPr>
          <w:rFonts w:ascii="Arial" w:hAnsi="Arial" w:cs="Arial"/>
          <w:sz w:val="24"/>
          <w:szCs w:val="24"/>
          <w:lang w:eastAsia="es-ES"/>
        </w:rPr>
        <w:t xml:space="preserve"> y considerando la importancia, pertinencia y factibilidad de su realización, se determinaron las siguientes auditorías a practicar al Ente Público en cuestión, por tipo o materia, a saber:</w:t>
      </w:r>
    </w:p>
    <w:p w:rsidR="00A8117B" w:rsidRDefault="00A8117B" w:rsidP="00A8117B">
      <w:pPr>
        <w:spacing w:after="0"/>
        <w:jc w:val="both"/>
        <w:rPr>
          <w:rFonts w:ascii="Arial" w:hAnsi="Arial" w:cs="Arial"/>
          <w:sz w:val="24"/>
          <w:szCs w:val="24"/>
          <w:lang w:val="es-MX" w:eastAsia="es-ES"/>
        </w:rPr>
      </w:pPr>
    </w:p>
    <w:p w:rsidR="00A8117B" w:rsidRDefault="00A8117B" w:rsidP="00A8117B">
      <w:pPr>
        <w:spacing w:after="0"/>
        <w:jc w:val="both"/>
        <w:rPr>
          <w:rFonts w:ascii="Arial" w:hAnsi="Arial" w:cs="Arial"/>
          <w:sz w:val="24"/>
          <w:szCs w:val="24"/>
          <w:lang w:val="es-MX" w:eastAsia="es-ES"/>
        </w:rPr>
      </w:pPr>
    </w:p>
    <w:p w:rsidR="00A8117B" w:rsidRDefault="00A8117B" w:rsidP="00652CB2">
      <w:pPr>
        <w:pStyle w:val="Prrafodelista"/>
        <w:autoSpaceDE w:val="0"/>
        <w:autoSpaceDN w:val="0"/>
        <w:adjustRightInd w:val="0"/>
        <w:spacing w:after="0"/>
        <w:jc w:val="both"/>
        <w:rPr>
          <w:rFonts w:ascii="Arial" w:eastAsia="SymbolMT" w:hAnsi="Arial" w:cs="Arial"/>
          <w:b/>
          <w:bCs/>
          <w:sz w:val="24"/>
          <w:szCs w:val="24"/>
          <w:lang w:eastAsia="es-ES"/>
        </w:rPr>
      </w:pPr>
      <w:r w:rsidRPr="00055B93">
        <w:rPr>
          <w:rFonts w:ascii="Arial" w:eastAsia="SymbolMT" w:hAnsi="Arial" w:cs="Arial"/>
          <w:b/>
          <w:bCs/>
          <w:sz w:val="24"/>
          <w:szCs w:val="24"/>
          <w:lang w:eastAsia="es-ES"/>
        </w:rPr>
        <w:t>Objetivos y alcances de la revisión practicada</w:t>
      </w:r>
    </w:p>
    <w:p w:rsidR="00A8117B" w:rsidRPr="00055B93" w:rsidRDefault="00A8117B" w:rsidP="00A8117B">
      <w:pPr>
        <w:autoSpaceDE w:val="0"/>
        <w:autoSpaceDN w:val="0"/>
        <w:adjustRightInd w:val="0"/>
        <w:spacing w:after="0"/>
        <w:ind w:left="360"/>
        <w:jc w:val="both"/>
        <w:rPr>
          <w:rFonts w:ascii="Arial" w:eastAsia="SymbolMT" w:hAnsi="Arial" w:cs="Arial"/>
          <w:b/>
          <w:bCs/>
          <w:sz w:val="24"/>
          <w:szCs w:val="24"/>
          <w:lang w:eastAsia="es-ES"/>
        </w:rPr>
      </w:pPr>
    </w:p>
    <w:p w:rsidR="00A8117B" w:rsidRDefault="00A8117B" w:rsidP="00A8117B">
      <w:pPr>
        <w:autoSpaceDE w:val="0"/>
        <w:autoSpaceDN w:val="0"/>
        <w:adjustRightInd w:val="0"/>
        <w:spacing w:after="0"/>
        <w:ind w:firstLine="709"/>
        <w:jc w:val="both"/>
        <w:rPr>
          <w:rFonts w:ascii="Arial" w:eastAsia="SymbolMT" w:hAnsi="Arial" w:cs="Arial"/>
          <w:sz w:val="24"/>
          <w:szCs w:val="24"/>
          <w:lang w:eastAsia="es-ES"/>
        </w:rPr>
      </w:pPr>
      <w:r>
        <w:rPr>
          <w:rFonts w:ascii="Arial" w:eastAsia="SymbolMT" w:hAnsi="Arial" w:cs="Arial"/>
          <w:sz w:val="24"/>
          <w:szCs w:val="24"/>
          <w:lang w:eastAsia="es-ES"/>
        </w:rPr>
        <w:t xml:space="preserve">En la implementación y ejecución del </w:t>
      </w:r>
      <w:r w:rsidR="00652CB2">
        <w:rPr>
          <w:rFonts w:ascii="Arial" w:eastAsia="SymbolMT" w:hAnsi="Arial" w:cs="Arial"/>
          <w:sz w:val="24"/>
          <w:szCs w:val="24"/>
          <w:lang w:eastAsia="es-ES"/>
        </w:rPr>
        <w:t>Programa Anual de Auditoría 2016</w:t>
      </w:r>
      <w:r>
        <w:rPr>
          <w:rFonts w:ascii="Arial" w:eastAsia="SymbolMT" w:hAnsi="Arial" w:cs="Arial"/>
          <w:sz w:val="24"/>
          <w:szCs w:val="24"/>
          <w:lang w:eastAsia="es-ES"/>
        </w:rPr>
        <w:t xml:space="preserve"> para la revisión y fiscalización de las Cuentas Públicas co</w:t>
      </w:r>
      <w:r w:rsidR="00652CB2">
        <w:rPr>
          <w:rFonts w:ascii="Arial" w:eastAsia="SymbolMT" w:hAnsi="Arial" w:cs="Arial"/>
          <w:sz w:val="24"/>
          <w:szCs w:val="24"/>
          <w:lang w:eastAsia="es-ES"/>
        </w:rPr>
        <w:t>rrespondientes al ejercicio 2015</w:t>
      </w:r>
      <w:r>
        <w:rPr>
          <w:rFonts w:ascii="Arial" w:eastAsia="SymbolMT" w:hAnsi="Arial" w:cs="Arial"/>
          <w:sz w:val="24"/>
          <w:szCs w:val="24"/>
          <w:lang w:eastAsia="es-ES"/>
        </w:rPr>
        <w:t>, entre las cuales se encuentra el Ente Público auditado en cuestión, se observaron métodos y criterios objetivos, aplicando las mejores prácticas y procedimientos de auditoría.</w:t>
      </w:r>
    </w:p>
    <w:p w:rsidR="00A8117B" w:rsidRDefault="00A8117B" w:rsidP="00A8117B">
      <w:pPr>
        <w:autoSpaceDE w:val="0"/>
        <w:autoSpaceDN w:val="0"/>
        <w:adjustRightInd w:val="0"/>
        <w:spacing w:after="0"/>
        <w:ind w:firstLine="709"/>
        <w:jc w:val="both"/>
        <w:rPr>
          <w:rFonts w:ascii="Arial" w:eastAsia="SymbolMT" w:hAnsi="Arial" w:cs="Arial"/>
          <w:sz w:val="24"/>
          <w:szCs w:val="24"/>
          <w:lang w:eastAsia="es-ES"/>
        </w:rPr>
      </w:pPr>
    </w:p>
    <w:p w:rsidR="00A8117B" w:rsidRDefault="00A8117B" w:rsidP="00A8117B">
      <w:pPr>
        <w:autoSpaceDE w:val="0"/>
        <w:autoSpaceDN w:val="0"/>
        <w:adjustRightInd w:val="0"/>
        <w:spacing w:after="0"/>
        <w:ind w:firstLine="709"/>
        <w:jc w:val="both"/>
        <w:rPr>
          <w:rFonts w:ascii="Arial" w:eastAsia="SymbolMT" w:hAnsi="Arial" w:cs="Arial"/>
          <w:sz w:val="24"/>
          <w:szCs w:val="24"/>
          <w:lang w:eastAsia="es-ES"/>
        </w:rPr>
      </w:pPr>
      <w:r>
        <w:rPr>
          <w:rFonts w:ascii="Arial" w:eastAsia="SymbolMT" w:hAnsi="Arial" w:cs="Arial"/>
          <w:sz w:val="24"/>
          <w:szCs w:val="24"/>
          <w:lang w:eastAsia="es-ES"/>
        </w:rPr>
        <w:t>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w:t>
      </w:r>
    </w:p>
    <w:p w:rsidR="00652CB2" w:rsidRDefault="00652CB2" w:rsidP="00A8117B">
      <w:pPr>
        <w:autoSpaceDE w:val="0"/>
        <w:autoSpaceDN w:val="0"/>
        <w:adjustRightInd w:val="0"/>
        <w:spacing w:after="0"/>
        <w:ind w:firstLine="709"/>
        <w:jc w:val="both"/>
        <w:rPr>
          <w:rFonts w:ascii="Arial" w:eastAsia="SymbolMT" w:hAnsi="Arial" w:cs="Arial"/>
          <w:sz w:val="24"/>
          <w:szCs w:val="24"/>
          <w:lang w:eastAsia="es-ES"/>
        </w:rPr>
      </w:pPr>
    </w:p>
    <w:p w:rsidR="00652CB2" w:rsidRDefault="00652CB2" w:rsidP="00A8117B">
      <w:pPr>
        <w:autoSpaceDE w:val="0"/>
        <w:autoSpaceDN w:val="0"/>
        <w:adjustRightInd w:val="0"/>
        <w:spacing w:after="0"/>
        <w:ind w:firstLine="709"/>
        <w:jc w:val="both"/>
        <w:rPr>
          <w:rFonts w:ascii="Arial" w:eastAsia="SymbolMT" w:hAnsi="Arial" w:cs="Arial"/>
          <w:sz w:val="24"/>
          <w:szCs w:val="24"/>
          <w:lang w:eastAsia="es-ES"/>
        </w:rPr>
      </w:pPr>
    </w:p>
    <w:p w:rsidR="00A8117B" w:rsidRDefault="00A8117B" w:rsidP="00A8117B">
      <w:pPr>
        <w:autoSpaceDE w:val="0"/>
        <w:autoSpaceDN w:val="0"/>
        <w:adjustRightInd w:val="0"/>
        <w:spacing w:after="0"/>
        <w:jc w:val="both"/>
        <w:rPr>
          <w:rFonts w:ascii="Arial" w:eastAsia="SymbolMT" w:hAnsi="Arial" w:cs="Arial"/>
          <w:sz w:val="24"/>
          <w:szCs w:val="24"/>
          <w:lang w:eastAsia="es-ES"/>
        </w:rPr>
      </w:pPr>
    </w:p>
    <w:p w:rsidR="00A8117B" w:rsidRDefault="00A8117B" w:rsidP="00A8117B">
      <w:pPr>
        <w:pStyle w:val="Prrafodelista"/>
        <w:numPr>
          <w:ilvl w:val="0"/>
          <w:numId w:val="6"/>
        </w:numPr>
        <w:autoSpaceDE w:val="0"/>
        <w:autoSpaceDN w:val="0"/>
        <w:adjustRightInd w:val="0"/>
        <w:spacing w:after="0"/>
        <w:jc w:val="both"/>
        <w:rPr>
          <w:rFonts w:ascii="Arial" w:eastAsia="SymbolMT" w:hAnsi="Arial" w:cs="Arial"/>
          <w:sz w:val="24"/>
          <w:szCs w:val="24"/>
          <w:lang w:eastAsia="es-ES"/>
        </w:rPr>
      </w:pPr>
      <w:r w:rsidRPr="00055B93">
        <w:rPr>
          <w:rFonts w:ascii="Arial" w:eastAsia="SymbolMT" w:hAnsi="Arial" w:cs="Arial"/>
          <w:sz w:val="24"/>
          <w:szCs w:val="24"/>
          <w:lang w:eastAsia="es-ES"/>
        </w:rPr>
        <w:lastRenderedPageBreak/>
        <w:t>Para evaluar los resultados de la gestión financiera, se verificó:</w:t>
      </w:r>
    </w:p>
    <w:p w:rsidR="00A8117B" w:rsidRPr="00055B93" w:rsidRDefault="00A8117B" w:rsidP="00A8117B">
      <w:pPr>
        <w:pStyle w:val="Prrafodelista"/>
        <w:autoSpaceDE w:val="0"/>
        <w:autoSpaceDN w:val="0"/>
        <w:adjustRightInd w:val="0"/>
        <w:spacing w:after="0"/>
        <w:ind w:left="1080"/>
        <w:jc w:val="both"/>
        <w:rPr>
          <w:rFonts w:ascii="Arial" w:eastAsia="SymbolMT" w:hAnsi="Arial" w:cs="Arial"/>
          <w:sz w:val="24"/>
          <w:szCs w:val="24"/>
          <w:lang w:eastAsia="es-ES"/>
        </w:rPr>
      </w:pPr>
    </w:p>
    <w:p w:rsidR="00A8117B" w:rsidRDefault="00A8117B" w:rsidP="00A8117B">
      <w:pPr>
        <w:pStyle w:val="Prrafodelista"/>
        <w:numPr>
          <w:ilvl w:val="0"/>
          <w:numId w:val="7"/>
        </w:numPr>
        <w:autoSpaceDE w:val="0"/>
        <w:autoSpaceDN w:val="0"/>
        <w:adjustRightInd w:val="0"/>
        <w:spacing w:after="0"/>
        <w:jc w:val="both"/>
        <w:rPr>
          <w:rFonts w:ascii="Arial" w:eastAsia="SymbolMT" w:hAnsi="Arial" w:cs="Arial"/>
          <w:sz w:val="24"/>
          <w:szCs w:val="24"/>
          <w:lang w:eastAsia="es-ES"/>
        </w:rPr>
      </w:pPr>
      <w:r w:rsidRPr="00055B93">
        <w:rPr>
          <w:rFonts w:ascii="Arial" w:eastAsia="SymbolMT" w:hAnsi="Arial" w:cs="Arial"/>
          <w:sz w:val="24"/>
          <w:szCs w:val="24"/>
          <w:lang w:eastAsia="es-ES"/>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A8117B" w:rsidRDefault="00A8117B" w:rsidP="00A8117B">
      <w:pPr>
        <w:pStyle w:val="Prrafodelista"/>
        <w:numPr>
          <w:ilvl w:val="0"/>
          <w:numId w:val="7"/>
        </w:numPr>
        <w:autoSpaceDE w:val="0"/>
        <w:autoSpaceDN w:val="0"/>
        <w:adjustRightInd w:val="0"/>
        <w:spacing w:after="0"/>
        <w:jc w:val="both"/>
        <w:rPr>
          <w:rFonts w:ascii="Arial" w:eastAsia="SymbolMT" w:hAnsi="Arial" w:cs="Arial"/>
          <w:sz w:val="24"/>
          <w:szCs w:val="24"/>
          <w:lang w:eastAsia="es-ES"/>
        </w:rPr>
      </w:pPr>
      <w:r w:rsidRPr="00055B93">
        <w:rPr>
          <w:rFonts w:ascii="Arial" w:eastAsia="SymbolMT"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w:t>
      </w:r>
      <w:r>
        <w:rPr>
          <w:rFonts w:ascii="Arial" w:eastAsia="SymbolMT" w:hAnsi="Arial" w:cs="Arial"/>
          <w:sz w:val="24"/>
          <w:szCs w:val="24"/>
          <w:lang w:eastAsia="es-ES"/>
        </w:rPr>
        <w:t xml:space="preserve"> </w:t>
      </w:r>
      <w:r w:rsidRPr="00055B93">
        <w:rPr>
          <w:rFonts w:ascii="Arial" w:eastAsia="SymbolMT" w:hAnsi="Arial" w:cs="Arial"/>
          <w:sz w:val="24"/>
          <w:szCs w:val="24"/>
          <w:lang w:eastAsia="es-ES"/>
        </w:rPr>
        <w:t>contra de la Hacienda Pública Estatal o Municipal, o al Patrimonio de los Entes Públicos.</w:t>
      </w:r>
    </w:p>
    <w:p w:rsidR="00A8117B" w:rsidRPr="00055B93" w:rsidRDefault="00A8117B" w:rsidP="00A8117B">
      <w:pPr>
        <w:autoSpaceDE w:val="0"/>
        <w:autoSpaceDN w:val="0"/>
        <w:adjustRightInd w:val="0"/>
        <w:spacing w:after="0"/>
        <w:ind w:left="360"/>
        <w:jc w:val="both"/>
        <w:rPr>
          <w:rFonts w:ascii="Arial" w:eastAsia="SymbolMT" w:hAnsi="Arial" w:cs="Arial"/>
          <w:sz w:val="24"/>
          <w:szCs w:val="24"/>
          <w:lang w:eastAsia="es-ES"/>
        </w:rPr>
      </w:pPr>
    </w:p>
    <w:p w:rsidR="00A8117B" w:rsidRPr="00055B93" w:rsidRDefault="00A8117B" w:rsidP="00A8117B">
      <w:pPr>
        <w:pStyle w:val="Prrafodelista"/>
        <w:numPr>
          <w:ilvl w:val="0"/>
          <w:numId w:val="6"/>
        </w:numPr>
        <w:autoSpaceDE w:val="0"/>
        <w:autoSpaceDN w:val="0"/>
        <w:adjustRightInd w:val="0"/>
        <w:spacing w:after="0"/>
        <w:jc w:val="both"/>
        <w:rPr>
          <w:rFonts w:ascii="Arial" w:hAnsi="Arial" w:cs="Arial"/>
          <w:sz w:val="24"/>
          <w:szCs w:val="24"/>
          <w:lang w:val="es-MX" w:eastAsia="es-ES"/>
        </w:rPr>
      </w:pPr>
      <w:r w:rsidRPr="00055B93">
        <w:rPr>
          <w:rFonts w:ascii="Arial" w:eastAsia="SymbolMT" w:hAnsi="Arial" w:cs="Arial"/>
          <w:sz w:val="24"/>
          <w:szCs w:val="24"/>
          <w:lang w:eastAsia="es-ES"/>
        </w:rPr>
        <w:t>Para comprobar si el ejercicio de las Leyes de Ingresos y Egresos, y sus respectivos presupuestos se ajustaron a los criterios señalados en los mismos; se revisó:</w:t>
      </w:r>
    </w:p>
    <w:p w:rsidR="00A8117B" w:rsidRDefault="00A8117B" w:rsidP="00A8117B">
      <w:pPr>
        <w:autoSpaceDE w:val="0"/>
        <w:autoSpaceDN w:val="0"/>
        <w:adjustRightInd w:val="0"/>
        <w:spacing w:after="0"/>
        <w:jc w:val="both"/>
        <w:rPr>
          <w:rFonts w:ascii="Arial" w:hAnsi="Arial" w:cs="Arial"/>
          <w:sz w:val="24"/>
          <w:szCs w:val="24"/>
          <w:lang w:val="es-MX" w:eastAsia="es-ES"/>
        </w:rPr>
      </w:pPr>
    </w:p>
    <w:p w:rsidR="00A8117B" w:rsidRDefault="00A8117B" w:rsidP="00A8117B">
      <w:pPr>
        <w:pStyle w:val="Prrafodelista"/>
        <w:numPr>
          <w:ilvl w:val="0"/>
          <w:numId w:val="8"/>
        </w:numPr>
        <w:autoSpaceDE w:val="0"/>
        <w:autoSpaceDN w:val="0"/>
        <w:adjustRightInd w:val="0"/>
        <w:spacing w:after="0"/>
        <w:jc w:val="both"/>
        <w:rPr>
          <w:rFonts w:ascii="Arial" w:hAnsi="Arial" w:cs="Arial"/>
          <w:sz w:val="24"/>
          <w:szCs w:val="24"/>
          <w:lang w:eastAsia="es-ES"/>
        </w:rPr>
      </w:pPr>
      <w:r w:rsidRPr="00055B93">
        <w:rPr>
          <w:rFonts w:ascii="Arial" w:hAnsi="Arial" w:cs="Arial"/>
          <w:sz w:val="24"/>
          <w:szCs w:val="24"/>
          <w:lang w:eastAsia="es-ES"/>
        </w:rPr>
        <w:t>Si las cantidades correspondientes a los ingresos y a los egresos, se ajustaron o corresponden a los conceptos y a las partidas respectivas;</w:t>
      </w:r>
    </w:p>
    <w:p w:rsidR="00A8117B" w:rsidRDefault="00A8117B" w:rsidP="00A8117B">
      <w:pPr>
        <w:pStyle w:val="Prrafodelista"/>
        <w:numPr>
          <w:ilvl w:val="0"/>
          <w:numId w:val="8"/>
        </w:numPr>
        <w:autoSpaceDE w:val="0"/>
        <w:autoSpaceDN w:val="0"/>
        <w:adjustRightInd w:val="0"/>
        <w:spacing w:after="0"/>
        <w:jc w:val="both"/>
        <w:rPr>
          <w:rFonts w:ascii="Arial" w:hAnsi="Arial" w:cs="Arial"/>
          <w:sz w:val="24"/>
          <w:szCs w:val="24"/>
          <w:lang w:eastAsia="es-ES"/>
        </w:rPr>
      </w:pPr>
      <w:r w:rsidRPr="00055B93">
        <w:rPr>
          <w:rFonts w:ascii="Arial" w:hAnsi="Arial" w:cs="Arial"/>
          <w:sz w:val="24"/>
          <w:szCs w:val="24"/>
          <w:lang w:eastAsia="es-ES"/>
        </w:rPr>
        <w:t>Si los programas y su ejecución se ajustaron a los términos y montos aprobados en el presupuesto; y</w:t>
      </w:r>
    </w:p>
    <w:p w:rsidR="00A8117B" w:rsidRDefault="00A8117B" w:rsidP="00A8117B">
      <w:pPr>
        <w:pStyle w:val="Prrafodelista"/>
        <w:numPr>
          <w:ilvl w:val="0"/>
          <w:numId w:val="8"/>
        </w:numPr>
        <w:autoSpaceDE w:val="0"/>
        <w:autoSpaceDN w:val="0"/>
        <w:adjustRightInd w:val="0"/>
        <w:spacing w:after="0"/>
        <w:jc w:val="both"/>
        <w:rPr>
          <w:rFonts w:ascii="Arial" w:hAnsi="Arial" w:cs="Arial"/>
          <w:sz w:val="24"/>
          <w:szCs w:val="24"/>
          <w:lang w:eastAsia="es-ES"/>
        </w:rPr>
      </w:pPr>
      <w:r w:rsidRPr="00055B93">
        <w:rPr>
          <w:rFonts w:ascii="Arial"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A8117B" w:rsidRPr="00055B93" w:rsidRDefault="00A8117B" w:rsidP="00A8117B">
      <w:pPr>
        <w:autoSpaceDE w:val="0"/>
        <w:autoSpaceDN w:val="0"/>
        <w:adjustRightInd w:val="0"/>
        <w:spacing w:after="0"/>
        <w:jc w:val="both"/>
        <w:rPr>
          <w:rFonts w:ascii="Arial" w:hAnsi="Arial" w:cs="Arial"/>
          <w:sz w:val="24"/>
          <w:szCs w:val="24"/>
          <w:lang w:eastAsia="es-ES"/>
        </w:rPr>
      </w:pPr>
    </w:p>
    <w:p w:rsidR="00A8117B" w:rsidRDefault="00A8117B" w:rsidP="00A8117B">
      <w:pPr>
        <w:pStyle w:val="Prrafodelista"/>
        <w:numPr>
          <w:ilvl w:val="0"/>
          <w:numId w:val="6"/>
        </w:numPr>
        <w:autoSpaceDE w:val="0"/>
        <w:autoSpaceDN w:val="0"/>
        <w:adjustRightInd w:val="0"/>
        <w:spacing w:after="0"/>
        <w:jc w:val="both"/>
        <w:rPr>
          <w:rFonts w:ascii="Arial" w:hAnsi="Arial" w:cs="Arial"/>
          <w:sz w:val="24"/>
          <w:szCs w:val="24"/>
          <w:lang w:eastAsia="es-ES"/>
        </w:rPr>
      </w:pPr>
      <w:r w:rsidRPr="00055B93">
        <w:rPr>
          <w:rFonts w:ascii="Arial" w:hAnsi="Arial" w:cs="Arial"/>
          <w:sz w:val="24"/>
          <w:szCs w:val="24"/>
          <w:lang w:eastAsia="es-ES"/>
        </w:rPr>
        <w:t xml:space="preserve">Se realizaron pruebas de auditoría a fin de evaluar el cumplimiento de las leyes, los reglamentos y la normatividad aplicables en la </w:t>
      </w:r>
      <w:r w:rsidRPr="00055B93">
        <w:rPr>
          <w:rFonts w:ascii="Arial" w:hAnsi="Arial" w:cs="Arial"/>
          <w:sz w:val="24"/>
          <w:szCs w:val="24"/>
          <w:lang w:eastAsia="es-ES"/>
        </w:rPr>
        <w:lastRenderedPageBreak/>
        <w:t>materia de la gestión financiera, así como de los planes de desarrollo y los programas operativos anuales.</w:t>
      </w:r>
    </w:p>
    <w:p w:rsidR="00A8117B" w:rsidRDefault="00A8117B" w:rsidP="00A8117B">
      <w:pPr>
        <w:pStyle w:val="Prrafodelista"/>
        <w:autoSpaceDE w:val="0"/>
        <w:autoSpaceDN w:val="0"/>
        <w:adjustRightInd w:val="0"/>
        <w:spacing w:after="0"/>
        <w:ind w:left="1080"/>
        <w:jc w:val="both"/>
        <w:rPr>
          <w:rFonts w:ascii="Arial" w:hAnsi="Arial" w:cs="Arial"/>
          <w:sz w:val="24"/>
          <w:szCs w:val="24"/>
          <w:lang w:eastAsia="es-ES"/>
        </w:rPr>
      </w:pPr>
    </w:p>
    <w:p w:rsidR="00A8117B" w:rsidRDefault="00A8117B" w:rsidP="00A8117B">
      <w:pPr>
        <w:pStyle w:val="Prrafodelista"/>
        <w:numPr>
          <w:ilvl w:val="0"/>
          <w:numId w:val="6"/>
        </w:numPr>
        <w:autoSpaceDE w:val="0"/>
        <w:autoSpaceDN w:val="0"/>
        <w:adjustRightInd w:val="0"/>
        <w:spacing w:after="0"/>
        <w:jc w:val="both"/>
        <w:rPr>
          <w:rFonts w:ascii="Arial" w:hAnsi="Arial" w:cs="Arial"/>
          <w:sz w:val="24"/>
          <w:szCs w:val="24"/>
          <w:lang w:eastAsia="es-ES"/>
        </w:rPr>
      </w:pPr>
      <w:r w:rsidRPr="00055B93">
        <w:rPr>
          <w:rFonts w:ascii="Arial" w:hAnsi="Arial" w:cs="Arial"/>
          <w:sz w:val="24"/>
          <w:szCs w:val="24"/>
          <w:lang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w:t>
      </w:r>
      <w:r>
        <w:rPr>
          <w:rFonts w:ascii="Arial" w:hAnsi="Arial" w:cs="Arial"/>
          <w:sz w:val="24"/>
          <w:szCs w:val="24"/>
          <w:lang w:eastAsia="es-ES"/>
        </w:rPr>
        <w:t xml:space="preserve"> </w:t>
      </w:r>
      <w:r w:rsidRPr="00055B93">
        <w:rPr>
          <w:rFonts w:ascii="Arial" w:hAnsi="Arial" w:cs="Arial"/>
          <w:sz w:val="24"/>
          <w:szCs w:val="24"/>
          <w:lang w:eastAsia="es-ES"/>
        </w:rPr>
        <w:t>normativas emitidas por el Consejo Nacional de Armonización Contable.</w:t>
      </w:r>
    </w:p>
    <w:p w:rsidR="00A8117B" w:rsidRDefault="00A8117B" w:rsidP="00A8117B">
      <w:pPr>
        <w:autoSpaceDE w:val="0"/>
        <w:autoSpaceDN w:val="0"/>
        <w:adjustRightInd w:val="0"/>
        <w:spacing w:after="0"/>
        <w:jc w:val="both"/>
        <w:rPr>
          <w:rFonts w:ascii="Arial" w:hAnsi="Arial" w:cs="Arial"/>
          <w:sz w:val="24"/>
          <w:szCs w:val="24"/>
          <w:lang w:eastAsia="es-ES"/>
        </w:rPr>
      </w:pPr>
    </w:p>
    <w:p w:rsidR="00A8117B" w:rsidRDefault="00A8117B" w:rsidP="00A8117B">
      <w:pPr>
        <w:pStyle w:val="Prrafodelista"/>
        <w:numPr>
          <w:ilvl w:val="0"/>
          <w:numId w:val="5"/>
        </w:numPr>
        <w:autoSpaceDE w:val="0"/>
        <w:autoSpaceDN w:val="0"/>
        <w:adjustRightInd w:val="0"/>
        <w:spacing w:after="0"/>
        <w:jc w:val="both"/>
        <w:rPr>
          <w:rFonts w:ascii="Arial" w:hAnsi="Arial" w:cs="Arial"/>
          <w:b/>
          <w:bCs/>
          <w:sz w:val="24"/>
          <w:szCs w:val="24"/>
          <w:lang w:eastAsia="es-ES"/>
        </w:rPr>
      </w:pPr>
      <w:r w:rsidRPr="00055B93">
        <w:rPr>
          <w:rFonts w:ascii="Arial" w:hAnsi="Arial" w:cs="Arial"/>
          <w:b/>
          <w:bCs/>
          <w:sz w:val="24"/>
          <w:szCs w:val="24"/>
          <w:lang w:eastAsia="es-ES"/>
        </w:rPr>
        <w:t>Criterios de selección y descripción de los procedimientos de auditoría aplicados</w:t>
      </w:r>
    </w:p>
    <w:p w:rsidR="00A8117B" w:rsidRPr="00055B93" w:rsidRDefault="00A8117B" w:rsidP="00A8117B">
      <w:pPr>
        <w:autoSpaceDE w:val="0"/>
        <w:autoSpaceDN w:val="0"/>
        <w:adjustRightInd w:val="0"/>
        <w:spacing w:after="0"/>
        <w:jc w:val="both"/>
        <w:rPr>
          <w:rFonts w:ascii="Arial" w:hAnsi="Arial" w:cs="Arial"/>
          <w:b/>
          <w:bCs/>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Las auditorías practicadas se seleccionaron con base en los criterios establecidos para la planeación específica utilizada en la integración del </w:t>
      </w:r>
      <w:r w:rsidR="00652CB2">
        <w:rPr>
          <w:rFonts w:ascii="Arial" w:hAnsi="Arial" w:cs="Arial"/>
          <w:sz w:val="24"/>
          <w:szCs w:val="24"/>
          <w:lang w:eastAsia="es-ES"/>
        </w:rPr>
        <w:t>Programa Anual de Auditoría 2016</w:t>
      </w:r>
      <w:r>
        <w:rPr>
          <w:rFonts w:ascii="Arial" w:hAnsi="Arial" w:cs="Arial"/>
          <w:sz w:val="24"/>
          <w:szCs w:val="24"/>
          <w:lang w:eastAsia="es-ES"/>
        </w:rPr>
        <w:t xml:space="preserve"> para la fiscalización de las Cuentas Públicas co</w:t>
      </w:r>
      <w:r w:rsidR="00652CB2">
        <w:rPr>
          <w:rFonts w:ascii="Arial" w:hAnsi="Arial" w:cs="Arial"/>
          <w:sz w:val="24"/>
          <w:szCs w:val="24"/>
          <w:lang w:eastAsia="es-ES"/>
        </w:rPr>
        <w:t>rrespondientes al ejercicio 2015</w:t>
      </w:r>
      <w:r>
        <w:rPr>
          <w:rFonts w:ascii="Arial" w:hAnsi="Arial" w:cs="Arial"/>
          <w:sz w:val="24"/>
          <w:szCs w:val="24"/>
          <w:lang w:eastAsia="es-ES"/>
        </w:rPr>
        <w:t>, considerando la importancia, pertinencia y factibilidad de su realización.</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w:t>
      </w:r>
      <w:r>
        <w:rPr>
          <w:rFonts w:ascii="Arial" w:hAnsi="Arial" w:cs="Arial"/>
          <w:sz w:val="24"/>
          <w:szCs w:val="24"/>
          <w:lang w:eastAsia="es-ES"/>
        </w:rPr>
        <w:lastRenderedPageBreak/>
        <w:t>responsables de la ejecución de las operaciones, actividades o programas objeto de la revisión.</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652CB2" w:rsidRDefault="00A8117B" w:rsidP="00652CB2">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Con base en lo anterior, en forma específica en 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652CB2" w:rsidRDefault="00652CB2" w:rsidP="00652CB2">
      <w:pPr>
        <w:autoSpaceDE w:val="0"/>
        <w:autoSpaceDN w:val="0"/>
        <w:adjustRightInd w:val="0"/>
        <w:spacing w:after="0"/>
        <w:ind w:firstLine="709"/>
        <w:jc w:val="both"/>
        <w:rPr>
          <w:rFonts w:ascii="Arial" w:hAnsi="Arial" w:cs="Arial"/>
          <w:sz w:val="24"/>
          <w:szCs w:val="24"/>
          <w:lang w:eastAsia="es-ES"/>
        </w:rPr>
      </w:pPr>
    </w:p>
    <w:p w:rsidR="00A8117B" w:rsidRPr="00652CB2" w:rsidRDefault="00A8117B" w:rsidP="00652CB2">
      <w:pPr>
        <w:autoSpaceDE w:val="0"/>
        <w:autoSpaceDN w:val="0"/>
        <w:adjustRightInd w:val="0"/>
        <w:spacing w:after="0"/>
        <w:ind w:firstLine="709"/>
        <w:jc w:val="both"/>
        <w:rPr>
          <w:rFonts w:ascii="Arial" w:hAnsi="Arial" w:cs="Arial"/>
          <w:sz w:val="24"/>
          <w:szCs w:val="24"/>
          <w:lang w:eastAsia="es-ES"/>
        </w:rPr>
      </w:pPr>
      <w:r w:rsidRPr="00055B93">
        <w:rPr>
          <w:rFonts w:ascii="Arial" w:hAnsi="Arial" w:cs="Arial"/>
          <w:b/>
          <w:bCs/>
          <w:sz w:val="24"/>
          <w:szCs w:val="24"/>
          <w:lang w:eastAsia="es-ES"/>
        </w:rPr>
        <w:t>Descripción de los elementos revisados y resultados obtenidos en la revisión</w:t>
      </w:r>
    </w:p>
    <w:p w:rsidR="00A8117B" w:rsidRPr="00055B93" w:rsidRDefault="00A8117B" w:rsidP="00A8117B">
      <w:pPr>
        <w:pStyle w:val="Prrafodelista"/>
        <w:autoSpaceDE w:val="0"/>
        <w:autoSpaceDN w:val="0"/>
        <w:adjustRightInd w:val="0"/>
        <w:spacing w:after="0"/>
        <w:ind w:left="1080"/>
        <w:jc w:val="both"/>
        <w:rPr>
          <w:rFonts w:ascii="Arial" w:hAnsi="Arial" w:cs="Arial"/>
          <w:b/>
          <w:bCs/>
          <w:sz w:val="24"/>
          <w:szCs w:val="24"/>
          <w:lang w:eastAsia="es-ES"/>
        </w:rPr>
      </w:pPr>
    </w:p>
    <w:p w:rsidR="00A8117B" w:rsidRPr="00055B93" w:rsidRDefault="00A8117B" w:rsidP="00A8117B">
      <w:pPr>
        <w:pStyle w:val="Prrafodelista"/>
        <w:numPr>
          <w:ilvl w:val="0"/>
          <w:numId w:val="9"/>
        </w:numPr>
        <w:autoSpaceDE w:val="0"/>
        <w:autoSpaceDN w:val="0"/>
        <w:adjustRightInd w:val="0"/>
        <w:spacing w:after="0"/>
        <w:jc w:val="both"/>
        <w:rPr>
          <w:rFonts w:ascii="Arial" w:hAnsi="Arial" w:cs="Arial"/>
          <w:b/>
          <w:bCs/>
          <w:sz w:val="24"/>
          <w:szCs w:val="24"/>
          <w:lang w:eastAsia="es-ES"/>
        </w:rPr>
      </w:pPr>
      <w:r w:rsidRPr="00055B93">
        <w:rPr>
          <w:rFonts w:ascii="Arial" w:hAnsi="Arial" w:cs="Arial"/>
          <w:b/>
          <w:bCs/>
          <w:sz w:val="24"/>
          <w:szCs w:val="24"/>
          <w:lang w:eastAsia="es-ES"/>
        </w:rPr>
        <w:t>La evaluación de la gestión financiera y del gasto público</w:t>
      </w:r>
    </w:p>
    <w:p w:rsidR="00A8117B" w:rsidRPr="00055B93" w:rsidRDefault="00A8117B" w:rsidP="00A8117B">
      <w:pPr>
        <w:pStyle w:val="Prrafodelista"/>
        <w:autoSpaceDE w:val="0"/>
        <w:autoSpaceDN w:val="0"/>
        <w:adjustRightInd w:val="0"/>
        <w:spacing w:after="0"/>
        <w:jc w:val="both"/>
        <w:rPr>
          <w:rFonts w:ascii="Arial" w:hAnsi="Arial" w:cs="Arial"/>
          <w:b/>
          <w:bCs/>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Para tal efecto se consideraron los Estados Financieros adjuntos, y su presupuesto por el período del 1 de </w:t>
      </w:r>
      <w:r w:rsidR="00652CB2">
        <w:rPr>
          <w:rFonts w:ascii="Arial" w:hAnsi="Arial" w:cs="Arial"/>
          <w:sz w:val="24"/>
          <w:szCs w:val="24"/>
          <w:lang w:eastAsia="es-ES"/>
        </w:rPr>
        <w:t>enero al 31 de diciembre de 2015</w:t>
      </w:r>
      <w:r>
        <w:rPr>
          <w:rFonts w:ascii="Arial" w:hAnsi="Arial" w:cs="Arial"/>
          <w:sz w:val="24"/>
          <w:szCs w:val="24"/>
          <w:lang w:eastAsia="es-ES"/>
        </w:rPr>
        <w:t>, que el FIDEICOMISO FONDO PARA LA VIVIENDA DE LOS TRABAJADORES DEL ESTADO presentó como parte de la información que integra la Cuenta Pública.</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Para el desarrollo de la revisión de la información antes mencionada, la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w:t>
      </w: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Leyes, Decretos, Reglamentos y demás disposiciones aplicables y al cumplimiento de los objetivos y metas establecidas en los programas.</w:t>
      </w:r>
    </w:p>
    <w:p w:rsidR="00A8117B" w:rsidRDefault="00A8117B" w:rsidP="00A8117B">
      <w:pPr>
        <w:autoSpaceDE w:val="0"/>
        <w:autoSpaceDN w:val="0"/>
        <w:adjustRightInd w:val="0"/>
        <w:spacing w:after="0"/>
        <w:ind w:firstLine="709"/>
        <w:jc w:val="both"/>
        <w:rPr>
          <w:rFonts w:ascii="Arial" w:hAnsi="Arial" w:cs="Arial"/>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Los Estados Financieros presentados en pesos del </w:t>
      </w:r>
      <w:r w:rsidRPr="00652CB2">
        <w:rPr>
          <w:rFonts w:ascii="Arial" w:hAnsi="Arial" w:cs="Arial"/>
          <w:b/>
          <w:sz w:val="24"/>
          <w:szCs w:val="24"/>
          <w:lang w:eastAsia="es-ES"/>
        </w:rPr>
        <w:t>FIDEICOMISO FONDO PARA LA VIVIENDA DE LOS TRABAJADORES DEL ESTADO</w:t>
      </w:r>
      <w:r w:rsidR="00652CB2">
        <w:rPr>
          <w:rFonts w:ascii="Arial" w:hAnsi="Arial" w:cs="Arial"/>
          <w:sz w:val="24"/>
          <w:szCs w:val="24"/>
          <w:lang w:eastAsia="es-ES"/>
        </w:rPr>
        <w:t xml:space="preserve"> al 31 de diciembre de 2015</w:t>
      </w:r>
      <w:r>
        <w:rPr>
          <w:rFonts w:ascii="Arial" w:hAnsi="Arial" w:cs="Arial"/>
          <w:sz w:val="24"/>
          <w:szCs w:val="24"/>
          <w:lang w:eastAsia="es-ES"/>
        </w:rPr>
        <w:t>, que se mencionan en la Cuenta Pública, son los que se muestran a continuación:</w:t>
      </w: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652CB2">
      <w:pPr>
        <w:autoSpaceDE w:val="0"/>
        <w:autoSpaceDN w:val="0"/>
        <w:adjustRightInd w:val="0"/>
        <w:spacing w:after="0"/>
        <w:ind w:firstLine="709"/>
        <w:jc w:val="center"/>
        <w:rPr>
          <w:rFonts w:ascii="Arial" w:hAnsi="Arial" w:cs="Arial"/>
          <w:sz w:val="24"/>
          <w:szCs w:val="24"/>
          <w:lang w:eastAsia="es-ES"/>
        </w:rPr>
      </w:pPr>
      <w:r w:rsidRPr="00652CB2">
        <w:rPr>
          <w:rFonts w:ascii="Arial" w:hAnsi="Arial" w:cs="Arial"/>
          <w:noProof/>
          <w:sz w:val="24"/>
          <w:szCs w:val="24"/>
          <w:lang w:val="es-MX" w:eastAsia="es-MX"/>
        </w:rPr>
        <w:lastRenderedPageBreak/>
        <w:drawing>
          <wp:inline distT="0" distB="0" distL="0" distR="0">
            <wp:extent cx="3067050" cy="904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904875"/>
                    </a:xfrm>
                    <a:prstGeom prst="rect">
                      <a:avLst/>
                    </a:prstGeom>
                    <a:noFill/>
                    <a:ln>
                      <a:noFill/>
                    </a:ln>
                  </pic:spPr>
                </pic:pic>
              </a:graphicData>
            </a:graphic>
          </wp:inline>
        </w:drawing>
      </w: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r w:rsidRPr="00652CB2">
        <w:rPr>
          <w:rFonts w:ascii="Arial" w:hAnsi="Arial" w:cs="Arial"/>
          <w:noProof/>
          <w:sz w:val="24"/>
          <w:szCs w:val="24"/>
          <w:lang w:val="es-MX" w:eastAsia="es-MX"/>
        </w:rPr>
        <w:drawing>
          <wp:inline distT="0" distB="0" distL="0" distR="0">
            <wp:extent cx="4676775" cy="37623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54" cy="3762921"/>
                    </a:xfrm>
                    <a:prstGeom prst="rect">
                      <a:avLst/>
                    </a:prstGeom>
                    <a:noFill/>
                    <a:ln>
                      <a:noFill/>
                    </a:ln>
                  </pic:spPr>
                </pic:pic>
              </a:graphicData>
            </a:graphic>
          </wp:inline>
        </w:drawing>
      </w: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652CB2" w:rsidP="00A8117B">
      <w:pPr>
        <w:autoSpaceDE w:val="0"/>
        <w:autoSpaceDN w:val="0"/>
        <w:adjustRightInd w:val="0"/>
        <w:spacing w:after="0"/>
        <w:ind w:firstLine="709"/>
        <w:jc w:val="both"/>
        <w:rPr>
          <w:rFonts w:ascii="Arial" w:hAnsi="Arial" w:cs="Arial"/>
          <w:sz w:val="24"/>
          <w:szCs w:val="24"/>
          <w:lang w:eastAsia="es-ES"/>
        </w:rPr>
      </w:pPr>
    </w:p>
    <w:p w:rsidR="00652CB2" w:rsidRDefault="00F50621" w:rsidP="00A8117B">
      <w:pPr>
        <w:autoSpaceDE w:val="0"/>
        <w:autoSpaceDN w:val="0"/>
        <w:adjustRightInd w:val="0"/>
        <w:spacing w:after="0"/>
        <w:ind w:firstLine="709"/>
        <w:jc w:val="both"/>
        <w:rPr>
          <w:rFonts w:ascii="Arial" w:hAnsi="Arial" w:cs="Arial"/>
          <w:sz w:val="24"/>
          <w:szCs w:val="24"/>
          <w:lang w:eastAsia="es-ES"/>
        </w:rPr>
      </w:pPr>
      <w:r w:rsidRPr="00F50621">
        <w:rPr>
          <w:rFonts w:ascii="Arial" w:hAnsi="Arial" w:cs="Arial"/>
          <w:noProof/>
          <w:sz w:val="24"/>
          <w:szCs w:val="24"/>
          <w:lang w:val="es-MX" w:eastAsia="es-MX"/>
        </w:rPr>
        <w:lastRenderedPageBreak/>
        <w:drawing>
          <wp:inline distT="0" distB="0" distL="0" distR="0">
            <wp:extent cx="4600575" cy="351282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092" cy="3513215"/>
                    </a:xfrm>
                    <a:prstGeom prst="rect">
                      <a:avLst/>
                    </a:prstGeom>
                    <a:noFill/>
                    <a:ln>
                      <a:noFill/>
                    </a:ln>
                  </pic:spPr>
                </pic:pic>
              </a:graphicData>
            </a:graphic>
          </wp:inline>
        </w:drawing>
      </w:r>
    </w:p>
    <w:p w:rsidR="00A8117B" w:rsidRDefault="00A8117B" w:rsidP="00A8117B">
      <w:pPr>
        <w:spacing w:after="0"/>
        <w:jc w:val="both"/>
        <w:rPr>
          <w:rFonts w:ascii="Arial" w:hAnsi="Arial" w:cs="Arial"/>
          <w:sz w:val="24"/>
          <w:szCs w:val="24"/>
          <w:lang w:val="es-MX" w:eastAsia="es-ES"/>
        </w:rPr>
      </w:pPr>
    </w:p>
    <w:p w:rsidR="00A8117B" w:rsidRDefault="00A8117B" w:rsidP="00A8117B">
      <w:pPr>
        <w:spacing w:after="0"/>
        <w:jc w:val="both"/>
        <w:rPr>
          <w:rFonts w:ascii="Arial" w:hAnsi="Arial" w:cs="Arial"/>
          <w:sz w:val="24"/>
          <w:szCs w:val="24"/>
          <w:lang w:val="es-MX" w:eastAsia="es-ES"/>
        </w:rPr>
      </w:pPr>
    </w:p>
    <w:p w:rsidR="00A8117B" w:rsidRPr="002808EF" w:rsidRDefault="00A8117B" w:rsidP="00A8117B">
      <w:pPr>
        <w:pStyle w:val="Prrafodelista"/>
        <w:numPr>
          <w:ilvl w:val="0"/>
          <w:numId w:val="9"/>
        </w:numPr>
        <w:autoSpaceDE w:val="0"/>
        <w:autoSpaceDN w:val="0"/>
        <w:adjustRightInd w:val="0"/>
        <w:spacing w:after="0"/>
        <w:jc w:val="both"/>
        <w:rPr>
          <w:rFonts w:ascii="Arial" w:hAnsi="Arial" w:cs="Arial"/>
          <w:b/>
          <w:bCs/>
          <w:sz w:val="24"/>
          <w:szCs w:val="24"/>
          <w:lang w:eastAsia="es-ES"/>
        </w:rPr>
      </w:pPr>
      <w:r w:rsidRPr="002808EF">
        <w:rPr>
          <w:rFonts w:ascii="Arial" w:hAnsi="Arial" w:cs="Arial"/>
          <w:b/>
          <w:bCs/>
          <w:sz w:val="24"/>
          <w:szCs w:val="24"/>
          <w:lang w:eastAsia="es-ES"/>
        </w:rPr>
        <w:t>Cumplimiento de la Ley General de Contabilidad Gubernamental y de las disposiciones contenidas en los ordenamientos y normativa correspondientes</w:t>
      </w:r>
    </w:p>
    <w:p w:rsidR="00A8117B" w:rsidRPr="002808EF" w:rsidRDefault="00A8117B" w:rsidP="00A8117B">
      <w:pPr>
        <w:autoSpaceDE w:val="0"/>
        <w:autoSpaceDN w:val="0"/>
        <w:adjustRightInd w:val="0"/>
        <w:spacing w:after="0"/>
        <w:jc w:val="both"/>
        <w:rPr>
          <w:rFonts w:ascii="Arial" w:hAnsi="Arial" w:cs="Arial"/>
          <w:b/>
          <w:bCs/>
          <w:sz w:val="24"/>
          <w:szCs w:val="24"/>
          <w:lang w:eastAsia="es-ES"/>
        </w:rPr>
      </w:pPr>
    </w:p>
    <w:p w:rsidR="00A8117B" w:rsidRDefault="00A8117B" w:rsidP="00A8117B">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Con posterioridad a la verificación realizada por la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A8117B" w:rsidRDefault="00A8117B" w:rsidP="00A8117B">
      <w:pPr>
        <w:autoSpaceDE w:val="0"/>
        <w:autoSpaceDN w:val="0"/>
        <w:adjustRightInd w:val="0"/>
        <w:spacing w:after="0"/>
        <w:jc w:val="both"/>
        <w:rPr>
          <w:rFonts w:ascii="Arial" w:hAnsi="Arial" w:cs="Arial"/>
          <w:sz w:val="24"/>
          <w:szCs w:val="24"/>
          <w:lang w:eastAsia="es-ES"/>
        </w:rPr>
      </w:pPr>
    </w:p>
    <w:p w:rsidR="00A8117B" w:rsidRPr="003154BC" w:rsidRDefault="00A8117B" w:rsidP="00A8117B">
      <w:pPr>
        <w:pStyle w:val="Prrafodelista"/>
        <w:numPr>
          <w:ilvl w:val="0"/>
          <w:numId w:val="9"/>
        </w:numPr>
        <w:autoSpaceDE w:val="0"/>
        <w:autoSpaceDN w:val="0"/>
        <w:adjustRightInd w:val="0"/>
        <w:spacing w:after="0"/>
        <w:jc w:val="both"/>
        <w:rPr>
          <w:rFonts w:ascii="Arial" w:hAnsi="Arial" w:cs="Arial"/>
          <w:b/>
          <w:bCs/>
          <w:sz w:val="24"/>
          <w:szCs w:val="24"/>
          <w:lang w:eastAsia="es-ES"/>
        </w:rPr>
      </w:pPr>
      <w:r w:rsidRPr="003154BC">
        <w:rPr>
          <w:rFonts w:ascii="Arial" w:hAnsi="Arial" w:cs="Arial"/>
          <w:b/>
          <w:bCs/>
          <w:sz w:val="24"/>
          <w:szCs w:val="24"/>
          <w:lang w:eastAsia="es-ES"/>
        </w:rPr>
        <w:t>La evaluación del avance o cumplimiento de los programas y subprogramas aprobados</w:t>
      </w:r>
    </w:p>
    <w:p w:rsidR="00A8117B" w:rsidRPr="003154BC" w:rsidRDefault="00A8117B" w:rsidP="00A8117B">
      <w:pPr>
        <w:autoSpaceDE w:val="0"/>
        <w:autoSpaceDN w:val="0"/>
        <w:adjustRightInd w:val="0"/>
        <w:spacing w:after="0"/>
        <w:jc w:val="both"/>
        <w:rPr>
          <w:rFonts w:ascii="Arial" w:hAnsi="Arial" w:cs="Arial"/>
          <w:b/>
          <w:bCs/>
          <w:sz w:val="24"/>
          <w:szCs w:val="24"/>
          <w:lang w:eastAsia="es-ES"/>
        </w:rPr>
      </w:pPr>
    </w:p>
    <w:p w:rsidR="00A8117B" w:rsidRDefault="00A8117B" w:rsidP="00A8117B">
      <w:pPr>
        <w:spacing w:after="0"/>
        <w:ind w:firstLine="709"/>
        <w:jc w:val="both"/>
        <w:rPr>
          <w:rFonts w:ascii="Arial" w:hAnsi="Arial" w:cs="Arial"/>
          <w:sz w:val="24"/>
          <w:szCs w:val="24"/>
          <w:lang w:eastAsia="es-ES"/>
        </w:rPr>
      </w:pPr>
      <w:r>
        <w:rPr>
          <w:rFonts w:ascii="Arial" w:hAnsi="Arial" w:cs="Arial"/>
          <w:sz w:val="24"/>
          <w:szCs w:val="24"/>
          <w:lang w:eastAsia="es-ES"/>
        </w:rPr>
        <w:lastRenderedPageBreak/>
        <w:t>Los indicadores de gestión determinado</w:t>
      </w:r>
      <w:r w:rsidR="00F50621">
        <w:rPr>
          <w:rFonts w:ascii="Arial" w:hAnsi="Arial" w:cs="Arial"/>
          <w:sz w:val="24"/>
          <w:szCs w:val="24"/>
          <w:lang w:eastAsia="es-ES"/>
        </w:rPr>
        <w:t>s por la administración del Fideicomiso</w:t>
      </w:r>
      <w:r>
        <w:rPr>
          <w:rFonts w:ascii="Arial" w:hAnsi="Arial" w:cs="Arial"/>
          <w:sz w:val="24"/>
          <w:szCs w:val="24"/>
          <w:lang w:eastAsia="es-ES"/>
        </w:rPr>
        <w:t xml:space="preserve"> son los siguientes:</w:t>
      </w:r>
    </w:p>
    <w:p w:rsidR="00F50621" w:rsidRDefault="00F50621" w:rsidP="00A8117B">
      <w:pPr>
        <w:spacing w:after="0"/>
        <w:ind w:firstLine="709"/>
        <w:jc w:val="both"/>
        <w:rPr>
          <w:rFonts w:ascii="Arial" w:hAnsi="Arial" w:cs="Arial"/>
          <w:sz w:val="24"/>
          <w:szCs w:val="24"/>
          <w:lang w:eastAsia="es-ES"/>
        </w:rPr>
      </w:pPr>
    </w:p>
    <w:p w:rsidR="00F50621" w:rsidRDefault="00F50621" w:rsidP="00A8117B">
      <w:pPr>
        <w:spacing w:after="0"/>
        <w:ind w:firstLine="709"/>
        <w:jc w:val="both"/>
        <w:rPr>
          <w:rFonts w:ascii="Arial" w:hAnsi="Arial" w:cs="Arial"/>
          <w:sz w:val="24"/>
          <w:szCs w:val="24"/>
          <w:lang w:eastAsia="es-ES"/>
        </w:rPr>
      </w:pPr>
      <w:r w:rsidRPr="00F50621">
        <w:rPr>
          <w:rFonts w:ascii="Arial" w:hAnsi="Arial" w:cs="Arial"/>
          <w:noProof/>
          <w:sz w:val="24"/>
          <w:szCs w:val="24"/>
          <w:lang w:val="es-MX" w:eastAsia="es-MX"/>
        </w:rPr>
        <w:drawing>
          <wp:inline distT="0" distB="0" distL="0" distR="0">
            <wp:extent cx="4591050" cy="161480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997" cy="1615138"/>
                    </a:xfrm>
                    <a:prstGeom prst="rect">
                      <a:avLst/>
                    </a:prstGeom>
                    <a:noFill/>
                    <a:ln>
                      <a:noFill/>
                    </a:ln>
                  </pic:spPr>
                </pic:pic>
              </a:graphicData>
            </a:graphic>
          </wp:inline>
        </w:drawing>
      </w:r>
    </w:p>
    <w:p w:rsidR="00A8117B" w:rsidRDefault="00A8117B" w:rsidP="00A8117B">
      <w:pPr>
        <w:spacing w:after="0"/>
        <w:ind w:firstLine="709"/>
        <w:jc w:val="both"/>
        <w:rPr>
          <w:rFonts w:ascii="Arial" w:hAnsi="Arial" w:cs="Arial"/>
          <w:sz w:val="24"/>
          <w:szCs w:val="24"/>
          <w:lang w:eastAsia="es-ES"/>
        </w:rPr>
      </w:pPr>
    </w:p>
    <w:p w:rsidR="00F50621" w:rsidRDefault="00F50621" w:rsidP="00F50621">
      <w:pPr>
        <w:spacing w:after="0"/>
        <w:ind w:firstLine="709"/>
        <w:jc w:val="both"/>
        <w:rPr>
          <w:rFonts w:ascii="Arial" w:hAnsi="Arial" w:cs="Arial"/>
          <w:b/>
          <w:sz w:val="24"/>
          <w:szCs w:val="24"/>
          <w:lang w:val="es-MX" w:eastAsia="es-ES"/>
        </w:rPr>
      </w:pPr>
      <w:r w:rsidRPr="00F50621">
        <w:rPr>
          <w:rFonts w:ascii="Arial" w:hAnsi="Arial" w:cs="Arial"/>
          <w:noProof/>
          <w:sz w:val="24"/>
          <w:szCs w:val="24"/>
          <w:lang w:val="es-MX" w:eastAsia="es-MX"/>
        </w:rPr>
        <w:drawing>
          <wp:inline distT="0" distB="0" distL="0" distR="0">
            <wp:extent cx="4591050" cy="144272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2047" cy="1443033"/>
                    </a:xfrm>
                    <a:prstGeom prst="rect">
                      <a:avLst/>
                    </a:prstGeom>
                    <a:noFill/>
                    <a:ln>
                      <a:noFill/>
                    </a:ln>
                  </pic:spPr>
                </pic:pic>
              </a:graphicData>
            </a:graphic>
          </wp:inline>
        </w:drawing>
      </w:r>
    </w:p>
    <w:p w:rsidR="00F50621" w:rsidRDefault="00F50621" w:rsidP="00F50621">
      <w:pPr>
        <w:spacing w:after="0"/>
        <w:ind w:firstLine="709"/>
        <w:jc w:val="both"/>
        <w:rPr>
          <w:rFonts w:ascii="Arial" w:hAnsi="Arial" w:cs="Arial"/>
          <w:b/>
          <w:sz w:val="24"/>
          <w:szCs w:val="24"/>
          <w:lang w:val="es-MX" w:eastAsia="es-ES"/>
        </w:rPr>
      </w:pPr>
    </w:p>
    <w:p w:rsidR="00F50621" w:rsidRDefault="00A8117B" w:rsidP="00F50621">
      <w:pPr>
        <w:spacing w:after="0"/>
        <w:ind w:firstLine="709"/>
        <w:jc w:val="both"/>
        <w:rPr>
          <w:rFonts w:ascii="Arial" w:hAnsi="Arial" w:cs="Arial"/>
          <w:b/>
          <w:sz w:val="24"/>
          <w:szCs w:val="24"/>
          <w:lang w:val="es-MX" w:eastAsia="es-ES"/>
        </w:rPr>
      </w:pPr>
      <w:r w:rsidRPr="003154BC">
        <w:rPr>
          <w:rFonts w:ascii="Arial" w:hAnsi="Arial" w:cs="Arial"/>
          <w:b/>
          <w:sz w:val="24"/>
          <w:szCs w:val="24"/>
          <w:lang w:val="es-MX" w:eastAsia="es-ES"/>
        </w:rPr>
        <w:t>Principales Observaciones derivadas de la revisión practicada</w:t>
      </w:r>
      <w:r w:rsidR="00F50621">
        <w:rPr>
          <w:rFonts w:ascii="Arial" w:hAnsi="Arial" w:cs="Arial"/>
          <w:b/>
          <w:sz w:val="24"/>
          <w:szCs w:val="24"/>
          <w:lang w:val="es-MX" w:eastAsia="es-ES"/>
        </w:rPr>
        <w:t xml:space="preserve">, las aclaraciones a las mismas por los funcionarios responsables y su análisis </w:t>
      </w:r>
      <w:r w:rsidRPr="003154BC">
        <w:rPr>
          <w:rFonts w:ascii="Arial" w:hAnsi="Arial" w:cs="Arial"/>
          <w:b/>
          <w:sz w:val="24"/>
          <w:szCs w:val="24"/>
          <w:lang w:val="es-MX" w:eastAsia="es-ES"/>
        </w:rPr>
        <w:t>por la Auditoría Superior del Estado</w:t>
      </w:r>
      <w:r w:rsidR="00F50621">
        <w:rPr>
          <w:rFonts w:ascii="Arial" w:hAnsi="Arial" w:cs="Arial"/>
          <w:b/>
          <w:sz w:val="24"/>
          <w:szCs w:val="24"/>
          <w:lang w:val="es-MX" w:eastAsia="es-ES"/>
        </w:rPr>
        <w:t>, incluyendo las acciones que se ejercerán y recomendaciones que se formularan.</w:t>
      </w:r>
    </w:p>
    <w:p w:rsidR="00F50621" w:rsidRDefault="00F50621" w:rsidP="00F50621">
      <w:pPr>
        <w:spacing w:after="0"/>
        <w:ind w:firstLine="709"/>
        <w:jc w:val="both"/>
        <w:rPr>
          <w:rFonts w:ascii="Arial" w:hAnsi="Arial" w:cs="Arial"/>
          <w:b/>
          <w:sz w:val="24"/>
          <w:szCs w:val="24"/>
          <w:lang w:val="es-MX" w:eastAsia="es-ES"/>
        </w:rPr>
      </w:pPr>
    </w:p>
    <w:p w:rsidR="00F50621" w:rsidRDefault="00F50621" w:rsidP="00F50621">
      <w:pPr>
        <w:spacing w:after="0"/>
        <w:ind w:firstLine="709"/>
        <w:jc w:val="both"/>
        <w:rPr>
          <w:rFonts w:ascii="Arial" w:hAnsi="Arial" w:cs="Arial"/>
          <w:b/>
          <w:sz w:val="24"/>
          <w:szCs w:val="24"/>
          <w:lang w:val="es-MX" w:eastAsia="es-ES"/>
        </w:rPr>
      </w:pPr>
    </w:p>
    <w:p w:rsidR="00A8117B" w:rsidRPr="003154BC" w:rsidRDefault="00A8117B" w:rsidP="00A8117B">
      <w:pPr>
        <w:spacing w:after="0"/>
        <w:jc w:val="both"/>
        <w:rPr>
          <w:rFonts w:ascii="Arial" w:hAnsi="Arial" w:cs="Arial"/>
          <w:b/>
          <w:sz w:val="24"/>
          <w:szCs w:val="24"/>
          <w:lang w:val="es-MX" w:eastAsia="es-ES"/>
        </w:rPr>
      </w:pPr>
      <w:r w:rsidRPr="003154BC">
        <w:rPr>
          <w:rFonts w:ascii="Arial" w:hAnsi="Arial" w:cs="Arial"/>
          <w:b/>
          <w:sz w:val="24"/>
          <w:szCs w:val="24"/>
          <w:lang w:val="es-MX" w:eastAsia="es-ES"/>
        </w:rPr>
        <w:t>GESTIÓN FINANCIERA</w:t>
      </w:r>
    </w:p>
    <w:p w:rsidR="00F50621" w:rsidRDefault="00F50621" w:rsidP="00A8117B">
      <w:pPr>
        <w:spacing w:after="0"/>
        <w:jc w:val="both"/>
        <w:rPr>
          <w:rFonts w:ascii="Arial" w:hAnsi="Arial" w:cs="Arial"/>
          <w:b/>
          <w:sz w:val="24"/>
          <w:szCs w:val="24"/>
          <w:lang w:val="es-MX" w:eastAsia="es-ES"/>
        </w:rPr>
      </w:pPr>
    </w:p>
    <w:p w:rsidR="00E01459" w:rsidRDefault="00A8117B" w:rsidP="00E01459">
      <w:pPr>
        <w:spacing w:after="0"/>
        <w:jc w:val="both"/>
        <w:rPr>
          <w:rFonts w:ascii="Arial" w:hAnsi="Arial" w:cs="Arial"/>
          <w:b/>
          <w:sz w:val="24"/>
          <w:szCs w:val="24"/>
          <w:u w:val="single"/>
          <w:lang w:val="es-MX" w:eastAsia="es-ES"/>
        </w:rPr>
      </w:pPr>
      <w:r w:rsidRPr="00F50621">
        <w:rPr>
          <w:rFonts w:ascii="Arial" w:hAnsi="Arial" w:cs="Arial"/>
          <w:b/>
          <w:sz w:val="24"/>
          <w:szCs w:val="24"/>
          <w:u w:val="single"/>
          <w:lang w:val="es-MX" w:eastAsia="es-ES"/>
        </w:rPr>
        <w:t>Ley Genera</w:t>
      </w:r>
      <w:r w:rsidR="00E01459">
        <w:rPr>
          <w:rFonts w:ascii="Arial" w:hAnsi="Arial" w:cs="Arial"/>
          <w:b/>
          <w:sz w:val="24"/>
          <w:szCs w:val="24"/>
          <w:u w:val="single"/>
          <w:lang w:val="es-MX" w:eastAsia="es-ES"/>
        </w:rPr>
        <w:t>l de Contabilidad Gubernamental</w:t>
      </w:r>
    </w:p>
    <w:p w:rsidR="00E01459" w:rsidRDefault="00E01459" w:rsidP="00E01459">
      <w:pPr>
        <w:spacing w:after="0"/>
        <w:jc w:val="both"/>
        <w:rPr>
          <w:rFonts w:ascii="Arial" w:hAnsi="Arial" w:cs="Arial"/>
          <w:b/>
          <w:sz w:val="24"/>
          <w:szCs w:val="24"/>
          <w:u w:val="single"/>
          <w:lang w:val="es-MX" w:eastAsia="es-ES"/>
        </w:rPr>
      </w:pPr>
    </w:p>
    <w:p w:rsidR="00E01459" w:rsidRPr="00E01459" w:rsidRDefault="00A8117B" w:rsidP="00E01459">
      <w:pPr>
        <w:spacing w:after="0"/>
        <w:jc w:val="both"/>
        <w:rPr>
          <w:rFonts w:ascii="Arial" w:hAnsi="Arial" w:cs="Arial"/>
          <w:sz w:val="24"/>
          <w:szCs w:val="24"/>
          <w:lang w:val="es-MX" w:eastAsia="es-ES"/>
        </w:rPr>
      </w:pPr>
      <w:r w:rsidRPr="003154BC">
        <w:rPr>
          <w:rFonts w:ascii="Arial" w:hAnsi="Arial" w:cs="Arial"/>
          <w:sz w:val="24"/>
          <w:szCs w:val="24"/>
          <w:lang w:val="es-MX" w:eastAsia="es-ES"/>
        </w:rPr>
        <w:t>1.</w:t>
      </w:r>
      <w:r w:rsidR="00E01459">
        <w:rPr>
          <w:rFonts w:ascii="Arial" w:hAnsi="Arial" w:cs="Arial"/>
          <w:sz w:val="24"/>
          <w:szCs w:val="24"/>
          <w:lang w:val="es-MX" w:eastAsia="es-ES"/>
        </w:rPr>
        <w:t xml:space="preserve"> </w:t>
      </w:r>
      <w:r w:rsidR="00E01459" w:rsidRPr="00E01459">
        <w:rPr>
          <w:rFonts w:ascii="Arial" w:hAnsi="Arial" w:cs="Arial"/>
          <w:sz w:val="24"/>
          <w:szCs w:val="24"/>
          <w:lang w:val="es-MX" w:eastAsia="es-ES"/>
        </w:rPr>
        <w:t>Se revisó la observancia de la Ley General de Contabilidad Gubernamental (LGCG) y la normatividad emitida por el Consejo Nacional de Armonización Contable (</w:t>
      </w:r>
      <w:proofErr w:type="spellStart"/>
      <w:r w:rsidR="00E01459" w:rsidRPr="00E01459">
        <w:rPr>
          <w:rFonts w:ascii="Arial" w:hAnsi="Arial" w:cs="Arial"/>
          <w:sz w:val="24"/>
          <w:szCs w:val="24"/>
          <w:lang w:val="es-MX" w:eastAsia="es-ES"/>
        </w:rPr>
        <w:t>Conac</w:t>
      </w:r>
      <w:proofErr w:type="spellEnd"/>
      <w:r w:rsidR="00E01459" w:rsidRPr="00E01459">
        <w:rPr>
          <w:rFonts w:ascii="Arial" w:hAnsi="Arial" w:cs="Arial"/>
          <w:sz w:val="24"/>
          <w:szCs w:val="24"/>
          <w:lang w:val="es-MX" w:eastAsia="es-ES"/>
        </w:rPr>
        <w:t xml:space="preserve">), advirtiéndose incumplimientos por parte del Ente Público, a </w:t>
      </w:r>
      <w:r w:rsidR="00E01459" w:rsidRPr="00E01459">
        <w:rPr>
          <w:rFonts w:ascii="Arial" w:hAnsi="Arial" w:cs="Arial"/>
          <w:sz w:val="24"/>
          <w:szCs w:val="24"/>
          <w:lang w:val="es-MX" w:eastAsia="es-ES"/>
        </w:rPr>
        <w:lastRenderedPageBreak/>
        <w:t>las obligaciones que diversos preceptos de la referida Ley le imponen, acorde con lo que se enuncia a continuación:</w:t>
      </w:r>
    </w:p>
    <w:p w:rsidR="00E01459" w:rsidRDefault="00E01459" w:rsidP="00E01459">
      <w:pPr>
        <w:spacing w:after="0"/>
        <w:jc w:val="both"/>
        <w:rPr>
          <w:rFonts w:ascii="Arial" w:hAnsi="Arial" w:cs="Arial"/>
          <w:sz w:val="24"/>
          <w:szCs w:val="24"/>
          <w:lang w:val="es-MX" w:eastAsia="es-ES"/>
        </w:rPr>
      </w:pPr>
    </w:p>
    <w:p w:rsidR="00E01459" w:rsidRPr="00E01459" w:rsidRDefault="00E01459" w:rsidP="00E01459">
      <w:pPr>
        <w:spacing w:after="0"/>
        <w:jc w:val="both"/>
        <w:rPr>
          <w:rFonts w:ascii="Arial" w:hAnsi="Arial" w:cs="Arial"/>
          <w:sz w:val="24"/>
          <w:szCs w:val="24"/>
          <w:lang w:val="es-MX" w:eastAsia="es-ES"/>
        </w:rPr>
      </w:pPr>
      <w:r w:rsidRPr="00E01459">
        <w:rPr>
          <w:rFonts w:ascii="Arial" w:hAnsi="Arial" w:cs="Arial"/>
          <w:sz w:val="24"/>
          <w:szCs w:val="24"/>
          <w:lang w:val="es-MX" w:eastAsia="es-ES"/>
        </w:rPr>
        <w:t>I. Registros presupuestarios.</w:t>
      </w:r>
    </w:p>
    <w:p w:rsidR="00E01459" w:rsidRDefault="00E01459" w:rsidP="00E01459">
      <w:pPr>
        <w:spacing w:after="0"/>
        <w:jc w:val="both"/>
        <w:rPr>
          <w:rFonts w:ascii="Arial" w:hAnsi="Arial" w:cs="Arial"/>
          <w:sz w:val="24"/>
          <w:szCs w:val="24"/>
          <w:lang w:val="es-MX" w:eastAsia="es-ES"/>
        </w:rPr>
      </w:pPr>
    </w:p>
    <w:p w:rsidR="00E01459" w:rsidRPr="00E01459" w:rsidRDefault="00E01459" w:rsidP="00E01459">
      <w:pPr>
        <w:spacing w:after="0"/>
        <w:jc w:val="both"/>
        <w:rPr>
          <w:rFonts w:ascii="Arial" w:hAnsi="Arial" w:cs="Arial"/>
          <w:sz w:val="24"/>
          <w:szCs w:val="24"/>
          <w:lang w:val="es-MX" w:eastAsia="es-ES"/>
        </w:rPr>
      </w:pPr>
      <w:r>
        <w:rPr>
          <w:rFonts w:ascii="Arial" w:hAnsi="Arial" w:cs="Arial"/>
          <w:sz w:val="24"/>
          <w:szCs w:val="24"/>
          <w:lang w:val="es-MX" w:eastAsia="es-ES"/>
        </w:rPr>
        <w:t xml:space="preserve">a) </w:t>
      </w:r>
      <w:r w:rsidRPr="00E01459">
        <w:rPr>
          <w:rFonts w:ascii="Arial" w:hAnsi="Arial" w:cs="Arial"/>
          <w:sz w:val="24"/>
          <w:szCs w:val="24"/>
          <w:lang w:val="es-MX" w:eastAsia="es-ES"/>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E01459" w:rsidRPr="00E01459" w:rsidRDefault="00E01459" w:rsidP="00E01459">
      <w:pPr>
        <w:spacing w:after="0"/>
        <w:jc w:val="both"/>
        <w:rPr>
          <w:rFonts w:ascii="Arial" w:hAnsi="Arial" w:cs="Arial"/>
          <w:sz w:val="24"/>
          <w:szCs w:val="24"/>
          <w:lang w:val="es-MX" w:eastAsia="es-ES"/>
        </w:rPr>
      </w:pPr>
    </w:p>
    <w:p w:rsidR="00E01459" w:rsidRPr="00E01459" w:rsidRDefault="00E01459" w:rsidP="00E01459">
      <w:pPr>
        <w:spacing w:after="0"/>
        <w:jc w:val="both"/>
        <w:rPr>
          <w:rFonts w:ascii="Arial" w:hAnsi="Arial" w:cs="Arial"/>
          <w:sz w:val="24"/>
          <w:szCs w:val="24"/>
          <w:lang w:val="es-MX" w:eastAsia="es-ES"/>
        </w:rPr>
      </w:pPr>
      <w:r>
        <w:rPr>
          <w:rFonts w:ascii="Arial" w:hAnsi="Arial" w:cs="Arial"/>
          <w:sz w:val="24"/>
          <w:szCs w:val="24"/>
          <w:lang w:val="es-MX" w:eastAsia="es-ES"/>
        </w:rPr>
        <w:t xml:space="preserve">b) </w:t>
      </w:r>
      <w:r w:rsidRPr="00E01459">
        <w:rPr>
          <w:rFonts w:ascii="Arial" w:hAnsi="Arial" w:cs="Arial"/>
          <w:sz w:val="24"/>
          <w:szCs w:val="24"/>
          <w:lang w:val="es-MX" w:eastAsia="es-ES"/>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E01459" w:rsidRPr="00E01459" w:rsidRDefault="00E01459" w:rsidP="00E01459">
      <w:pPr>
        <w:spacing w:after="0"/>
        <w:jc w:val="both"/>
        <w:rPr>
          <w:rFonts w:ascii="Arial" w:hAnsi="Arial" w:cs="Arial"/>
          <w:sz w:val="24"/>
          <w:szCs w:val="24"/>
          <w:lang w:val="es-MX" w:eastAsia="es-ES"/>
        </w:rPr>
      </w:pPr>
    </w:p>
    <w:p w:rsidR="00E01459" w:rsidRPr="00E01459" w:rsidRDefault="00E01459" w:rsidP="00E01459">
      <w:pPr>
        <w:spacing w:after="0"/>
        <w:jc w:val="both"/>
        <w:rPr>
          <w:rFonts w:ascii="Arial" w:hAnsi="Arial" w:cs="Arial"/>
          <w:sz w:val="24"/>
          <w:szCs w:val="24"/>
          <w:lang w:val="es-MX" w:eastAsia="es-ES"/>
        </w:rPr>
      </w:pPr>
      <w:r w:rsidRPr="00E01459">
        <w:rPr>
          <w:rFonts w:ascii="Arial" w:hAnsi="Arial" w:cs="Arial"/>
          <w:sz w:val="24"/>
          <w:szCs w:val="24"/>
          <w:lang w:val="es-MX" w:eastAsia="es-ES"/>
        </w:rPr>
        <w:t>II. Registros administrativos</w:t>
      </w:r>
    </w:p>
    <w:p w:rsidR="00E01459" w:rsidRDefault="00E01459" w:rsidP="00E01459">
      <w:pPr>
        <w:spacing w:after="0"/>
        <w:jc w:val="both"/>
        <w:rPr>
          <w:rFonts w:ascii="Arial" w:hAnsi="Arial" w:cs="Arial"/>
          <w:sz w:val="24"/>
          <w:szCs w:val="24"/>
          <w:lang w:val="es-MX" w:eastAsia="es-ES"/>
        </w:rPr>
      </w:pPr>
    </w:p>
    <w:p w:rsidR="00E01459" w:rsidRDefault="00E01459" w:rsidP="00E01459">
      <w:pPr>
        <w:spacing w:after="0"/>
        <w:jc w:val="both"/>
        <w:rPr>
          <w:rFonts w:ascii="Arial" w:hAnsi="Arial" w:cs="Arial"/>
          <w:sz w:val="24"/>
          <w:szCs w:val="24"/>
          <w:lang w:val="es-MX" w:eastAsia="es-ES"/>
        </w:rPr>
      </w:pPr>
      <w:r>
        <w:rPr>
          <w:rFonts w:ascii="Arial" w:hAnsi="Arial" w:cs="Arial"/>
          <w:sz w:val="24"/>
          <w:szCs w:val="24"/>
          <w:lang w:val="es-MX" w:eastAsia="es-ES"/>
        </w:rPr>
        <w:t xml:space="preserve">a) </w:t>
      </w:r>
      <w:r w:rsidRPr="00E01459">
        <w:rPr>
          <w:rFonts w:ascii="Arial" w:hAnsi="Arial" w:cs="Arial"/>
          <w:sz w:val="24"/>
          <w:szCs w:val="24"/>
          <w:lang w:val="es-MX" w:eastAsia="es-ES"/>
        </w:rPr>
        <w:t>Respaldar la contabilización de las operaciones presupuestarias y contables con la documentación original que compruebe y justifique los registros que se efectúen (artículo 42).</w:t>
      </w:r>
    </w:p>
    <w:p w:rsidR="00E01459" w:rsidRDefault="00E01459" w:rsidP="00E01459">
      <w:pPr>
        <w:spacing w:after="0"/>
        <w:jc w:val="both"/>
        <w:rPr>
          <w:rFonts w:ascii="Arial" w:hAnsi="Arial" w:cs="Arial"/>
          <w:sz w:val="24"/>
          <w:szCs w:val="24"/>
          <w:lang w:val="es-MX" w:eastAsia="es-ES"/>
        </w:rPr>
      </w:pPr>
    </w:p>
    <w:p w:rsidR="00E01459" w:rsidRPr="00E01459" w:rsidRDefault="00E01459" w:rsidP="00E01459">
      <w:pPr>
        <w:spacing w:after="0"/>
        <w:jc w:val="both"/>
        <w:rPr>
          <w:rFonts w:ascii="Arial" w:hAnsi="Arial" w:cs="Arial"/>
          <w:b/>
          <w:sz w:val="24"/>
          <w:szCs w:val="24"/>
          <w:lang w:val="es-MX" w:eastAsia="es-ES"/>
        </w:rPr>
      </w:pPr>
      <w:r w:rsidRPr="00E01459">
        <w:rPr>
          <w:rFonts w:ascii="Arial" w:hAnsi="Arial" w:cs="Arial"/>
          <w:b/>
          <w:sz w:val="24"/>
          <w:szCs w:val="24"/>
          <w:lang w:val="es-MX" w:eastAsia="es-ES"/>
        </w:rPr>
        <w:t>Análisis de la Auditoría Superior del Estado</w:t>
      </w:r>
    </w:p>
    <w:p w:rsidR="00E01459" w:rsidRDefault="00E01459" w:rsidP="00E01459">
      <w:pPr>
        <w:spacing w:after="0"/>
        <w:jc w:val="both"/>
        <w:rPr>
          <w:rFonts w:ascii="Arial" w:hAnsi="Arial" w:cs="Arial"/>
          <w:sz w:val="24"/>
          <w:szCs w:val="24"/>
          <w:lang w:val="es-MX" w:eastAsia="es-ES"/>
        </w:rPr>
      </w:pPr>
    </w:p>
    <w:p w:rsidR="00E01459" w:rsidRPr="00E01459" w:rsidRDefault="00E01459" w:rsidP="00E01459">
      <w:pPr>
        <w:spacing w:after="0"/>
        <w:jc w:val="both"/>
        <w:rPr>
          <w:rFonts w:ascii="Arial" w:hAnsi="Arial" w:cs="Arial"/>
          <w:sz w:val="24"/>
          <w:szCs w:val="24"/>
          <w:lang w:val="es-MX" w:eastAsia="es-ES"/>
        </w:rPr>
      </w:pPr>
      <w:r>
        <w:rPr>
          <w:rFonts w:ascii="Arial" w:hAnsi="Arial" w:cs="Arial"/>
          <w:sz w:val="24"/>
          <w:szCs w:val="24"/>
          <w:lang w:val="es-MX" w:eastAsia="es-ES"/>
        </w:rPr>
        <w:t>La Auditoría</w:t>
      </w:r>
      <w:r w:rsidRPr="00E01459">
        <w:rPr>
          <w:rFonts w:ascii="Arial" w:hAnsi="Arial" w:cs="Arial"/>
          <w:sz w:val="24"/>
          <w:szCs w:val="24"/>
          <w:lang w:val="es-MX" w:eastAsia="es-ES"/>
        </w:rPr>
        <w:t xml:space="preserve"> analizó la respuesta y documentación proporcionada por el Ente Público,</w:t>
      </w:r>
      <w:r>
        <w:rPr>
          <w:rFonts w:ascii="Arial" w:hAnsi="Arial" w:cs="Arial"/>
          <w:sz w:val="24"/>
          <w:szCs w:val="24"/>
          <w:lang w:val="es-MX" w:eastAsia="es-ES"/>
        </w:rPr>
        <w:t xml:space="preserve"> y determinó que esta observación se solventó</w:t>
      </w:r>
      <w:r w:rsidRPr="00E01459">
        <w:rPr>
          <w:rFonts w:ascii="Arial" w:hAnsi="Arial" w:cs="Arial"/>
          <w:sz w:val="24"/>
          <w:szCs w:val="24"/>
          <w:lang w:val="es-MX" w:eastAsia="es-ES"/>
        </w:rPr>
        <w:t xml:space="preserve"> parcialmente, </w:t>
      </w:r>
      <w:r>
        <w:rPr>
          <w:rFonts w:ascii="Arial" w:hAnsi="Arial" w:cs="Arial"/>
          <w:sz w:val="24"/>
          <w:szCs w:val="24"/>
          <w:lang w:val="es-MX" w:eastAsia="es-ES"/>
        </w:rPr>
        <w:t>debido a que a los</w:t>
      </w:r>
      <w:r w:rsidRPr="00E01459">
        <w:rPr>
          <w:rFonts w:ascii="Arial" w:hAnsi="Arial" w:cs="Arial"/>
          <w:sz w:val="24"/>
          <w:szCs w:val="24"/>
          <w:lang w:val="es-MX" w:eastAsia="es-ES"/>
        </w:rPr>
        <w:t xml:space="preserve"> re</w:t>
      </w:r>
      <w:r>
        <w:rPr>
          <w:rFonts w:ascii="Arial" w:hAnsi="Arial" w:cs="Arial"/>
          <w:sz w:val="24"/>
          <w:szCs w:val="24"/>
          <w:lang w:val="es-MX" w:eastAsia="es-ES"/>
        </w:rPr>
        <w:t>gistros presupuestarios se anexó el</w:t>
      </w:r>
      <w:r w:rsidRPr="00E01459">
        <w:rPr>
          <w:rFonts w:ascii="Arial" w:hAnsi="Arial" w:cs="Arial"/>
          <w:sz w:val="24"/>
          <w:szCs w:val="24"/>
          <w:lang w:val="es-MX" w:eastAsia="es-ES"/>
        </w:rPr>
        <w:t xml:space="preserve"> presupuesto del gasto del ejercici</w:t>
      </w:r>
      <w:r>
        <w:rPr>
          <w:rFonts w:ascii="Arial" w:hAnsi="Arial" w:cs="Arial"/>
          <w:sz w:val="24"/>
          <w:szCs w:val="24"/>
          <w:lang w:val="es-MX" w:eastAsia="es-ES"/>
        </w:rPr>
        <w:t>o 2015 sin embargo durante la auditoría no se mostró la</w:t>
      </w:r>
      <w:r w:rsidRPr="00E01459">
        <w:rPr>
          <w:rFonts w:ascii="Arial" w:hAnsi="Arial" w:cs="Arial"/>
          <w:sz w:val="24"/>
          <w:szCs w:val="24"/>
          <w:lang w:val="es-MX" w:eastAsia="es-ES"/>
        </w:rPr>
        <w:t xml:space="preserve"> evidencia de los registros automáticos de los momentos contables correspondientes de los </w:t>
      </w:r>
      <w:r w:rsidRPr="00E01459">
        <w:rPr>
          <w:rFonts w:ascii="Arial" w:hAnsi="Arial" w:cs="Arial"/>
          <w:sz w:val="24"/>
          <w:szCs w:val="24"/>
          <w:lang w:val="es-MX" w:eastAsia="es-ES"/>
        </w:rPr>
        <w:lastRenderedPageBreak/>
        <w:t>procesos administrativos; conforme los regis</w:t>
      </w:r>
      <w:r w:rsidR="002940A2">
        <w:rPr>
          <w:rFonts w:ascii="Arial" w:hAnsi="Arial" w:cs="Arial"/>
          <w:sz w:val="24"/>
          <w:szCs w:val="24"/>
          <w:lang w:val="es-MX" w:eastAsia="es-ES"/>
        </w:rPr>
        <w:t>tros administrativos se mencionó</w:t>
      </w:r>
      <w:r w:rsidRPr="00E01459">
        <w:rPr>
          <w:rFonts w:ascii="Arial" w:hAnsi="Arial" w:cs="Arial"/>
          <w:sz w:val="24"/>
          <w:szCs w:val="24"/>
          <w:lang w:val="es-MX" w:eastAsia="es-ES"/>
        </w:rPr>
        <w:t xml:space="preserve"> </w:t>
      </w:r>
      <w:r w:rsidR="002940A2">
        <w:rPr>
          <w:rFonts w:ascii="Arial" w:hAnsi="Arial" w:cs="Arial"/>
          <w:sz w:val="24"/>
          <w:szCs w:val="24"/>
          <w:lang w:val="es-MX" w:eastAsia="es-ES"/>
        </w:rPr>
        <w:t xml:space="preserve">que </w:t>
      </w:r>
      <w:r w:rsidRPr="00E01459">
        <w:rPr>
          <w:rFonts w:ascii="Arial" w:hAnsi="Arial" w:cs="Arial"/>
          <w:sz w:val="24"/>
          <w:szCs w:val="24"/>
          <w:lang w:val="es-MX" w:eastAsia="es-ES"/>
        </w:rPr>
        <w:t>se respalda</w:t>
      </w:r>
      <w:r w:rsidR="002940A2">
        <w:rPr>
          <w:rFonts w:ascii="Arial" w:hAnsi="Arial" w:cs="Arial"/>
          <w:sz w:val="24"/>
          <w:szCs w:val="24"/>
          <w:lang w:val="es-MX" w:eastAsia="es-ES"/>
        </w:rPr>
        <w:t>ba</w:t>
      </w:r>
      <w:r w:rsidRPr="00E01459">
        <w:rPr>
          <w:rFonts w:ascii="Arial" w:hAnsi="Arial" w:cs="Arial"/>
          <w:sz w:val="24"/>
          <w:szCs w:val="24"/>
          <w:lang w:val="es-MX" w:eastAsia="es-ES"/>
        </w:rPr>
        <w:t xml:space="preserve"> cada movimiento con su</w:t>
      </w:r>
      <w:r w:rsidR="002940A2">
        <w:rPr>
          <w:rFonts w:ascii="Arial" w:hAnsi="Arial" w:cs="Arial"/>
          <w:sz w:val="24"/>
          <w:szCs w:val="24"/>
          <w:lang w:val="es-MX" w:eastAsia="es-ES"/>
        </w:rPr>
        <w:t xml:space="preserve"> documentación comprobatoria, la Auditoría concluyó que</w:t>
      </w:r>
      <w:r w:rsidRPr="00E01459">
        <w:rPr>
          <w:rFonts w:ascii="Arial" w:hAnsi="Arial" w:cs="Arial"/>
          <w:sz w:val="24"/>
          <w:szCs w:val="24"/>
          <w:lang w:val="es-MX" w:eastAsia="es-ES"/>
        </w:rPr>
        <w:t xml:space="preserve"> derivado de la información de los regist</w:t>
      </w:r>
      <w:r w:rsidR="002940A2">
        <w:rPr>
          <w:rFonts w:ascii="Arial" w:hAnsi="Arial" w:cs="Arial"/>
          <w:sz w:val="24"/>
          <w:szCs w:val="24"/>
          <w:lang w:val="es-MX" w:eastAsia="es-ES"/>
        </w:rPr>
        <w:t>ros presupuestarios se encontraban</w:t>
      </w:r>
      <w:r w:rsidRPr="00E01459">
        <w:rPr>
          <w:rFonts w:ascii="Arial" w:hAnsi="Arial" w:cs="Arial"/>
          <w:sz w:val="24"/>
          <w:szCs w:val="24"/>
          <w:lang w:val="es-MX" w:eastAsia="es-ES"/>
        </w:rPr>
        <w:t xml:space="preserve"> en proceso de implementación de medidas correctivas, toda vez que no</w:t>
      </w:r>
      <w:r w:rsidR="002940A2">
        <w:rPr>
          <w:rFonts w:ascii="Arial" w:hAnsi="Arial" w:cs="Arial"/>
          <w:sz w:val="24"/>
          <w:szCs w:val="24"/>
          <w:lang w:val="es-MX" w:eastAsia="es-ES"/>
        </w:rPr>
        <w:t xml:space="preserve"> se</w:t>
      </w:r>
      <w:r w:rsidRPr="00E01459">
        <w:rPr>
          <w:rFonts w:ascii="Arial" w:hAnsi="Arial" w:cs="Arial"/>
          <w:sz w:val="24"/>
          <w:szCs w:val="24"/>
          <w:lang w:val="es-MX" w:eastAsia="es-ES"/>
        </w:rPr>
        <w:t xml:space="preserve"> ha</w:t>
      </w:r>
      <w:r w:rsidR="002940A2">
        <w:rPr>
          <w:rFonts w:ascii="Arial" w:hAnsi="Arial" w:cs="Arial"/>
          <w:sz w:val="24"/>
          <w:szCs w:val="24"/>
          <w:lang w:val="es-MX" w:eastAsia="es-ES"/>
        </w:rPr>
        <w:t>bía</w:t>
      </w:r>
      <w:r w:rsidRPr="00E01459">
        <w:rPr>
          <w:rFonts w:ascii="Arial" w:hAnsi="Arial" w:cs="Arial"/>
          <w:sz w:val="24"/>
          <w:szCs w:val="24"/>
          <w:lang w:val="es-MX" w:eastAsia="es-ES"/>
        </w:rPr>
        <w:t xml:space="preserve"> cumplido con la totalidad de las disposiciones señaladas en la Ley General de Contabilidad Gubernamental y la normativa emitida por el Consejo Nacional de Armonización Contable.</w:t>
      </w:r>
    </w:p>
    <w:p w:rsidR="00E01459" w:rsidRPr="00E01459" w:rsidRDefault="00E01459" w:rsidP="00E01459">
      <w:pPr>
        <w:spacing w:after="0"/>
        <w:jc w:val="both"/>
        <w:rPr>
          <w:rFonts w:ascii="Arial" w:hAnsi="Arial" w:cs="Arial"/>
          <w:b/>
          <w:sz w:val="24"/>
          <w:szCs w:val="24"/>
          <w:lang w:val="es-MX" w:eastAsia="es-ES"/>
        </w:rPr>
      </w:pPr>
    </w:p>
    <w:p w:rsidR="00E01459" w:rsidRPr="00E01459" w:rsidRDefault="00E01459" w:rsidP="00E01459">
      <w:pPr>
        <w:spacing w:after="0"/>
        <w:jc w:val="both"/>
        <w:rPr>
          <w:rFonts w:ascii="Arial" w:hAnsi="Arial" w:cs="Arial"/>
          <w:b/>
          <w:sz w:val="24"/>
          <w:szCs w:val="24"/>
          <w:lang w:val="es-MX" w:eastAsia="es-ES"/>
        </w:rPr>
      </w:pPr>
      <w:r w:rsidRPr="00E01459">
        <w:rPr>
          <w:rFonts w:ascii="Arial" w:hAnsi="Arial" w:cs="Arial"/>
          <w:b/>
          <w:sz w:val="24"/>
          <w:szCs w:val="24"/>
          <w:lang w:val="es-MX" w:eastAsia="es-ES"/>
        </w:rPr>
        <w:t>Acción(es) o recomendación(es) emitida(s)</w:t>
      </w:r>
    </w:p>
    <w:p w:rsidR="00E01459" w:rsidRPr="00E01459" w:rsidRDefault="00E01459" w:rsidP="00E01459">
      <w:pPr>
        <w:spacing w:after="0"/>
        <w:jc w:val="both"/>
        <w:rPr>
          <w:rFonts w:ascii="Arial" w:hAnsi="Arial" w:cs="Arial"/>
          <w:i/>
          <w:sz w:val="24"/>
          <w:szCs w:val="24"/>
          <w:lang w:val="es-MX" w:eastAsia="es-ES"/>
        </w:rPr>
      </w:pPr>
      <w:r w:rsidRPr="00E01459">
        <w:rPr>
          <w:rFonts w:ascii="Arial" w:hAnsi="Arial" w:cs="Arial"/>
          <w:i/>
          <w:sz w:val="24"/>
          <w:szCs w:val="24"/>
          <w:lang w:val="es-MX" w:eastAsia="es-ES"/>
        </w:rPr>
        <w:t>Recomendaciones en Relación a la Gestión o Control Interno.</w:t>
      </w:r>
    </w:p>
    <w:p w:rsidR="00E01459" w:rsidRDefault="00E01459" w:rsidP="00E01459">
      <w:pPr>
        <w:spacing w:after="0"/>
        <w:jc w:val="both"/>
        <w:rPr>
          <w:rFonts w:ascii="Arial" w:hAnsi="Arial" w:cs="Arial"/>
          <w:sz w:val="24"/>
          <w:szCs w:val="24"/>
          <w:lang w:val="es-MX" w:eastAsia="es-ES"/>
        </w:rPr>
      </w:pPr>
    </w:p>
    <w:p w:rsidR="00E01459" w:rsidRPr="00E01459" w:rsidRDefault="002940A2" w:rsidP="00E01459">
      <w:pPr>
        <w:spacing w:after="0"/>
        <w:jc w:val="both"/>
        <w:rPr>
          <w:rFonts w:ascii="Arial" w:hAnsi="Arial" w:cs="Arial"/>
          <w:sz w:val="24"/>
          <w:szCs w:val="24"/>
          <w:lang w:val="es-MX" w:eastAsia="es-ES"/>
        </w:rPr>
      </w:pPr>
      <w:r>
        <w:rPr>
          <w:rFonts w:ascii="Arial" w:hAnsi="Arial" w:cs="Arial"/>
          <w:sz w:val="24"/>
          <w:szCs w:val="24"/>
          <w:lang w:val="es-MX" w:eastAsia="es-ES"/>
        </w:rPr>
        <w:t xml:space="preserve">Adicionalmente la Auditoría recomendó concluir </w:t>
      </w:r>
      <w:r w:rsidR="00E01459" w:rsidRPr="00E01459">
        <w:rPr>
          <w:rFonts w:ascii="Arial" w:hAnsi="Arial" w:cs="Arial"/>
          <w:sz w:val="24"/>
          <w:szCs w:val="24"/>
          <w:lang w:val="es-MX" w:eastAsia="es-ES"/>
        </w:rPr>
        <w:t>con el proceso de la implementación de las disposiciones señaladas en la Ley General de Contabilidad Gubernamental y la normativa emitida por el Consejo Nacional de Armonización Contable.</w:t>
      </w:r>
    </w:p>
    <w:p w:rsidR="00E01459" w:rsidRDefault="00E01459" w:rsidP="00E01459">
      <w:pPr>
        <w:spacing w:after="0"/>
        <w:jc w:val="both"/>
        <w:rPr>
          <w:rFonts w:ascii="Arial" w:hAnsi="Arial" w:cs="Arial"/>
          <w:sz w:val="24"/>
          <w:szCs w:val="24"/>
          <w:lang w:val="es-MX" w:eastAsia="es-ES"/>
        </w:rPr>
      </w:pPr>
    </w:p>
    <w:p w:rsidR="002940A2" w:rsidRPr="002940A2" w:rsidRDefault="002940A2" w:rsidP="00E01459">
      <w:pPr>
        <w:spacing w:after="0"/>
        <w:jc w:val="both"/>
        <w:rPr>
          <w:rFonts w:ascii="Arial" w:hAnsi="Arial" w:cs="Arial"/>
          <w:b/>
          <w:sz w:val="24"/>
          <w:szCs w:val="24"/>
          <w:u w:val="single"/>
          <w:lang w:val="es-MX" w:eastAsia="es-ES"/>
        </w:rPr>
      </w:pPr>
      <w:r w:rsidRPr="002940A2">
        <w:rPr>
          <w:rFonts w:ascii="Arial" w:hAnsi="Arial" w:cs="Arial"/>
          <w:b/>
          <w:sz w:val="24"/>
          <w:szCs w:val="24"/>
          <w:u w:val="single"/>
          <w:lang w:val="es-MX" w:eastAsia="es-ES"/>
        </w:rPr>
        <w:t>Actas</w:t>
      </w:r>
    </w:p>
    <w:p w:rsidR="00AF5986" w:rsidRDefault="00AF5986" w:rsidP="00E01459">
      <w:pPr>
        <w:spacing w:after="0"/>
        <w:jc w:val="both"/>
        <w:rPr>
          <w:rFonts w:ascii="Arial" w:hAnsi="Arial" w:cs="Arial"/>
          <w:b/>
          <w:sz w:val="24"/>
          <w:szCs w:val="24"/>
          <w:u w:val="single"/>
          <w:lang w:val="es-MX" w:eastAsia="es-ES"/>
        </w:rPr>
      </w:pPr>
    </w:p>
    <w:p w:rsidR="002940A2" w:rsidRPr="002940A2" w:rsidRDefault="002940A2" w:rsidP="002940A2">
      <w:pPr>
        <w:spacing w:after="0"/>
        <w:jc w:val="both"/>
        <w:rPr>
          <w:rFonts w:ascii="Arial" w:hAnsi="Arial" w:cs="Arial"/>
          <w:sz w:val="24"/>
          <w:szCs w:val="24"/>
          <w:lang w:val="es-MX" w:eastAsia="es-ES"/>
        </w:rPr>
      </w:pPr>
      <w:r>
        <w:rPr>
          <w:rFonts w:ascii="Arial" w:hAnsi="Arial" w:cs="Arial"/>
          <w:sz w:val="24"/>
          <w:szCs w:val="24"/>
          <w:lang w:val="es-MX" w:eastAsia="es-ES"/>
        </w:rPr>
        <w:t xml:space="preserve">2. </w:t>
      </w:r>
      <w:r w:rsidRPr="002940A2">
        <w:rPr>
          <w:rFonts w:ascii="Arial" w:hAnsi="Arial" w:cs="Arial"/>
          <w:sz w:val="24"/>
          <w:szCs w:val="24"/>
          <w:lang w:val="es-MX" w:eastAsia="es-ES"/>
        </w:rPr>
        <w:t>Se observó que el Comité Técnico del Fideicomiso sesionó sólo en una ocasión durante el ejercicio 2015, incumpliendo la obligación establecida en el convenio modificatorio al contrato del Fideicomiso del 13 de octubre de 2010, que menciona en la cláusula quinta fracción IV, Obligaciones del Comité Técnico, lo siguiente:</w:t>
      </w:r>
    </w:p>
    <w:p w:rsidR="002940A2" w:rsidRDefault="002940A2" w:rsidP="002940A2">
      <w:pPr>
        <w:spacing w:after="0"/>
        <w:jc w:val="both"/>
        <w:rPr>
          <w:rFonts w:ascii="Arial" w:hAnsi="Arial" w:cs="Arial"/>
          <w:sz w:val="24"/>
          <w:szCs w:val="24"/>
          <w:lang w:val="es-MX" w:eastAsia="es-ES"/>
        </w:rPr>
      </w:pPr>
    </w:p>
    <w:p w:rsidR="002940A2" w:rsidRPr="002940A2" w:rsidRDefault="002940A2" w:rsidP="002940A2">
      <w:pPr>
        <w:spacing w:after="0"/>
        <w:jc w:val="both"/>
        <w:rPr>
          <w:rFonts w:ascii="Arial" w:hAnsi="Arial" w:cs="Arial"/>
          <w:sz w:val="24"/>
          <w:szCs w:val="24"/>
          <w:lang w:val="es-MX" w:eastAsia="es-ES"/>
        </w:rPr>
      </w:pPr>
      <w:r w:rsidRPr="002940A2">
        <w:rPr>
          <w:rFonts w:ascii="Arial" w:hAnsi="Arial" w:cs="Arial"/>
          <w:sz w:val="24"/>
          <w:szCs w:val="24"/>
          <w:lang w:val="es-MX" w:eastAsia="es-ES"/>
        </w:rPr>
        <w:t>"a. Reunirse por lo menos una vez al mes, y también podrá ser convocada la Reunión por LA FIDUCIARIA"</w:t>
      </w:r>
    </w:p>
    <w:p w:rsidR="002940A2" w:rsidRDefault="002940A2" w:rsidP="002940A2">
      <w:pPr>
        <w:spacing w:after="0"/>
        <w:jc w:val="both"/>
        <w:rPr>
          <w:rFonts w:ascii="Arial" w:hAnsi="Arial" w:cs="Arial"/>
          <w:sz w:val="24"/>
          <w:szCs w:val="24"/>
          <w:lang w:val="es-MX" w:eastAsia="es-ES"/>
        </w:rPr>
      </w:pPr>
    </w:p>
    <w:p w:rsidR="002940A2" w:rsidRDefault="002940A2" w:rsidP="002940A2">
      <w:pPr>
        <w:spacing w:after="0"/>
        <w:jc w:val="both"/>
        <w:rPr>
          <w:rFonts w:ascii="Arial" w:hAnsi="Arial" w:cs="Arial"/>
          <w:sz w:val="24"/>
          <w:szCs w:val="24"/>
          <w:lang w:val="es-MX" w:eastAsia="es-ES"/>
        </w:rPr>
      </w:pPr>
      <w:r w:rsidRPr="002940A2">
        <w:rPr>
          <w:rFonts w:ascii="Arial" w:hAnsi="Arial" w:cs="Arial"/>
          <w:sz w:val="24"/>
          <w:szCs w:val="24"/>
          <w:lang w:val="es-MX" w:eastAsia="es-ES"/>
        </w:rPr>
        <w:t>Es importante precisar que el convenio modificatorio establece en la cláusula quinta, fracción VI, inciso a) "le corresponde al Secretario Técnico por instrucción del Presidente convocar a los demás miembros del Comité a las sesiones ordinarias y extraordinarias según proceda."</w:t>
      </w:r>
    </w:p>
    <w:p w:rsidR="002940A2" w:rsidRDefault="002940A2" w:rsidP="002940A2">
      <w:pPr>
        <w:spacing w:after="0"/>
        <w:jc w:val="both"/>
        <w:rPr>
          <w:rFonts w:ascii="Arial" w:hAnsi="Arial" w:cs="Arial"/>
          <w:sz w:val="24"/>
          <w:szCs w:val="24"/>
          <w:lang w:val="es-MX" w:eastAsia="es-ES"/>
        </w:rPr>
      </w:pPr>
    </w:p>
    <w:p w:rsidR="002940A2" w:rsidRDefault="002940A2" w:rsidP="002940A2">
      <w:pPr>
        <w:spacing w:after="0"/>
        <w:jc w:val="both"/>
        <w:rPr>
          <w:rFonts w:ascii="Arial" w:hAnsi="Arial" w:cs="Arial"/>
          <w:b/>
          <w:sz w:val="24"/>
          <w:szCs w:val="24"/>
          <w:lang w:val="es-MX" w:eastAsia="es-ES"/>
        </w:rPr>
      </w:pPr>
    </w:p>
    <w:p w:rsidR="002940A2" w:rsidRPr="002940A2" w:rsidRDefault="002940A2" w:rsidP="002940A2">
      <w:pPr>
        <w:spacing w:after="0"/>
        <w:jc w:val="both"/>
        <w:rPr>
          <w:rFonts w:ascii="Arial" w:hAnsi="Arial" w:cs="Arial"/>
          <w:b/>
          <w:sz w:val="24"/>
          <w:szCs w:val="24"/>
          <w:lang w:val="es-MX" w:eastAsia="es-ES"/>
        </w:rPr>
      </w:pPr>
      <w:r w:rsidRPr="002940A2">
        <w:rPr>
          <w:rFonts w:ascii="Arial" w:hAnsi="Arial" w:cs="Arial"/>
          <w:b/>
          <w:sz w:val="24"/>
          <w:szCs w:val="24"/>
          <w:lang w:val="es-MX" w:eastAsia="es-ES"/>
        </w:rPr>
        <w:lastRenderedPageBreak/>
        <w:t>Acción(es) o recomendación(es) emitida(s)</w:t>
      </w:r>
    </w:p>
    <w:p w:rsidR="002940A2" w:rsidRDefault="002940A2" w:rsidP="002940A2">
      <w:pPr>
        <w:spacing w:after="0"/>
        <w:jc w:val="both"/>
        <w:rPr>
          <w:rFonts w:ascii="Arial" w:hAnsi="Arial" w:cs="Arial"/>
          <w:i/>
          <w:sz w:val="24"/>
          <w:szCs w:val="24"/>
          <w:lang w:val="es-MX" w:eastAsia="es-ES"/>
        </w:rPr>
      </w:pPr>
      <w:r w:rsidRPr="002940A2">
        <w:rPr>
          <w:rFonts w:ascii="Arial" w:hAnsi="Arial" w:cs="Arial"/>
          <w:i/>
          <w:sz w:val="24"/>
          <w:szCs w:val="24"/>
          <w:lang w:val="es-MX" w:eastAsia="es-ES"/>
        </w:rPr>
        <w:t>Promoción de Fincamiento de Responsabilidad Administrativa.</w:t>
      </w:r>
    </w:p>
    <w:p w:rsidR="002940A2" w:rsidRDefault="002940A2" w:rsidP="002940A2">
      <w:pPr>
        <w:spacing w:after="0"/>
        <w:jc w:val="both"/>
        <w:rPr>
          <w:rFonts w:ascii="Arial" w:hAnsi="Arial" w:cs="Arial"/>
          <w:i/>
          <w:sz w:val="24"/>
          <w:szCs w:val="24"/>
          <w:lang w:val="es-MX" w:eastAsia="es-ES"/>
        </w:rPr>
      </w:pPr>
    </w:p>
    <w:p w:rsidR="00AF5986" w:rsidRDefault="002940A2" w:rsidP="002940A2">
      <w:pPr>
        <w:spacing w:after="0"/>
        <w:jc w:val="both"/>
        <w:rPr>
          <w:rFonts w:ascii="Arial" w:hAnsi="Arial" w:cs="Arial"/>
          <w:sz w:val="24"/>
          <w:szCs w:val="24"/>
          <w:lang w:val="es-MX" w:eastAsia="es-ES"/>
        </w:rPr>
      </w:pPr>
      <w:r>
        <w:rPr>
          <w:rFonts w:ascii="Arial" w:hAnsi="Arial" w:cs="Arial"/>
          <w:sz w:val="24"/>
          <w:szCs w:val="24"/>
          <w:lang w:val="es-MX" w:eastAsia="es-ES"/>
        </w:rPr>
        <w:t xml:space="preserve">3. </w:t>
      </w:r>
      <w:r w:rsidRPr="002940A2">
        <w:rPr>
          <w:rFonts w:ascii="Arial" w:hAnsi="Arial" w:cs="Arial"/>
          <w:sz w:val="24"/>
          <w:szCs w:val="24"/>
          <w:lang w:val="es-MX" w:eastAsia="es-ES"/>
        </w:rPr>
        <w:t>El Fideicomiso ejerció su presupuesto durante cuatro meses: de enero a abril de 2015 sin aprobación, debido a que fue autorizado por el Comité Técnico en el acta de sesión ordinaria 55 del 30 de abril de 2015, contraviniendo los artículos 38 y 154 párrafo segundo de la Ley de Administración Financiera para el Estado de Nuevo León.</w:t>
      </w:r>
    </w:p>
    <w:p w:rsidR="002940A2" w:rsidRDefault="002940A2" w:rsidP="002940A2">
      <w:pPr>
        <w:spacing w:after="0"/>
        <w:jc w:val="both"/>
        <w:rPr>
          <w:rFonts w:ascii="Arial" w:hAnsi="Arial" w:cs="Arial"/>
          <w:sz w:val="24"/>
          <w:szCs w:val="24"/>
          <w:lang w:val="es-MX" w:eastAsia="es-ES"/>
        </w:rPr>
      </w:pPr>
    </w:p>
    <w:p w:rsidR="002940A2" w:rsidRPr="002940A2" w:rsidRDefault="002940A2" w:rsidP="002940A2">
      <w:pPr>
        <w:spacing w:after="0"/>
        <w:jc w:val="both"/>
        <w:rPr>
          <w:rFonts w:ascii="Arial" w:hAnsi="Arial" w:cs="Arial"/>
          <w:b/>
          <w:sz w:val="24"/>
          <w:szCs w:val="24"/>
          <w:lang w:val="es-MX" w:eastAsia="es-ES"/>
        </w:rPr>
      </w:pPr>
      <w:r w:rsidRPr="002940A2">
        <w:rPr>
          <w:rFonts w:ascii="Arial" w:hAnsi="Arial" w:cs="Arial"/>
          <w:b/>
          <w:sz w:val="24"/>
          <w:szCs w:val="24"/>
          <w:lang w:val="es-MX" w:eastAsia="es-ES"/>
        </w:rPr>
        <w:t>Acción(es) o recomendación(es) emitida(s)</w:t>
      </w:r>
    </w:p>
    <w:p w:rsidR="002940A2" w:rsidRDefault="002940A2" w:rsidP="002940A2">
      <w:pPr>
        <w:spacing w:after="0"/>
        <w:jc w:val="both"/>
        <w:rPr>
          <w:rFonts w:ascii="Arial" w:hAnsi="Arial" w:cs="Arial"/>
          <w:i/>
          <w:sz w:val="24"/>
          <w:szCs w:val="24"/>
          <w:lang w:val="es-MX" w:eastAsia="es-ES"/>
        </w:rPr>
      </w:pPr>
      <w:r w:rsidRPr="002940A2">
        <w:rPr>
          <w:rFonts w:ascii="Arial" w:hAnsi="Arial" w:cs="Arial"/>
          <w:i/>
          <w:sz w:val="24"/>
          <w:szCs w:val="24"/>
          <w:lang w:val="es-MX" w:eastAsia="es-ES"/>
        </w:rPr>
        <w:t>Promoción de Fincamiento de Responsabilidad Administrativa.</w:t>
      </w:r>
    </w:p>
    <w:p w:rsidR="002940A2" w:rsidRDefault="002940A2" w:rsidP="002940A2">
      <w:pPr>
        <w:spacing w:after="0"/>
        <w:jc w:val="both"/>
        <w:rPr>
          <w:rFonts w:ascii="Arial" w:hAnsi="Arial" w:cs="Arial"/>
          <w:i/>
          <w:sz w:val="24"/>
          <w:szCs w:val="24"/>
          <w:lang w:val="es-MX" w:eastAsia="es-ES"/>
        </w:rPr>
      </w:pPr>
    </w:p>
    <w:p w:rsidR="002940A2" w:rsidRPr="002940A2" w:rsidRDefault="002940A2" w:rsidP="002940A2">
      <w:pPr>
        <w:spacing w:after="0"/>
        <w:jc w:val="both"/>
        <w:rPr>
          <w:rFonts w:ascii="Arial" w:hAnsi="Arial" w:cs="Arial"/>
          <w:sz w:val="24"/>
          <w:szCs w:val="24"/>
          <w:lang w:val="es-MX" w:eastAsia="es-ES"/>
        </w:rPr>
      </w:pPr>
      <w:r>
        <w:rPr>
          <w:rFonts w:ascii="Arial" w:hAnsi="Arial" w:cs="Arial"/>
          <w:sz w:val="24"/>
          <w:szCs w:val="24"/>
          <w:lang w:val="es-MX" w:eastAsia="es-ES"/>
        </w:rPr>
        <w:t xml:space="preserve">4. </w:t>
      </w:r>
      <w:r w:rsidRPr="002940A2">
        <w:rPr>
          <w:rFonts w:ascii="Arial" w:hAnsi="Arial" w:cs="Arial"/>
          <w:sz w:val="24"/>
          <w:szCs w:val="24"/>
          <w:lang w:val="es-MX" w:eastAsia="es-ES"/>
        </w:rPr>
        <w:t>El Fideicomiso no ha formalizado los beneficios y obligaciones con las dependencias beneficiadas por los préstamos que realizan, incumpliendo con lo establecido en el Acta de sesión ordinaria del Comité Técnico del Fideicomiso número 55, que menciona lo siguiente:</w:t>
      </w:r>
    </w:p>
    <w:p w:rsidR="002940A2" w:rsidRDefault="002940A2" w:rsidP="002940A2">
      <w:pPr>
        <w:spacing w:after="0"/>
        <w:jc w:val="both"/>
        <w:rPr>
          <w:rFonts w:ascii="Arial" w:hAnsi="Arial" w:cs="Arial"/>
          <w:sz w:val="24"/>
          <w:szCs w:val="24"/>
          <w:lang w:val="es-MX" w:eastAsia="es-ES"/>
        </w:rPr>
      </w:pPr>
    </w:p>
    <w:p w:rsidR="002940A2" w:rsidRPr="002940A2" w:rsidRDefault="002940A2" w:rsidP="002940A2">
      <w:pPr>
        <w:spacing w:after="0"/>
        <w:jc w:val="both"/>
        <w:rPr>
          <w:rFonts w:ascii="Arial" w:hAnsi="Arial" w:cs="Arial"/>
          <w:sz w:val="24"/>
          <w:szCs w:val="24"/>
          <w:lang w:val="es-MX" w:eastAsia="es-ES"/>
        </w:rPr>
      </w:pPr>
      <w:r w:rsidRPr="002940A2">
        <w:rPr>
          <w:rFonts w:ascii="Arial" w:hAnsi="Arial" w:cs="Arial"/>
          <w:sz w:val="24"/>
          <w:szCs w:val="24"/>
          <w:lang w:val="es-MX" w:eastAsia="es-ES"/>
        </w:rPr>
        <w:t>d.- Convenio de Adhesión de dependencias y organismos</w:t>
      </w:r>
    </w:p>
    <w:p w:rsidR="002940A2" w:rsidRPr="002940A2" w:rsidRDefault="002940A2" w:rsidP="002940A2">
      <w:pPr>
        <w:spacing w:after="0"/>
        <w:jc w:val="both"/>
        <w:rPr>
          <w:rFonts w:ascii="Arial" w:hAnsi="Arial" w:cs="Arial"/>
          <w:sz w:val="24"/>
          <w:szCs w:val="24"/>
          <w:lang w:val="es-MX" w:eastAsia="es-ES"/>
        </w:rPr>
      </w:pPr>
      <w:r w:rsidRPr="002940A2">
        <w:rPr>
          <w:rFonts w:ascii="Arial" w:hAnsi="Arial" w:cs="Arial"/>
          <w:sz w:val="24"/>
          <w:szCs w:val="24"/>
          <w:lang w:val="es-MX" w:eastAsia="es-ES"/>
        </w:rPr>
        <w:t>Se autoriza se realice el convenio de adhesión con las dependencias y organismos sujetos a beneficios y obligaciones con el Fideicomiso.</w:t>
      </w:r>
    </w:p>
    <w:p w:rsidR="002940A2" w:rsidRDefault="002940A2" w:rsidP="002940A2">
      <w:pPr>
        <w:spacing w:after="0"/>
        <w:jc w:val="both"/>
        <w:rPr>
          <w:rFonts w:ascii="Arial" w:hAnsi="Arial" w:cs="Arial"/>
          <w:sz w:val="24"/>
          <w:szCs w:val="24"/>
          <w:lang w:val="es-MX" w:eastAsia="es-ES"/>
        </w:rPr>
      </w:pPr>
    </w:p>
    <w:p w:rsidR="002940A2" w:rsidRPr="002940A2" w:rsidRDefault="002940A2" w:rsidP="002940A2">
      <w:pPr>
        <w:spacing w:after="0"/>
        <w:jc w:val="both"/>
        <w:rPr>
          <w:rFonts w:ascii="Arial" w:hAnsi="Arial" w:cs="Arial"/>
          <w:sz w:val="24"/>
          <w:szCs w:val="24"/>
          <w:lang w:val="es-MX" w:eastAsia="es-ES"/>
        </w:rPr>
      </w:pPr>
      <w:r w:rsidRPr="002940A2">
        <w:rPr>
          <w:rFonts w:ascii="Arial" w:hAnsi="Arial" w:cs="Arial"/>
          <w:sz w:val="24"/>
          <w:szCs w:val="24"/>
          <w:lang w:val="es-MX" w:eastAsia="es-ES"/>
        </w:rPr>
        <w:t>ACUERDO</w:t>
      </w:r>
    </w:p>
    <w:p w:rsidR="002940A2" w:rsidRDefault="002940A2" w:rsidP="002940A2">
      <w:pPr>
        <w:spacing w:after="0"/>
        <w:jc w:val="both"/>
        <w:rPr>
          <w:rFonts w:ascii="Arial" w:hAnsi="Arial" w:cs="Arial"/>
          <w:sz w:val="24"/>
          <w:szCs w:val="24"/>
          <w:lang w:val="es-MX" w:eastAsia="es-ES"/>
        </w:rPr>
      </w:pPr>
      <w:r w:rsidRPr="002940A2">
        <w:rPr>
          <w:rFonts w:ascii="Arial" w:hAnsi="Arial" w:cs="Arial"/>
          <w:sz w:val="24"/>
          <w:szCs w:val="24"/>
          <w:lang w:val="es-MX" w:eastAsia="es-ES"/>
        </w:rPr>
        <w:t>Se autoriza se realice el convenio de adhesión con las dependencias y organismos sujetos a beneficios y obligaciones con el Fideicomiso.</w:t>
      </w:r>
    </w:p>
    <w:p w:rsidR="002940A2" w:rsidRDefault="002940A2" w:rsidP="002940A2">
      <w:pPr>
        <w:spacing w:after="0"/>
        <w:jc w:val="both"/>
        <w:rPr>
          <w:rFonts w:ascii="Arial" w:hAnsi="Arial" w:cs="Arial"/>
          <w:sz w:val="24"/>
          <w:szCs w:val="24"/>
          <w:lang w:val="es-MX" w:eastAsia="es-ES"/>
        </w:rPr>
      </w:pPr>
    </w:p>
    <w:p w:rsidR="002940A2" w:rsidRPr="002940A2" w:rsidRDefault="002940A2" w:rsidP="002940A2">
      <w:pPr>
        <w:spacing w:after="0"/>
        <w:jc w:val="both"/>
        <w:rPr>
          <w:rFonts w:ascii="Arial" w:hAnsi="Arial" w:cs="Arial"/>
          <w:b/>
          <w:sz w:val="24"/>
          <w:szCs w:val="24"/>
          <w:lang w:val="es-MX" w:eastAsia="es-ES"/>
        </w:rPr>
      </w:pPr>
      <w:r w:rsidRPr="002940A2">
        <w:rPr>
          <w:rFonts w:ascii="Arial" w:hAnsi="Arial" w:cs="Arial"/>
          <w:b/>
          <w:sz w:val="24"/>
          <w:szCs w:val="24"/>
          <w:lang w:val="es-MX" w:eastAsia="es-ES"/>
        </w:rPr>
        <w:t>Análisis de la Auditoría Superior del Estado</w:t>
      </w:r>
    </w:p>
    <w:p w:rsidR="002940A2" w:rsidRDefault="002940A2" w:rsidP="002940A2">
      <w:pPr>
        <w:spacing w:after="0"/>
        <w:jc w:val="both"/>
        <w:rPr>
          <w:rFonts w:ascii="Arial" w:hAnsi="Arial" w:cs="Arial"/>
          <w:sz w:val="24"/>
          <w:szCs w:val="24"/>
          <w:lang w:val="es-MX" w:eastAsia="es-ES"/>
        </w:rPr>
      </w:pPr>
    </w:p>
    <w:p w:rsidR="002940A2" w:rsidRDefault="002940A2" w:rsidP="002940A2">
      <w:pPr>
        <w:spacing w:after="0"/>
        <w:jc w:val="both"/>
        <w:rPr>
          <w:rFonts w:ascii="Arial" w:hAnsi="Arial" w:cs="Arial"/>
          <w:sz w:val="24"/>
          <w:szCs w:val="24"/>
          <w:lang w:val="es-MX" w:eastAsia="es-ES"/>
        </w:rPr>
      </w:pPr>
      <w:r w:rsidRPr="002940A2">
        <w:rPr>
          <w:rFonts w:ascii="Arial" w:hAnsi="Arial" w:cs="Arial"/>
          <w:sz w:val="24"/>
          <w:szCs w:val="24"/>
          <w:lang w:val="es-MX" w:eastAsia="es-ES"/>
        </w:rPr>
        <w:t>Derivado del análisis de la respuesta y la evidencia presentada por el Ente Público</w:t>
      </w:r>
      <w:r>
        <w:rPr>
          <w:rFonts w:ascii="Arial" w:hAnsi="Arial" w:cs="Arial"/>
          <w:sz w:val="24"/>
          <w:szCs w:val="24"/>
          <w:lang w:val="es-MX" w:eastAsia="es-ES"/>
        </w:rPr>
        <w:t xml:space="preserve"> la Auditoría determinó que esta observación se solventó</w:t>
      </w:r>
      <w:r w:rsidRPr="002940A2">
        <w:rPr>
          <w:rFonts w:ascii="Arial" w:hAnsi="Arial" w:cs="Arial"/>
          <w:sz w:val="24"/>
          <w:szCs w:val="24"/>
          <w:lang w:val="es-MX" w:eastAsia="es-ES"/>
        </w:rPr>
        <w:t xml:space="preserve"> parcialmente ya que</w:t>
      </w:r>
      <w:r>
        <w:rPr>
          <w:rFonts w:ascii="Arial" w:hAnsi="Arial" w:cs="Arial"/>
          <w:sz w:val="24"/>
          <w:szCs w:val="24"/>
          <w:lang w:val="es-MX" w:eastAsia="es-ES"/>
        </w:rPr>
        <w:t xml:space="preserve"> durante el proceso de auditoría se anexaron los</w:t>
      </w:r>
      <w:r w:rsidRPr="002940A2">
        <w:rPr>
          <w:rFonts w:ascii="Arial" w:hAnsi="Arial" w:cs="Arial"/>
          <w:sz w:val="24"/>
          <w:szCs w:val="24"/>
          <w:lang w:val="es-MX" w:eastAsia="es-ES"/>
        </w:rPr>
        <w:t xml:space="preserve"> convenios de adhesión con las dependencias y organismos sujetos a los beneficios y obligaciones con el Fideicomiso, sin embargo falta formalizar dicho convenio con los Entes respectivos.</w:t>
      </w:r>
    </w:p>
    <w:p w:rsidR="002940A2" w:rsidRPr="002940A2" w:rsidRDefault="002940A2" w:rsidP="002940A2">
      <w:pPr>
        <w:spacing w:after="0"/>
        <w:jc w:val="both"/>
        <w:rPr>
          <w:rFonts w:ascii="Arial" w:hAnsi="Arial" w:cs="Arial"/>
          <w:sz w:val="24"/>
          <w:szCs w:val="24"/>
          <w:lang w:val="es-MX" w:eastAsia="es-ES"/>
        </w:rPr>
      </w:pPr>
      <w:r w:rsidRPr="002940A2">
        <w:rPr>
          <w:rFonts w:ascii="Arial" w:hAnsi="Arial" w:cs="Arial"/>
          <w:b/>
          <w:sz w:val="24"/>
          <w:szCs w:val="24"/>
          <w:lang w:val="es-MX" w:eastAsia="es-ES"/>
        </w:rPr>
        <w:lastRenderedPageBreak/>
        <w:t>Acción(es) o recomendación(es) emitida(s)</w:t>
      </w:r>
    </w:p>
    <w:p w:rsidR="002940A2" w:rsidRPr="002940A2" w:rsidRDefault="002940A2" w:rsidP="002940A2">
      <w:pPr>
        <w:spacing w:after="0"/>
        <w:jc w:val="both"/>
        <w:rPr>
          <w:rFonts w:ascii="Arial" w:hAnsi="Arial" w:cs="Arial"/>
          <w:i/>
          <w:sz w:val="24"/>
          <w:szCs w:val="24"/>
          <w:lang w:val="es-MX" w:eastAsia="es-ES"/>
        </w:rPr>
      </w:pPr>
      <w:r w:rsidRPr="002940A2">
        <w:rPr>
          <w:rFonts w:ascii="Arial" w:hAnsi="Arial" w:cs="Arial"/>
          <w:i/>
          <w:sz w:val="24"/>
          <w:szCs w:val="24"/>
          <w:lang w:val="es-MX" w:eastAsia="es-ES"/>
        </w:rPr>
        <w:t>Recomendaciones en Relación a la Gestión o Control Interno.</w:t>
      </w:r>
    </w:p>
    <w:p w:rsidR="002940A2" w:rsidRDefault="002940A2" w:rsidP="002940A2">
      <w:pPr>
        <w:spacing w:after="0"/>
        <w:jc w:val="both"/>
        <w:rPr>
          <w:rFonts w:ascii="Arial" w:hAnsi="Arial" w:cs="Arial"/>
          <w:sz w:val="24"/>
          <w:szCs w:val="24"/>
          <w:lang w:val="es-MX" w:eastAsia="es-ES"/>
        </w:rPr>
      </w:pPr>
    </w:p>
    <w:p w:rsidR="002940A2" w:rsidRPr="002940A2" w:rsidRDefault="002940A2" w:rsidP="002940A2">
      <w:pPr>
        <w:spacing w:after="0"/>
        <w:jc w:val="both"/>
        <w:rPr>
          <w:rFonts w:ascii="Arial" w:hAnsi="Arial" w:cs="Arial"/>
          <w:b/>
          <w:sz w:val="24"/>
          <w:szCs w:val="24"/>
          <w:u w:val="single"/>
          <w:lang w:val="es-MX" w:eastAsia="es-ES"/>
        </w:rPr>
      </w:pPr>
      <w:r w:rsidRPr="002940A2">
        <w:rPr>
          <w:rFonts w:ascii="Arial" w:hAnsi="Arial" w:cs="Arial"/>
          <w:b/>
          <w:sz w:val="24"/>
          <w:szCs w:val="24"/>
          <w:u w:val="single"/>
          <w:lang w:val="es-MX" w:eastAsia="es-ES"/>
        </w:rPr>
        <w:t>ACTIVO</w:t>
      </w:r>
    </w:p>
    <w:p w:rsidR="002940A2" w:rsidRPr="002940A2" w:rsidRDefault="002940A2" w:rsidP="002940A2">
      <w:pPr>
        <w:spacing w:after="0"/>
        <w:jc w:val="both"/>
        <w:rPr>
          <w:rFonts w:ascii="Arial" w:hAnsi="Arial" w:cs="Arial"/>
          <w:b/>
          <w:sz w:val="24"/>
          <w:szCs w:val="24"/>
          <w:u w:val="single"/>
          <w:lang w:val="es-MX" w:eastAsia="es-ES"/>
        </w:rPr>
      </w:pPr>
      <w:r w:rsidRPr="002940A2">
        <w:rPr>
          <w:rFonts w:ascii="Arial" w:hAnsi="Arial" w:cs="Arial"/>
          <w:b/>
          <w:sz w:val="24"/>
          <w:szCs w:val="24"/>
          <w:u w:val="single"/>
          <w:lang w:val="es-MX" w:eastAsia="es-ES"/>
        </w:rPr>
        <w:t>Activo circulante</w:t>
      </w:r>
    </w:p>
    <w:p w:rsidR="002940A2" w:rsidRPr="002940A2" w:rsidRDefault="002940A2" w:rsidP="002940A2">
      <w:pPr>
        <w:spacing w:after="0"/>
        <w:jc w:val="both"/>
        <w:rPr>
          <w:rFonts w:ascii="Arial" w:hAnsi="Arial" w:cs="Arial"/>
          <w:b/>
          <w:sz w:val="24"/>
          <w:szCs w:val="24"/>
          <w:u w:val="single"/>
          <w:lang w:val="es-MX" w:eastAsia="es-ES"/>
        </w:rPr>
      </w:pPr>
      <w:r w:rsidRPr="002940A2">
        <w:rPr>
          <w:rFonts w:ascii="Arial" w:hAnsi="Arial" w:cs="Arial"/>
          <w:b/>
          <w:sz w:val="24"/>
          <w:szCs w:val="24"/>
          <w:u w:val="single"/>
          <w:lang w:val="es-MX" w:eastAsia="es-ES"/>
        </w:rPr>
        <w:t>Efectivo y equivalentes</w:t>
      </w:r>
    </w:p>
    <w:p w:rsidR="002940A2" w:rsidRPr="002940A2" w:rsidRDefault="002940A2" w:rsidP="002940A2">
      <w:pPr>
        <w:spacing w:after="0"/>
        <w:jc w:val="both"/>
        <w:rPr>
          <w:rFonts w:ascii="Arial" w:hAnsi="Arial" w:cs="Arial"/>
          <w:b/>
          <w:sz w:val="24"/>
          <w:szCs w:val="24"/>
          <w:u w:val="single"/>
          <w:lang w:val="es-MX" w:eastAsia="es-ES"/>
        </w:rPr>
      </w:pPr>
      <w:r w:rsidRPr="002940A2">
        <w:rPr>
          <w:rFonts w:ascii="Arial" w:hAnsi="Arial" w:cs="Arial"/>
          <w:b/>
          <w:sz w:val="24"/>
          <w:szCs w:val="24"/>
          <w:u w:val="single"/>
          <w:lang w:val="es-MX" w:eastAsia="es-ES"/>
        </w:rPr>
        <w:t>Inversiones temporales</w:t>
      </w:r>
    </w:p>
    <w:p w:rsidR="002940A2" w:rsidRDefault="002940A2" w:rsidP="002940A2">
      <w:pPr>
        <w:spacing w:after="0"/>
        <w:jc w:val="both"/>
        <w:rPr>
          <w:rFonts w:ascii="Arial" w:hAnsi="Arial" w:cs="Arial"/>
          <w:sz w:val="24"/>
          <w:szCs w:val="24"/>
          <w:lang w:val="es-MX" w:eastAsia="es-ES"/>
        </w:rPr>
      </w:pPr>
    </w:p>
    <w:p w:rsidR="002940A2" w:rsidRDefault="002940A2" w:rsidP="002940A2">
      <w:pPr>
        <w:spacing w:after="0"/>
        <w:jc w:val="both"/>
        <w:rPr>
          <w:rFonts w:ascii="Arial" w:hAnsi="Arial" w:cs="Arial"/>
          <w:sz w:val="24"/>
          <w:szCs w:val="24"/>
          <w:lang w:val="es-MX" w:eastAsia="es-ES"/>
        </w:rPr>
      </w:pPr>
      <w:r>
        <w:rPr>
          <w:rFonts w:ascii="Arial" w:hAnsi="Arial" w:cs="Arial"/>
          <w:sz w:val="24"/>
          <w:szCs w:val="24"/>
          <w:lang w:val="es-MX" w:eastAsia="es-ES"/>
        </w:rPr>
        <w:t xml:space="preserve">5. </w:t>
      </w:r>
      <w:r w:rsidRPr="002940A2">
        <w:rPr>
          <w:rFonts w:ascii="Arial" w:hAnsi="Arial" w:cs="Arial"/>
          <w:sz w:val="24"/>
          <w:szCs w:val="24"/>
          <w:lang w:val="es-MX" w:eastAsia="es-ES"/>
        </w:rPr>
        <w:t>Durante la revisión a la conciliación bancaria del contrato de inversión y administración F18903 5 (subcuenta 1) del Fideicomiso, se detectaron movimientos en tránsito no registrados en contabilidad con antigüedad mayor a un año, los cuales se detallan a continuación:</w:t>
      </w:r>
    </w:p>
    <w:p w:rsidR="002940A2" w:rsidRDefault="002940A2" w:rsidP="002940A2">
      <w:pPr>
        <w:spacing w:after="0"/>
        <w:jc w:val="both"/>
        <w:rPr>
          <w:rFonts w:ascii="Arial" w:hAnsi="Arial" w:cs="Arial"/>
          <w:sz w:val="24"/>
          <w:szCs w:val="24"/>
          <w:lang w:val="es-MX" w:eastAsia="es-ES"/>
        </w:rPr>
      </w:pPr>
    </w:p>
    <w:p w:rsidR="00AF5986" w:rsidRDefault="002940A2" w:rsidP="002940A2">
      <w:pPr>
        <w:spacing w:after="0"/>
        <w:jc w:val="both"/>
        <w:rPr>
          <w:rFonts w:ascii="Arial" w:hAnsi="Arial" w:cs="Arial"/>
          <w:sz w:val="24"/>
          <w:szCs w:val="24"/>
          <w:lang w:val="es-MX" w:eastAsia="es-ES"/>
        </w:rPr>
      </w:pPr>
      <w:r w:rsidRPr="002940A2">
        <w:rPr>
          <w:rFonts w:ascii="Arial" w:hAnsi="Arial" w:cs="Arial"/>
          <w:sz w:val="24"/>
          <w:szCs w:val="24"/>
          <w:lang w:val="es-MX" w:eastAsia="es-ES"/>
        </w:rPr>
        <w:t>- Cargos bancarios no registrados en libros:</w:t>
      </w:r>
    </w:p>
    <w:p w:rsidR="002940A2" w:rsidRDefault="002940A2" w:rsidP="002940A2">
      <w:pPr>
        <w:spacing w:after="0"/>
        <w:jc w:val="both"/>
        <w:rPr>
          <w:rFonts w:ascii="Arial" w:hAnsi="Arial" w:cs="Arial"/>
          <w:sz w:val="24"/>
          <w:szCs w:val="24"/>
          <w:lang w:val="es-MX" w:eastAsia="es-ES"/>
        </w:rPr>
      </w:pPr>
    </w:p>
    <w:tbl>
      <w:tblPr>
        <w:tblW w:w="441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3"/>
        <w:gridCol w:w="1030"/>
        <w:gridCol w:w="200"/>
        <w:gridCol w:w="796"/>
      </w:tblGrid>
      <w:tr w:rsidR="002940A2" w:rsidRPr="002940A2" w:rsidTr="002940A2">
        <w:trPr>
          <w:tblCellSpacing w:w="15" w:type="dxa"/>
          <w:jc w:val="center"/>
        </w:trPr>
        <w:tc>
          <w:tcPr>
            <w:tcW w:w="0" w:type="auto"/>
            <w:shd w:val="clear" w:color="auto" w:fill="A6A6A6" w:themeFill="background1" w:themeFillShade="A6"/>
            <w:vAlign w:val="center"/>
            <w:hideMark/>
          </w:tcPr>
          <w:p w:rsidR="002940A2" w:rsidRPr="002940A2" w:rsidRDefault="002940A2" w:rsidP="002940A2">
            <w:pPr>
              <w:jc w:val="center"/>
              <w:rPr>
                <w:rFonts w:ascii="Arial" w:hAnsi="Arial" w:cs="Arial"/>
                <w:b/>
                <w:sz w:val="14"/>
                <w:szCs w:val="14"/>
                <w:u w:val="single"/>
                <w:lang w:val="es-MX" w:eastAsia="es-MX"/>
              </w:rPr>
            </w:pPr>
            <w:r w:rsidRPr="002940A2">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2940A2" w:rsidRPr="002940A2" w:rsidRDefault="002940A2" w:rsidP="002940A2">
            <w:pPr>
              <w:jc w:val="center"/>
              <w:rPr>
                <w:rFonts w:ascii="Arial" w:hAnsi="Arial" w:cs="Arial"/>
                <w:b/>
                <w:sz w:val="14"/>
                <w:szCs w:val="14"/>
                <w:u w:val="single"/>
                <w:lang w:val="es-MX" w:eastAsia="es-MX"/>
              </w:rPr>
            </w:pPr>
            <w:r w:rsidRPr="002940A2">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2940A2" w:rsidRPr="002940A2" w:rsidRDefault="002940A2" w:rsidP="002940A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2940A2" w:rsidRPr="002940A2" w:rsidRDefault="002940A2" w:rsidP="002940A2">
            <w:pPr>
              <w:jc w:val="center"/>
              <w:rPr>
                <w:rFonts w:ascii="Arial" w:hAnsi="Arial" w:cs="Arial"/>
                <w:b/>
                <w:sz w:val="14"/>
                <w:szCs w:val="14"/>
                <w:u w:val="single"/>
                <w:lang w:val="es-MX" w:eastAsia="es-MX"/>
              </w:rPr>
            </w:pPr>
            <w:r w:rsidRPr="002940A2">
              <w:rPr>
                <w:rFonts w:ascii="Arial" w:hAnsi="Arial" w:cs="Arial"/>
                <w:b/>
                <w:sz w:val="14"/>
                <w:szCs w:val="14"/>
                <w:u w:val="single"/>
                <w:lang w:val="es-MX" w:eastAsia="es-MX"/>
              </w:rPr>
              <w:t>Importe</w:t>
            </w:r>
          </w:p>
        </w:tc>
      </w:tr>
      <w:tr w:rsidR="002940A2" w:rsidRPr="002940A2" w:rsidTr="002940A2">
        <w:trPr>
          <w:tblCellSpacing w:w="15" w:type="dxa"/>
          <w:jc w:val="center"/>
        </w:trPr>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Movimiento en tránsito sugerido por la ASE en la revisión 2012</w:t>
            </w:r>
          </w:p>
        </w:tc>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02/10/2013</w:t>
            </w:r>
          </w:p>
        </w:tc>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w:t>
            </w:r>
          </w:p>
        </w:tc>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7,162</w:t>
            </w:r>
          </w:p>
        </w:tc>
      </w:tr>
      <w:tr w:rsidR="002940A2" w:rsidRPr="002940A2" w:rsidTr="002940A2">
        <w:trPr>
          <w:tblCellSpacing w:w="15" w:type="dxa"/>
          <w:jc w:val="center"/>
        </w:trPr>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Movimiento en tránsito sugerido por la ASE en la revisión 2013</w:t>
            </w:r>
          </w:p>
        </w:tc>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02/05/2014</w:t>
            </w:r>
          </w:p>
        </w:tc>
        <w:tc>
          <w:tcPr>
            <w:tcW w:w="0" w:type="auto"/>
            <w:vAlign w:val="center"/>
            <w:hideMark/>
          </w:tcPr>
          <w:p w:rsidR="002940A2" w:rsidRPr="002940A2" w:rsidRDefault="002940A2" w:rsidP="002940A2">
            <w:pPr>
              <w:jc w:val="center"/>
              <w:rPr>
                <w:rFonts w:ascii="Arial" w:hAnsi="Arial" w:cs="Arial"/>
                <w:sz w:val="14"/>
                <w:szCs w:val="14"/>
                <w:lang w:val="es-MX" w:eastAsia="es-MX"/>
              </w:rPr>
            </w:pPr>
          </w:p>
        </w:tc>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164,926</w:t>
            </w:r>
          </w:p>
        </w:tc>
      </w:tr>
    </w:tbl>
    <w:p w:rsidR="002940A2" w:rsidRDefault="002940A2" w:rsidP="00AF5986">
      <w:pPr>
        <w:spacing w:after="0"/>
        <w:ind w:firstLine="709"/>
        <w:jc w:val="both"/>
        <w:rPr>
          <w:rFonts w:ascii="Arial" w:hAnsi="Arial" w:cs="Arial"/>
          <w:sz w:val="24"/>
          <w:szCs w:val="24"/>
          <w:lang w:val="es-MX" w:eastAsia="es-ES"/>
        </w:rPr>
      </w:pPr>
    </w:p>
    <w:p w:rsidR="002940A2" w:rsidRDefault="002940A2" w:rsidP="00AF5986">
      <w:pPr>
        <w:spacing w:after="0"/>
        <w:ind w:firstLine="709"/>
        <w:jc w:val="both"/>
        <w:rPr>
          <w:rFonts w:ascii="Arial" w:hAnsi="Arial" w:cs="Arial"/>
          <w:sz w:val="24"/>
          <w:szCs w:val="24"/>
          <w:lang w:val="es-MX" w:eastAsia="es-ES"/>
        </w:rPr>
      </w:pPr>
    </w:p>
    <w:p w:rsidR="00AF5986" w:rsidRDefault="002940A2" w:rsidP="00385668">
      <w:pPr>
        <w:pStyle w:val="INFORME0"/>
        <w:rPr>
          <w:lang w:val="es-MX"/>
        </w:rPr>
      </w:pPr>
      <w:r w:rsidRPr="002940A2">
        <w:rPr>
          <w:lang w:val="es-MX"/>
        </w:rPr>
        <w:t>- Abonos bancarios no registrados en libros:</w:t>
      </w:r>
    </w:p>
    <w:p w:rsidR="00AF5986" w:rsidRDefault="00AF5986" w:rsidP="00AF5986">
      <w:pPr>
        <w:spacing w:after="0"/>
        <w:ind w:firstLine="709"/>
        <w:jc w:val="both"/>
        <w:rPr>
          <w:rFonts w:ascii="Arial" w:hAnsi="Arial" w:cs="Arial"/>
          <w:sz w:val="24"/>
          <w:szCs w:val="24"/>
          <w:lang w:val="es-MX" w:eastAsia="es-ES"/>
        </w:rPr>
      </w:pPr>
    </w:p>
    <w:tbl>
      <w:tblPr>
        <w:tblW w:w="311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1912"/>
        <w:gridCol w:w="351"/>
        <w:gridCol w:w="1458"/>
      </w:tblGrid>
      <w:tr w:rsidR="002940A2" w:rsidRPr="002940A2" w:rsidTr="002940A2">
        <w:trPr>
          <w:tblCellSpacing w:w="15" w:type="dxa"/>
          <w:jc w:val="center"/>
        </w:trPr>
        <w:tc>
          <w:tcPr>
            <w:tcW w:w="1403" w:type="pct"/>
            <w:shd w:val="clear" w:color="auto" w:fill="A6A6A6" w:themeFill="background1" w:themeFillShade="A6"/>
            <w:vAlign w:val="center"/>
            <w:hideMark/>
          </w:tcPr>
          <w:p w:rsidR="002940A2" w:rsidRPr="002940A2" w:rsidRDefault="002940A2" w:rsidP="002940A2">
            <w:pPr>
              <w:jc w:val="center"/>
              <w:rPr>
                <w:rFonts w:ascii="Arial" w:hAnsi="Arial" w:cs="Arial"/>
                <w:b/>
                <w:sz w:val="14"/>
                <w:szCs w:val="14"/>
                <w:u w:val="single"/>
                <w:lang w:val="es-MX" w:eastAsia="es-MX"/>
              </w:rPr>
            </w:pPr>
            <w:r w:rsidRPr="002940A2">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2940A2" w:rsidRPr="002940A2" w:rsidRDefault="002940A2" w:rsidP="002940A2">
            <w:pPr>
              <w:jc w:val="center"/>
              <w:rPr>
                <w:rFonts w:ascii="Arial" w:hAnsi="Arial" w:cs="Arial"/>
                <w:b/>
                <w:sz w:val="14"/>
                <w:szCs w:val="14"/>
                <w:u w:val="single"/>
                <w:lang w:val="es-MX" w:eastAsia="es-MX"/>
              </w:rPr>
            </w:pPr>
            <w:r w:rsidRPr="002940A2">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2940A2" w:rsidRPr="002940A2" w:rsidRDefault="002940A2" w:rsidP="002940A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2940A2" w:rsidRPr="002940A2" w:rsidRDefault="002940A2" w:rsidP="002940A2">
            <w:pPr>
              <w:jc w:val="center"/>
              <w:rPr>
                <w:rFonts w:ascii="Arial" w:hAnsi="Arial" w:cs="Arial"/>
                <w:b/>
                <w:sz w:val="14"/>
                <w:szCs w:val="14"/>
                <w:u w:val="single"/>
                <w:lang w:val="es-MX" w:eastAsia="es-MX"/>
              </w:rPr>
            </w:pPr>
            <w:r w:rsidRPr="002940A2">
              <w:rPr>
                <w:rFonts w:ascii="Arial" w:hAnsi="Arial" w:cs="Arial"/>
                <w:b/>
                <w:sz w:val="14"/>
                <w:szCs w:val="14"/>
                <w:u w:val="single"/>
                <w:lang w:val="es-MX" w:eastAsia="es-MX"/>
              </w:rPr>
              <w:t>Importe</w:t>
            </w:r>
          </w:p>
        </w:tc>
      </w:tr>
      <w:tr w:rsidR="002940A2" w:rsidRPr="002940A2" w:rsidTr="002940A2">
        <w:trPr>
          <w:tblCellSpacing w:w="15" w:type="dxa"/>
          <w:jc w:val="center"/>
        </w:trPr>
        <w:tc>
          <w:tcPr>
            <w:tcW w:w="1403" w:type="pct"/>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Movimiento en tránsito</w:t>
            </w:r>
          </w:p>
        </w:tc>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31/12/2014</w:t>
            </w:r>
          </w:p>
        </w:tc>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w:t>
            </w:r>
          </w:p>
        </w:tc>
        <w:tc>
          <w:tcPr>
            <w:tcW w:w="0" w:type="auto"/>
            <w:vAlign w:val="center"/>
            <w:hideMark/>
          </w:tcPr>
          <w:p w:rsidR="002940A2" w:rsidRPr="002940A2" w:rsidRDefault="002940A2" w:rsidP="002940A2">
            <w:pPr>
              <w:jc w:val="center"/>
              <w:rPr>
                <w:rFonts w:ascii="Arial" w:hAnsi="Arial" w:cs="Arial"/>
                <w:sz w:val="14"/>
                <w:szCs w:val="14"/>
                <w:lang w:val="es-MX" w:eastAsia="es-MX"/>
              </w:rPr>
            </w:pPr>
            <w:r w:rsidRPr="002940A2">
              <w:rPr>
                <w:rFonts w:ascii="Arial" w:hAnsi="Arial" w:cs="Arial"/>
                <w:sz w:val="14"/>
                <w:szCs w:val="14"/>
                <w:lang w:val="es-MX" w:eastAsia="es-MX"/>
              </w:rPr>
              <w:t>5,612</w:t>
            </w:r>
          </w:p>
        </w:tc>
      </w:tr>
    </w:tbl>
    <w:p w:rsidR="002940A2" w:rsidRDefault="002940A2" w:rsidP="002940A2">
      <w:pPr>
        <w:spacing w:after="0"/>
        <w:ind w:firstLine="709"/>
        <w:jc w:val="both"/>
        <w:rPr>
          <w:rFonts w:ascii="Arial" w:hAnsi="Arial" w:cs="Arial"/>
          <w:sz w:val="24"/>
          <w:szCs w:val="24"/>
          <w:lang w:val="es-MX" w:eastAsia="es-ES"/>
        </w:rPr>
      </w:pPr>
    </w:p>
    <w:p w:rsidR="002940A2" w:rsidRPr="002940A2" w:rsidRDefault="002940A2" w:rsidP="00385668">
      <w:pPr>
        <w:pStyle w:val="INFORME0"/>
        <w:rPr>
          <w:lang w:val="es-MX"/>
        </w:rPr>
      </w:pPr>
      <w:r w:rsidRPr="002940A2">
        <w:rPr>
          <w:lang w:val="es-MX"/>
        </w:rPr>
        <w:t>Lo anterior en contravención a lo establecido en los artículos 47 primer párrafo y 48 segundo párrafo de la Ley de Administración Financiera para el Estado de Nuevo León, 35 y 36 de la Ley General de Contabilidad Gubernamental y 15 de la Ley de Fiscalización Superior del Estado de Nuevo León.</w:t>
      </w:r>
    </w:p>
    <w:p w:rsidR="00385668" w:rsidRDefault="00385668" w:rsidP="00385668">
      <w:pPr>
        <w:pStyle w:val="INFORME0"/>
        <w:rPr>
          <w:lang w:val="es-MX"/>
        </w:rPr>
      </w:pPr>
    </w:p>
    <w:p w:rsidR="002940A2" w:rsidRDefault="002940A2" w:rsidP="00385668">
      <w:pPr>
        <w:pStyle w:val="INFORME0"/>
        <w:rPr>
          <w:lang w:val="es-MX"/>
        </w:rPr>
      </w:pPr>
      <w:r w:rsidRPr="002940A2">
        <w:rPr>
          <w:lang w:val="es-MX"/>
        </w:rPr>
        <w:lastRenderedPageBreak/>
        <w:t>Esta observación ha sido señalada en repetidas ocasiones.</w:t>
      </w:r>
    </w:p>
    <w:p w:rsidR="002940A2" w:rsidRDefault="002940A2" w:rsidP="00385668">
      <w:pPr>
        <w:pStyle w:val="INFORME0"/>
        <w:rPr>
          <w:lang w:val="es-MX"/>
        </w:rPr>
      </w:pPr>
    </w:p>
    <w:p w:rsidR="002940A2" w:rsidRDefault="002940A2" w:rsidP="00385668">
      <w:pPr>
        <w:pStyle w:val="INFORME0"/>
        <w:rPr>
          <w:b/>
          <w:lang w:val="es-MX"/>
        </w:rPr>
      </w:pPr>
      <w:r w:rsidRPr="002940A2">
        <w:rPr>
          <w:b/>
          <w:lang w:val="es-MX"/>
        </w:rPr>
        <w:t>Análisis de l</w:t>
      </w:r>
      <w:r>
        <w:rPr>
          <w:b/>
          <w:lang w:val="es-MX"/>
        </w:rPr>
        <w:t>a Auditoría Superior del Estado</w:t>
      </w:r>
    </w:p>
    <w:p w:rsidR="002940A2" w:rsidRDefault="002940A2" w:rsidP="00385668">
      <w:pPr>
        <w:pStyle w:val="INFORME0"/>
        <w:rPr>
          <w:b/>
          <w:lang w:val="es-MX"/>
        </w:rPr>
      </w:pPr>
    </w:p>
    <w:p w:rsidR="00CB0556" w:rsidRDefault="002940A2" w:rsidP="00385668">
      <w:pPr>
        <w:pStyle w:val="INFORME0"/>
        <w:rPr>
          <w:lang w:val="es-MX"/>
        </w:rPr>
      </w:pPr>
      <w:r w:rsidRPr="002940A2">
        <w:rPr>
          <w:lang w:val="es-MX"/>
        </w:rPr>
        <w:t>Derivado del análisis de la respuesta y evidencia presentada,</w:t>
      </w:r>
      <w:r w:rsidR="00CB0556">
        <w:rPr>
          <w:lang w:val="es-MX"/>
        </w:rPr>
        <w:t xml:space="preserve"> por el Ente Público, la Auditoría determinó que esta observación se solventó</w:t>
      </w:r>
      <w:r w:rsidRPr="002940A2">
        <w:rPr>
          <w:lang w:val="es-MX"/>
        </w:rPr>
        <w:t xml:space="preserve"> parcialmente, debido a</w:t>
      </w:r>
      <w:r w:rsidR="00CB0556">
        <w:rPr>
          <w:lang w:val="es-MX"/>
        </w:rPr>
        <w:t xml:space="preserve"> que el Fideicomiso anexó la</w:t>
      </w:r>
      <w:r w:rsidRPr="002940A2">
        <w:rPr>
          <w:lang w:val="es-MX"/>
        </w:rPr>
        <w:t xml:space="preserve"> conciliación con saldos </w:t>
      </w:r>
      <w:r w:rsidR="00CB0556">
        <w:rPr>
          <w:lang w:val="es-MX"/>
        </w:rPr>
        <w:t>depurados, sin embargo, no envío la</w:t>
      </w:r>
      <w:r w:rsidRPr="002940A2">
        <w:rPr>
          <w:lang w:val="es-MX"/>
        </w:rPr>
        <w:t xml:space="preserve"> evidencia documental del proceso mediante el cual se autorizó la cancelación y depuración de las partidas en tránsito.</w:t>
      </w:r>
    </w:p>
    <w:p w:rsidR="00CB0556" w:rsidRDefault="00CB0556" w:rsidP="002940A2">
      <w:pPr>
        <w:spacing w:after="0"/>
        <w:ind w:firstLine="709"/>
        <w:jc w:val="both"/>
        <w:rPr>
          <w:rFonts w:ascii="Arial" w:hAnsi="Arial" w:cs="Arial"/>
          <w:sz w:val="24"/>
          <w:szCs w:val="24"/>
          <w:lang w:val="es-MX" w:eastAsia="es-ES"/>
        </w:rPr>
      </w:pPr>
    </w:p>
    <w:p w:rsidR="00CB0556" w:rsidRDefault="00CB0556" w:rsidP="002940A2">
      <w:pPr>
        <w:spacing w:after="0"/>
        <w:ind w:firstLine="709"/>
        <w:jc w:val="both"/>
        <w:rPr>
          <w:rFonts w:ascii="Arial" w:hAnsi="Arial" w:cs="Arial"/>
          <w:sz w:val="24"/>
          <w:szCs w:val="24"/>
          <w:lang w:val="es-MX" w:eastAsia="es-ES"/>
        </w:rPr>
      </w:pPr>
    </w:p>
    <w:p w:rsidR="002940A2" w:rsidRPr="00385668" w:rsidRDefault="002940A2" w:rsidP="00385668">
      <w:pPr>
        <w:pStyle w:val="INFORME0"/>
        <w:rPr>
          <w:b/>
          <w:lang w:val="es-MX"/>
        </w:rPr>
      </w:pPr>
      <w:r w:rsidRPr="00385668">
        <w:rPr>
          <w:b/>
          <w:lang w:val="es-MX"/>
        </w:rPr>
        <w:t>Acción(es) o recomendación(es) emitida(s)</w:t>
      </w:r>
    </w:p>
    <w:p w:rsidR="002940A2" w:rsidRPr="002940A2" w:rsidRDefault="002940A2" w:rsidP="00385668">
      <w:pPr>
        <w:pStyle w:val="INFORME0"/>
        <w:rPr>
          <w:lang w:val="es-MX"/>
        </w:rPr>
      </w:pPr>
      <w:r w:rsidRPr="002940A2">
        <w:rPr>
          <w:lang w:val="es-MX"/>
        </w:rPr>
        <w:t>Recomendaciones en Relación a la Gestión o Control Interno.</w:t>
      </w:r>
    </w:p>
    <w:p w:rsidR="002940A2" w:rsidRPr="002940A2" w:rsidRDefault="002940A2" w:rsidP="00385668">
      <w:pPr>
        <w:pStyle w:val="INFORME0"/>
        <w:rPr>
          <w:lang w:val="es-MX"/>
        </w:rPr>
      </w:pPr>
      <w:r w:rsidRPr="002940A2">
        <w:rPr>
          <w:lang w:val="es-MX"/>
        </w:rPr>
        <w:t>Realizar el proceso de autorización p</w:t>
      </w:r>
      <w:r w:rsidR="00CB0556">
        <w:rPr>
          <w:lang w:val="es-MX"/>
        </w:rPr>
        <w:t xml:space="preserve">ara formalizar la depuración de </w:t>
      </w:r>
      <w:r w:rsidRPr="002940A2">
        <w:rPr>
          <w:lang w:val="es-MX"/>
        </w:rPr>
        <w:t>saldos.</w:t>
      </w:r>
    </w:p>
    <w:p w:rsidR="002940A2" w:rsidRDefault="002940A2" w:rsidP="00385668">
      <w:pPr>
        <w:pStyle w:val="INFORME0"/>
        <w:rPr>
          <w:lang w:val="es-MX"/>
        </w:rPr>
      </w:pPr>
    </w:p>
    <w:p w:rsidR="00CB0556" w:rsidRPr="00385668" w:rsidRDefault="00CB0556" w:rsidP="00385668">
      <w:pPr>
        <w:pStyle w:val="INFORME0"/>
        <w:rPr>
          <w:b/>
          <w:u w:val="single"/>
          <w:lang w:val="es-MX"/>
        </w:rPr>
      </w:pPr>
      <w:r w:rsidRPr="00385668">
        <w:rPr>
          <w:b/>
          <w:u w:val="single"/>
          <w:lang w:val="es-MX"/>
        </w:rPr>
        <w:t>Derechos a recibir efectivo o equivalentes</w:t>
      </w:r>
    </w:p>
    <w:p w:rsidR="00AF5986" w:rsidRPr="00385668" w:rsidRDefault="00CB0556" w:rsidP="00385668">
      <w:pPr>
        <w:pStyle w:val="INFORME0"/>
        <w:rPr>
          <w:b/>
          <w:u w:val="single"/>
          <w:lang w:val="es-MX"/>
        </w:rPr>
      </w:pPr>
      <w:r w:rsidRPr="00385668">
        <w:rPr>
          <w:b/>
          <w:u w:val="single"/>
          <w:lang w:val="es-MX"/>
        </w:rPr>
        <w:t>Cuentas por cobrar a corto plazo</w:t>
      </w:r>
    </w:p>
    <w:p w:rsidR="00AF5986" w:rsidRDefault="00AF5986" w:rsidP="00AF5986">
      <w:pPr>
        <w:spacing w:after="0"/>
        <w:ind w:firstLine="709"/>
        <w:jc w:val="both"/>
        <w:rPr>
          <w:rFonts w:ascii="Arial" w:hAnsi="Arial" w:cs="Arial"/>
          <w:sz w:val="24"/>
          <w:szCs w:val="24"/>
          <w:lang w:val="es-MX" w:eastAsia="es-ES"/>
        </w:rPr>
      </w:pPr>
    </w:p>
    <w:p w:rsidR="00CB0556" w:rsidRPr="00CB0556" w:rsidRDefault="00CB0556" w:rsidP="00385668">
      <w:pPr>
        <w:pStyle w:val="INFORME0"/>
        <w:rPr>
          <w:lang w:val="es-MX"/>
        </w:rPr>
      </w:pPr>
      <w:r>
        <w:rPr>
          <w:lang w:val="es-MX"/>
        </w:rPr>
        <w:t xml:space="preserve">6. </w:t>
      </w:r>
      <w:r w:rsidRPr="00CB0556">
        <w:rPr>
          <w:lang w:val="es-MX"/>
        </w:rPr>
        <w:t>Durante el proceso de auditoría se detectaron 78 casos en los cuales el servidor público cuenta con dos saldos a cargo, originados por falta oportuna de análisis y depuración de saldos, siendo éstos:</w:t>
      </w:r>
    </w:p>
    <w:p w:rsidR="00CB0556" w:rsidRDefault="00CB0556" w:rsidP="00385668">
      <w:pPr>
        <w:pStyle w:val="INFORME0"/>
        <w:rPr>
          <w:lang w:val="es-MX"/>
        </w:rPr>
      </w:pPr>
    </w:p>
    <w:p w:rsidR="00CB0556" w:rsidRPr="00CB0556" w:rsidRDefault="00CB0556" w:rsidP="00385668">
      <w:pPr>
        <w:pStyle w:val="INFORME0"/>
        <w:rPr>
          <w:lang w:val="es-MX"/>
        </w:rPr>
      </w:pPr>
      <w:r>
        <w:rPr>
          <w:lang w:val="es-MX"/>
        </w:rPr>
        <w:t xml:space="preserve">a) </w:t>
      </w:r>
      <w:r w:rsidRPr="00CB0556">
        <w:rPr>
          <w:lang w:val="es-MX"/>
        </w:rPr>
        <w:t>21 casos con el mismo número de empleado:</w:t>
      </w:r>
    </w:p>
    <w:p w:rsidR="00CB0556" w:rsidRPr="00CB0556" w:rsidRDefault="00CB0556" w:rsidP="00385668">
      <w:pPr>
        <w:pStyle w:val="INFORME0"/>
        <w:rPr>
          <w:lang w:val="es-MX"/>
        </w:rPr>
      </w:pPr>
    </w:p>
    <w:p w:rsidR="00CB0556" w:rsidRPr="00CB0556" w:rsidRDefault="00CB0556" w:rsidP="00385668">
      <w:pPr>
        <w:pStyle w:val="INFORME0"/>
        <w:rPr>
          <w:lang w:val="es-MX"/>
        </w:rPr>
      </w:pPr>
      <w:r w:rsidRPr="00CB0556">
        <w:rPr>
          <w:lang w:val="es-MX"/>
        </w:rPr>
        <w:t>La relación del personal con dos saldos a cargo y el mismo número de empleado se encuentra en el archivo denominado "Anexo -A-", contenido en el CD adjunto rotulado con el nombre "Anexos de Observaciones Preliminares".</w:t>
      </w:r>
    </w:p>
    <w:p w:rsidR="00CB0556" w:rsidRDefault="00CB0556" w:rsidP="00385668">
      <w:pPr>
        <w:pStyle w:val="INFORME0"/>
        <w:rPr>
          <w:lang w:val="es-MX"/>
        </w:rPr>
      </w:pPr>
    </w:p>
    <w:p w:rsidR="00CB0556" w:rsidRPr="00CB0556" w:rsidRDefault="00CB0556" w:rsidP="00385668">
      <w:pPr>
        <w:pStyle w:val="INFORME0"/>
        <w:rPr>
          <w:lang w:val="es-MX"/>
        </w:rPr>
      </w:pPr>
      <w:r>
        <w:rPr>
          <w:lang w:val="es-MX"/>
        </w:rPr>
        <w:t xml:space="preserve">b) </w:t>
      </w:r>
      <w:r w:rsidRPr="00CB0556">
        <w:rPr>
          <w:lang w:val="es-MX"/>
        </w:rPr>
        <w:t>57 casos con diferente número de empleado:</w:t>
      </w:r>
    </w:p>
    <w:p w:rsidR="00CB0556" w:rsidRPr="00CB0556" w:rsidRDefault="00CB0556" w:rsidP="00385668">
      <w:pPr>
        <w:pStyle w:val="INFORME0"/>
        <w:rPr>
          <w:lang w:val="es-MX"/>
        </w:rPr>
      </w:pPr>
    </w:p>
    <w:p w:rsidR="00CB0556" w:rsidRDefault="00CB0556" w:rsidP="00385668">
      <w:pPr>
        <w:pStyle w:val="INFORME0"/>
        <w:rPr>
          <w:lang w:val="es-MX"/>
        </w:rPr>
      </w:pPr>
      <w:r w:rsidRPr="00CB0556">
        <w:rPr>
          <w:lang w:val="es-MX"/>
        </w:rPr>
        <w:lastRenderedPageBreak/>
        <w:t>La relación del personal con dos saldos a cargo y diferente número de empleado se encuentra en el archivo denominado "Anexo -B-", contenido en el CD adjunto rotulado con el nombre "Anexos de Observaciones Preliminares".</w:t>
      </w:r>
    </w:p>
    <w:p w:rsidR="00AF5986" w:rsidRDefault="00AF5986" w:rsidP="00AF5986">
      <w:pPr>
        <w:spacing w:after="0"/>
        <w:ind w:firstLine="709"/>
        <w:jc w:val="both"/>
        <w:rPr>
          <w:rFonts w:ascii="Arial" w:hAnsi="Arial" w:cs="Arial"/>
          <w:sz w:val="24"/>
          <w:szCs w:val="24"/>
          <w:lang w:val="es-MX" w:eastAsia="es-ES"/>
        </w:rPr>
      </w:pPr>
    </w:p>
    <w:p w:rsidR="00385668" w:rsidRPr="00385668" w:rsidRDefault="00385668" w:rsidP="00385668">
      <w:pPr>
        <w:pStyle w:val="INFORME0"/>
        <w:rPr>
          <w:b/>
          <w:lang w:val="es-MX"/>
        </w:rPr>
      </w:pPr>
      <w:r w:rsidRPr="00385668">
        <w:rPr>
          <w:b/>
          <w:lang w:val="es-MX"/>
        </w:rPr>
        <w:t>Análisis de la Auditoría Superior del Estado</w:t>
      </w:r>
    </w:p>
    <w:p w:rsidR="00385668" w:rsidRDefault="00385668" w:rsidP="00385668">
      <w:pPr>
        <w:pStyle w:val="INFORME0"/>
        <w:rPr>
          <w:lang w:val="es-MX"/>
        </w:rPr>
      </w:pPr>
    </w:p>
    <w:p w:rsidR="00385668" w:rsidRPr="00385668" w:rsidRDefault="00385668" w:rsidP="00385668">
      <w:pPr>
        <w:pStyle w:val="INFORME0"/>
        <w:rPr>
          <w:lang w:val="es-MX"/>
        </w:rPr>
      </w:pPr>
      <w:r w:rsidRPr="00385668">
        <w:rPr>
          <w:lang w:val="es-MX"/>
        </w:rPr>
        <w:t>Derivado del análisis de la respuesta y evidencia presentada</w:t>
      </w:r>
      <w:r>
        <w:rPr>
          <w:lang w:val="es-MX"/>
        </w:rPr>
        <w:t xml:space="preserve"> por el Ente público, la Auditoría determinó que</w:t>
      </w:r>
      <w:r w:rsidRPr="00385668">
        <w:rPr>
          <w:lang w:val="es-MX"/>
        </w:rPr>
        <w:t xml:space="preserve"> esta observación</w:t>
      </w:r>
      <w:r>
        <w:rPr>
          <w:lang w:val="es-MX"/>
        </w:rPr>
        <w:t xml:space="preserve"> se solventó</w:t>
      </w:r>
      <w:r w:rsidRPr="00385668">
        <w:rPr>
          <w:lang w:val="es-MX"/>
        </w:rPr>
        <w:t xml:space="preserve"> parcialmente, d</w:t>
      </w:r>
      <w:r>
        <w:rPr>
          <w:lang w:val="es-MX"/>
        </w:rPr>
        <w:t>ebido a que el Fideicomiso anexó la</w:t>
      </w:r>
      <w:r w:rsidRPr="00385668">
        <w:rPr>
          <w:lang w:val="es-MX"/>
        </w:rPr>
        <w:t xml:space="preserve"> relación con estudio de cad</w:t>
      </w:r>
      <w:r>
        <w:rPr>
          <w:lang w:val="es-MX"/>
        </w:rPr>
        <w:t xml:space="preserve">a empleado, sin embargo no mostró </w:t>
      </w:r>
      <w:r w:rsidRPr="00385668">
        <w:rPr>
          <w:lang w:val="es-MX"/>
        </w:rPr>
        <w:t>los registros contables que soporten los movimientos señalados en su respuesta.</w:t>
      </w:r>
    </w:p>
    <w:p w:rsidR="00385668" w:rsidRPr="00385668" w:rsidRDefault="00385668" w:rsidP="00385668">
      <w:pPr>
        <w:pStyle w:val="INFORME0"/>
        <w:rPr>
          <w:lang w:val="es-MX"/>
        </w:rPr>
      </w:pPr>
    </w:p>
    <w:p w:rsidR="00385668" w:rsidRPr="00385668" w:rsidRDefault="00385668" w:rsidP="00385668">
      <w:pPr>
        <w:pStyle w:val="INFORME0"/>
        <w:rPr>
          <w:b/>
          <w:lang w:val="es-MX"/>
        </w:rPr>
      </w:pPr>
      <w:r w:rsidRPr="00385668">
        <w:rPr>
          <w:b/>
          <w:lang w:val="es-MX"/>
        </w:rPr>
        <w:t>Acción(es) o recomendación(es) emitida(s)</w:t>
      </w:r>
    </w:p>
    <w:p w:rsidR="00385668" w:rsidRPr="00385668" w:rsidRDefault="00385668" w:rsidP="00385668">
      <w:pPr>
        <w:pStyle w:val="INFORME0"/>
        <w:rPr>
          <w:i/>
          <w:lang w:val="es-MX"/>
        </w:rPr>
      </w:pPr>
      <w:r w:rsidRPr="00385668">
        <w:rPr>
          <w:i/>
          <w:lang w:val="es-MX"/>
        </w:rPr>
        <w:t>Recomendaciones en Relación a la Gestión o Control Interno.</w:t>
      </w:r>
    </w:p>
    <w:p w:rsidR="00385668" w:rsidRDefault="00385668" w:rsidP="00385668">
      <w:pPr>
        <w:pStyle w:val="INFORME0"/>
        <w:rPr>
          <w:lang w:val="es-MX"/>
        </w:rPr>
      </w:pPr>
    </w:p>
    <w:p w:rsidR="00385668" w:rsidRPr="00385668" w:rsidRDefault="00385668" w:rsidP="00385668">
      <w:pPr>
        <w:pStyle w:val="INFORME0"/>
        <w:rPr>
          <w:lang w:val="es-MX"/>
        </w:rPr>
      </w:pPr>
      <w:r>
        <w:rPr>
          <w:lang w:val="es-MX"/>
        </w:rPr>
        <w:t>7.</w:t>
      </w:r>
      <w:r w:rsidRPr="00385668">
        <w:t xml:space="preserve"> </w:t>
      </w:r>
      <w:r w:rsidRPr="00385668">
        <w:rPr>
          <w:lang w:val="es-MX"/>
        </w:rPr>
        <w:t>Se observaron 75 casos de personal fallecido, de acuerdo a la base de datos proporcionado por el Instituto de Seguridad y Servicios Sociales de los Trabajadores del Estado de Nuevo León mediante oficio ISS-1741/2015, que presentan saldo al 31 de diciembre de 2015 incumpliendo con lo establecido en el Acta de Sesión Ordinaria del Comité Técnico del Fideicomiso número 39, en el punto 5.2 Condiciones para la Reserva de Cuentas de Difícil Recuperación, el cual establece lo siguiente: "Así mismo se autoriza y aprueba que la subcuenta para siniestralidad, deberá cubrir tanto los decesos como las cuentas incobrables". Los casos detectados son los siguientes:</w:t>
      </w:r>
    </w:p>
    <w:p w:rsidR="00385668" w:rsidRDefault="00385668" w:rsidP="00385668">
      <w:pPr>
        <w:pStyle w:val="INFORME0"/>
        <w:rPr>
          <w:lang w:val="es-MX"/>
        </w:rPr>
      </w:pPr>
    </w:p>
    <w:p w:rsidR="00385668" w:rsidRPr="00385668" w:rsidRDefault="00385668" w:rsidP="00385668">
      <w:pPr>
        <w:pStyle w:val="INFORME0"/>
        <w:rPr>
          <w:lang w:val="es-MX"/>
        </w:rPr>
      </w:pPr>
      <w:r w:rsidRPr="00385668">
        <w:rPr>
          <w:lang w:val="es-MX"/>
        </w:rPr>
        <w:t>65 casos de personal fallecido con saldo a cargo por importe de $105,077.</w:t>
      </w:r>
    </w:p>
    <w:p w:rsidR="00385668" w:rsidRPr="00385668" w:rsidRDefault="00385668" w:rsidP="00385668">
      <w:pPr>
        <w:pStyle w:val="INFORME0"/>
        <w:rPr>
          <w:lang w:val="es-MX"/>
        </w:rPr>
      </w:pPr>
      <w:r w:rsidRPr="00385668">
        <w:rPr>
          <w:lang w:val="es-MX"/>
        </w:rPr>
        <w:t>10 casos de personal fallecido con saldo a favor por importe de $101,135.</w:t>
      </w:r>
    </w:p>
    <w:p w:rsidR="00385668" w:rsidRPr="00385668" w:rsidRDefault="00385668" w:rsidP="00385668">
      <w:pPr>
        <w:pStyle w:val="INFORME0"/>
        <w:rPr>
          <w:lang w:val="es-MX"/>
        </w:rPr>
      </w:pPr>
    </w:p>
    <w:p w:rsidR="00385668" w:rsidRPr="00385668" w:rsidRDefault="00385668" w:rsidP="00385668">
      <w:pPr>
        <w:pStyle w:val="INFORME0"/>
        <w:rPr>
          <w:lang w:val="es-MX"/>
        </w:rPr>
      </w:pPr>
      <w:r w:rsidRPr="00385668">
        <w:rPr>
          <w:lang w:val="es-MX"/>
        </w:rPr>
        <w:t>La relación del personal observado se encuentra en el archivo denominado "Anexo -C-", contenido en el CD adjunto rotulado con el nombre "Anexos de Observaciones Preliminares".</w:t>
      </w:r>
      <w:r>
        <w:rPr>
          <w:lang w:val="es-MX"/>
        </w:rPr>
        <w:t xml:space="preserve"> </w:t>
      </w:r>
    </w:p>
    <w:p w:rsidR="00AF5986" w:rsidRDefault="00AF5986" w:rsidP="00AF5986">
      <w:pPr>
        <w:spacing w:after="0"/>
        <w:ind w:firstLine="709"/>
        <w:jc w:val="both"/>
        <w:rPr>
          <w:rFonts w:ascii="Arial" w:hAnsi="Arial" w:cs="Arial"/>
          <w:sz w:val="24"/>
          <w:szCs w:val="24"/>
          <w:lang w:val="es-MX" w:eastAsia="es-ES"/>
        </w:rPr>
      </w:pPr>
    </w:p>
    <w:p w:rsidR="00385668" w:rsidRPr="00385668" w:rsidRDefault="00385668" w:rsidP="00385668">
      <w:pPr>
        <w:pStyle w:val="INFORME0"/>
        <w:rPr>
          <w:b/>
          <w:lang w:val="es-MX"/>
        </w:rPr>
      </w:pPr>
      <w:r w:rsidRPr="00385668">
        <w:rPr>
          <w:b/>
          <w:lang w:val="es-MX"/>
        </w:rPr>
        <w:lastRenderedPageBreak/>
        <w:t>Análisis de la Auditoría Superior del Estado</w:t>
      </w:r>
    </w:p>
    <w:p w:rsidR="00385668" w:rsidRDefault="00385668" w:rsidP="00385668">
      <w:pPr>
        <w:pStyle w:val="INFORME0"/>
        <w:rPr>
          <w:lang w:val="es-MX"/>
        </w:rPr>
      </w:pPr>
    </w:p>
    <w:p w:rsidR="00385668" w:rsidRPr="00385668" w:rsidRDefault="00385668" w:rsidP="00385668">
      <w:pPr>
        <w:pStyle w:val="INFORME0"/>
        <w:rPr>
          <w:lang w:val="es-MX"/>
        </w:rPr>
      </w:pPr>
      <w:r w:rsidRPr="00385668">
        <w:rPr>
          <w:lang w:val="es-MX"/>
        </w:rPr>
        <w:t>Derivado de análisis de la respuesta pr</w:t>
      </w:r>
      <w:r>
        <w:rPr>
          <w:lang w:val="es-MX"/>
        </w:rPr>
        <w:t>esentada por el Ente Público, la Auditoría determinó que esta observación se solventó</w:t>
      </w:r>
      <w:r w:rsidRPr="00385668">
        <w:rPr>
          <w:lang w:val="es-MX"/>
        </w:rPr>
        <w:t xml:space="preserve"> parcialmente</w:t>
      </w:r>
      <w:r>
        <w:rPr>
          <w:lang w:val="es-MX"/>
        </w:rPr>
        <w:t>,</w:t>
      </w:r>
      <w:r w:rsidRPr="00385668">
        <w:rPr>
          <w:lang w:val="es-MX"/>
        </w:rPr>
        <w:t xml:space="preserve"> </w:t>
      </w:r>
      <w:r>
        <w:rPr>
          <w:lang w:val="es-MX"/>
        </w:rPr>
        <w:t>ya que anexó la</w:t>
      </w:r>
      <w:r w:rsidRPr="00385668">
        <w:rPr>
          <w:lang w:val="es-MX"/>
        </w:rPr>
        <w:t xml:space="preserve"> integración y oficio de traspaso para la aplicación de seguros por defunción, sin embargo, no se anexó</w:t>
      </w:r>
      <w:r>
        <w:rPr>
          <w:lang w:val="es-MX"/>
        </w:rPr>
        <w:t xml:space="preserve"> la</w:t>
      </w:r>
      <w:r w:rsidRPr="00385668">
        <w:rPr>
          <w:lang w:val="es-MX"/>
        </w:rPr>
        <w:t xml:space="preserve"> evidencia documental del registro contable que permita validar su correcta aplicación.</w:t>
      </w:r>
    </w:p>
    <w:p w:rsidR="00385668" w:rsidRPr="00385668" w:rsidRDefault="00385668" w:rsidP="00385668">
      <w:pPr>
        <w:pStyle w:val="INFORME0"/>
        <w:rPr>
          <w:lang w:val="es-MX"/>
        </w:rPr>
      </w:pPr>
    </w:p>
    <w:p w:rsidR="00385668" w:rsidRPr="00385668" w:rsidRDefault="00385668" w:rsidP="00385668">
      <w:pPr>
        <w:pStyle w:val="INFORME0"/>
        <w:rPr>
          <w:b/>
          <w:lang w:val="es-MX"/>
        </w:rPr>
      </w:pPr>
      <w:r w:rsidRPr="00385668">
        <w:rPr>
          <w:b/>
          <w:lang w:val="es-MX"/>
        </w:rPr>
        <w:t>Acción(es) o recomendación(es) emitida(s)</w:t>
      </w:r>
    </w:p>
    <w:p w:rsidR="00AF5986" w:rsidRDefault="00385668" w:rsidP="00385668">
      <w:pPr>
        <w:pStyle w:val="INFORME0"/>
        <w:rPr>
          <w:i/>
          <w:lang w:val="es-MX"/>
        </w:rPr>
      </w:pPr>
      <w:r w:rsidRPr="00385668">
        <w:rPr>
          <w:i/>
          <w:lang w:val="es-MX"/>
        </w:rPr>
        <w:t xml:space="preserve">Recomendaciones en Relación </w:t>
      </w:r>
      <w:r>
        <w:rPr>
          <w:i/>
          <w:lang w:val="es-MX"/>
        </w:rPr>
        <w:t>a la Gestión o Control Interno.</w:t>
      </w:r>
    </w:p>
    <w:p w:rsidR="00385668" w:rsidRDefault="00385668" w:rsidP="00385668">
      <w:pPr>
        <w:pStyle w:val="INFORME0"/>
        <w:rPr>
          <w:i/>
          <w:lang w:val="es-MX"/>
        </w:rPr>
      </w:pPr>
    </w:p>
    <w:p w:rsidR="00385668" w:rsidRPr="00385668" w:rsidRDefault="00385668" w:rsidP="00385668">
      <w:pPr>
        <w:pStyle w:val="INFORME0"/>
        <w:rPr>
          <w:lang w:val="es-MX"/>
        </w:rPr>
      </w:pPr>
      <w:r>
        <w:rPr>
          <w:lang w:val="es-MX"/>
        </w:rPr>
        <w:t xml:space="preserve">8. </w:t>
      </w:r>
      <w:r w:rsidRPr="00385668">
        <w:rPr>
          <w:lang w:val="es-MX"/>
        </w:rPr>
        <w:t>El Fideicomiso otorgó préstamos durante el ejercicio 2015 a personal que tiene saldo por pagar considerado como cuenta incobrable, incumpliendo la obligación establecida en el "Manual de Procedimientos 2015" que menciona en el título "Captura de préstamos" lo siguiente:</w:t>
      </w:r>
    </w:p>
    <w:p w:rsidR="00385668" w:rsidRPr="00385668" w:rsidRDefault="00385668" w:rsidP="00385668">
      <w:pPr>
        <w:pStyle w:val="INFORME0"/>
        <w:rPr>
          <w:lang w:val="es-MX"/>
        </w:rPr>
      </w:pPr>
      <w:r w:rsidRPr="00385668">
        <w:rPr>
          <w:lang w:val="es-MX"/>
        </w:rPr>
        <w:t>"3. Responsabilidad</w:t>
      </w:r>
    </w:p>
    <w:p w:rsidR="00385668" w:rsidRPr="00385668" w:rsidRDefault="00385668" w:rsidP="00385668">
      <w:pPr>
        <w:pStyle w:val="INFORME0"/>
        <w:rPr>
          <w:lang w:val="es-MX"/>
        </w:rPr>
      </w:pPr>
      <w:r w:rsidRPr="00385668">
        <w:rPr>
          <w:lang w:val="es-MX"/>
        </w:rPr>
        <w:t>-Es responsabilidad del coordinador general, revisar y dar el visto bueno a los procedimientos para la correcta aplicación de los mismos, para su posterior autorización y firma del director del fideicomiso.</w:t>
      </w:r>
    </w:p>
    <w:p w:rsidR="00385668" w:rsidRPr="00385668" w:rsidRDefault="00385668" w:rsidP="00385668">
      <w:pPr>
        <w:pStyle w:val="INFORME0"/>
        <w:rPr>
          <w:lang w:val="es-MX"/>
        </w:rPr>
      </w:pPr>
      <w:r w:rsidRPr="00385668">
        <w:rPr>
          <w:lang w:val="es-MX"/>
        </w:rPr>
        <w:t>5. Procedimiento:</w:t>
      </w:r>
    </w:p>
    <w:p w:rsidR="00385668" w:rsidRPr="00385668" w:rsidRDefault="00385668" w:rsidP="00385668">
      <w:pPr>
        <w:pStyle w:val="INFORME0"/>
        <w:rPr>
          <w:lang w:val="es-MX"/>
        </w:rPr>
      </w:pPr>
      <w:r w:rsidRPr="00385668">
        <w:rPr>
          <w:lang w:val="es-MX"/>
        </w:rPr>
        <w:t>Revisar si no cuenta con adeudo pendiente."</w:t>
      </w:r>
    </w:p>
    <w:p w:rsidR="00385668" w:rsidRPr="00385668" w:rsidRDefault="00385668" w:rsidP="00385668">
      <w:pPr>
        <w:pStyle w:val="INFORME0"/>
        <w:rPr>
          <w:lang w:val="es-MX"/>
        </w:rPr>
      </w:pPr>
    </w:p>
    <w:p w:rsidR="00385668" w:rsidRDefault="00385668" w:rsidP="00385668">
      <w:pPr>
        <w:pStyle w:val="INFORME0"/>
        <w:rPr>
          <w:lang w:val="es-MX"/>
        </w:rPr>
      </w:pPr>
      <w:r w:rsidRPr="00385668">
        <w:rPr>
          <w:lang w:val="es-MX"/>
        </w:rPr>
        <w:t>Los casos detectados se muestran a continuación:</w:t>
      </w:r>
    </w:p>
    <w:p w:rsidR="00385668" w:rsidRDefault="00385668" w:rsidP="00385668">
      <w:pPr>
        <w:pStyle w:val="INFORME0"/>
        <w:rPr>
          <w:lang w:val="es-MX"/>
        </w:rPr>
      </w:pPr>
    </w:p>
    <w:tbl>
      <w:tblPr>
        <w:tblW w:w="471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4"/>
        <w:gridCol w:w="2479"/>
        <w:gridCol w:w="3848"/>
      </w:tblGrid>
      <w:tr w:rsidR="00385668" w:rsidRPr="00385668" w:rsidTr="00385668">
        <w:trPr>
          <w:tblHeader/>
          <w:tblCellSpacing w:w="15" w:type="dxa"/>
          <w:jc w:val="center"/>
        </w:trPr>
        <w:tc>
          <w:tcPr>
            <w:tcW w:w="936" w:type="pct"/>
            <w:shd w:val="clear" w:color="auto" w:fill="A6A6A6" w:themeFill="background1" w:themeFillShade="A6"/>
            <w:vAlign w:val="center"/>
            <w:hideMark/>
          </w:tcPr>
          <w:p w:rsidR="00385668" w:rsidRPr="00385668" w:rsidRDefault="00385668" w:rsidP="00385668">
            <w:pPr>
              <w:jc w:val="center"/>
              <w:rPr>
                <w:rFonts w:ascii="Arial" w:hAnsi="Arial" w:cs="Arial"/>
                <w:b/>
                <w:sz w:val="14"/>
                <w:szCs w:val="14"/>
                <w:u w:val="single"/>
                <w:lang w:val="es-MX" w:eastAsia="es-MX"/>
              </w:rPr>
            </w:pPr>
            <w:r w:rsidRPr="00385668">
              <w:rPr>
                <w:rFonts w:ascii="Arial" w:hAnsi="Arial" w:cs="Arial"/>
                <w:b/>
                <w:sz w:val="14"/>
                <w:szCs w:val="14"/>
                <w:u w:val="single"/>
                <w:lang w:val="es-MX" w:eastAsia="es-MX"/>
              </w:rPr>
              <w:t>Número de empleado</w:t>
            </w:r>
          </w:p>
        </w:tc>
        <w:tc>
          <w:tcPr>
            <w:tcW w:w="1562" w:type="pct"/>
            <w:shd w:val="clear" w:color="auto" w:fill="A6A6A6" w:themeFill="background1" w:themeFillShade="A6"/>
            <w:vAlign w:val="center"/>
            <w:hideMark/>
          </w:tcPr>
          <w:p w:rsidR="00385668" w:rsidRPr="00385668" w:rsidRDefault="00385668" w:rsidP="00385668">
            <w:pPr>
              <w:jc w:val="center"/>
              <w:rPr>
                <w:rFonts w:ascii="Arial" w:hAnsi="Arial" w:cs="Arial"/>
                <w:b/>
                <w:sz w:val="14"/>
                <w:szCs w:val="14"/>
                <w:u w:val="single"/>
                <w:lang w:val="es-MX" w:eastAsia="es-MX"/>
              </w:rPr>
            </w:pPr>
            <w:r w:rsidRPr="00385668">
              <w:rPr>
                <w:rFonts w:ascii="Arial" w:hAnsi="Arial" w:cs="Arial"/>
                <w:b/>
                <w:sz w:val="14"/>
                <w:szCs w:val="14"/>
                <w:u w:val="single"/>
                <w:lang w:val="es-MX" w:eastAsia="es-MX"/>
              </w:rPr>
              <w:t>Importe de préstamo otorgado 2015</w:t>
            </w:r>
          </w:p>
        </w:tc>
        <w:tc>
          <w:tcPr>
            <w:tcW w:w="2425" w:type="pct"/>
            <w:shd w:val="clear" w:color="auto" w:fill="A6A6A6" w:themeFill="background1" w:themeFillShade="A6"/>
            <w:vAlign w:val="center"/>
            <w:hideMark/>
          </w:tcPr>
          <w:p w:rsidR="00385668" w:rsidRPr="00385668" w:rsidRDefault="00385668" w:rsidP="00385668">
            <w:pPr>
              <w:jc w:val="center"/>
              <w:rPr>
                <w:rFonts w:ascii="Arial" w:hAnsi="Arial" w:cs="Arial"/>
                <w:b/>
                <w:sz w:val="14"/>
                <w:szCs w:val="14"/>
                <w:u w:val="single"/>
                <w:lang w:val="es-MX" w:eastAsia="es-MX"/>
              </w:rPr>
            </w:pPr>
            <w:r w:rsidRPr="00385668">
              <w:rPr>
                <w:rFonts w:ascii="Arial" w:hAnsi="Arial" w:cs="Arial"/>
                <w:b/>
                <w:sz w:val="14"/>
                <w:szCs w:val="14"/>
                <w:u w:val="single"/>
                <w:lang w:val="es-MX" w:eastAsia="es-MX"/>
              </w:rPr>
              <w:t>Saldo que integra la Estimación de cuentas incobrables</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432580</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100,000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8,651</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122487</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70,000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3,330</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517097</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50,000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97</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lastRenderedPageBreak/>
              <w:t>417623</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32,801</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427158</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1,489</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473518</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477</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513608</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6,142</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535326</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277</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542578</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1,205</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543728</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7,580</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601870</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1,489</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IV0245</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3,868</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IV0277</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30,000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471</w:t>
            </w:r>
          </w:p>
        </w:tc>
      </w:tr>
      <w:tr w:rsidR="00385668" w:rsidRPr="00385668" w:rsidTr="00385668">
        <w:trPr>
          <w:tblCellSpacing w:w="15" w:type="dxa"/>
          <w:jc w:val="center"/>
        </w:trPr>
        <w:tc>
          <w:tcPr>
            <w:tcW w:w="936"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329602</w:t>
            </w:r>
          </w:p>
        </w:tc>
        <w:tc>
          <w:tcPr>
            <w:tcW w:w="1562"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25,000</w:t>
            </w:r>
          </w:p>
        </w:tc>
        <w:tc>
          <w:tcPr>
            <w:tcW w:w="2425" w:type="pct"/>
            <w:vAlign w:val="center"/>
            <w:hideMark/>
          </w:tcPr>
          <w:p w:rsidR="00385668" w:rsidRPr="00385668" w:rsidRDefault="00385668" w:rsidP="00385668">
            <w:pPr>
              <w:jc w:val="center"/>
              <w:rPr>
                <w:rFonts w:ascii="Arial" w:hAnsi="Arial" w:cs="Arial"/>
                <w:sz w:val="14"/>
                <w:szCs w:val="14"/>
                <w:lang w:val="es-MX" w:eastAsia="es-MX"/>
              </w:rPr>
            </w:pPr>
            <w:r w:rsidRPr="00385668">
              <w:rPr>
                <w:rFonts w:ascii="Arial" w:hAnsi="Arial" w:cs="Arial"/>
                <w:sz w:val="14"/>
                <w:szCs w:val="14"/>
                <w:lang w:val="es-MX" w:eastAsia="es-MX"/>
              </w:rPr>
              <w:t>85,443</w:t>
            </w:r>
          </w:p>
        </w:tc>
      </w:tr>
    </w:tbl>
    <w:p w:rsidR="00385668" w:rsidRPr="00385668" w:rsidRDefault="00385668" w:rsidP="00385668">
      <w:pPr>
        <w:pStyle w:val="INFORME0"/>
        <w:rPr>
          <w:lang w:val="es-MX"/>
        </w:rPr>
      </w:pPr>
    </w:p>
    <w:p w:rsidR="00AF5986" w:rsidRDefault="00AF5986" w:rsidP="00AF5986">
      <w:pPr>
        <w:spacing w:after="0"/>
        <w:ind w:firstLine="709"/>
        <w:jc w:val="both"/>
        <w:rPr>
          <w:rFonts w:ascii="Arial" w:hAnsi="Arial" w:cs="Arial"/>
          <w:sz w:val="24"/>
          <w:szCs w:val="24"/>
          <w:lang w:val="es-MX" w:eastAsia="es-ES"/>
        </w:rPr>
      </w:pPr>
    </w:p>
    <w:p w:rsidR="00385668" w:rsidRPr="00385668" w:rsidRDefault="00385668" w:rsidP="00385668">
      <w:pPr>
        <w:pStyle w:val="INFORME0"/>
        <w:rPr>
          <w:b/>
          <w:lang w:val="es-MX"/>
        </w:rPr>
      </w:pPr>
      <w:r w:rsidRPr="00385668">
        <w:rPr>
          <w:b/>
          <w:lang w:val="es-MX"/>
        </w:rPr>
        <w:t>Acción(es) o recomendación(es) emitida(s)</w:t>
      </w:r>
    </w:p>
    <w:p w:rsidR="00AF5986" w:rsidRDefault="00385668" w:rsidP="00385668">
      <w:pPr>
        <w:pStyle w:val="INFORME0"/>
        <w:rPr>
          <w:i/>
          <w:lang w:val="es-MX"/>
        </w:rPr>
      </w:pPr>
      <w:r w:rsidRPr="00385668">
        <w:rPr>
          <w:i/>
          <w:lang w:val="es-MX"/>
        </w:rPr>
        <w:t>Promoción de Fincamiento de Responsabilidad Administrativa.</w:t>
      </w:r>
    </w:p>
    <w:p w:rsidR="00385668" w:rsidRDefault="00385668" w:rsidP="00385668">
      <w:pPr>
        <w:pStyle w:val="INFORME0"/>
        <w:rPr>
          <w:i/>
          <w:lang w:val="es-MX"/>
        </w:rPr>
      </w:pPr>
    </w:p>
    <w:p w:rsidR="00385668" w:rsidRDefault="00385668" w:rsidP="00385668">
      <w:pPr>
        <w:pStyle w:val="INFORME0"/>
        <w:rPr>
          <w:lang w:val="es-MX"/>
        </w:rPr>
      </w:pPr>
      <w:r>
        <w:rPr>
          <w:lang w:val="es-MX"/>
        </w:rPr>
        <w:t xml:space="preserve">9. </w:t>
      </w:r>
      <w:proofErr w:type="spellStart"/>
      <w:r w:rsidRPr="00385668">
        <w:rPr>
          <w:lang w:val="es-MX"/>
        </w:rPr>
        <w:t>Fovileón</w:t>
      </w:r>
      <w:proofErr w:type="spellEnd"/>
      <w:r w:rsidRPr="00385668">
        <w:rPr>
          <w:lang w:val="es-MX"/>
        </w:rPr>
        <w:t xml:space="preserve"> Estado no ha recuperado la cobranza que </w:t>
      </w:r>
      <w:proofErr w:type="spellStart"/>
      <w:r w:rsidRPr="00385668">
        <w:rPr>
          <w:lang w:val="es-MX"/>
        </w:rPr>
        <w:t>Fovileón</w:t>
      </w:r>
      <w:proofErr w:type="spellEnd"/>
      <w:r w:rsidRPr="00385668">
        <w:rPr>
          <w:lang w:val="es-MX"/>
        </w:rPr>
        <w:t xml:space="preserve"> Educación retiene vía nómina a sus empleados que asciende a $317,146 por concepto de préstamo especial durante el ejercicio 2015 y $388,300 correspondiente al ejercicio 2014, así como tampoco se tiene registrada la cuenta por cobrar correspondiente, incumpliendo el artículo 34 de la Ley General de Contabilidad Gubernamental.</w:t>
      </w:r>
    </w:p>
    <w:p w:rsidR="00385668" w:rsidRDefault="00385668" w:rsidP="00385668">
      <w:pPr>
        <w:pStyle w:val="INFORME0"/>
        <w:rPr>
          <w:lang w:val="es-MX"/>
        </w:rPr>
      </w:pPr>
    </w:p>
    <w:p w:rsidR="00385668" w:rsidRDefault="00385668" w:rsidP="00385668">
      <w:pPr>
        <w:pStyle w:val="INFORME0"/>
        <w:rPr>
          <w:b/>
          <w:lang w:val="es-MX"/>
        </w:rPr>
      </w:pPr>
    </w:p>
    <w:p w:rsidR="00385668" w:rsidRDefault="00385668" w:rsidP="00385668">
      <w:pPr>
        <w:pStyle w:val="INFORME0"/>
        <w:rPr>
          <w:b/>
          <w:lang w:val="es-MX"/>
        </w:rPr>
      </w:pPr>
    </w:p>
    <w:p w:rsidR="00385668" w:rsidRPr="00385668" w:rsidRDefault="00385668" w:rsidP="00385668">
      <w:pPr>
        <w:pStyle w:val="INFORME0"/>
        <w:rPr>
          <w:b/>
          <w:lang w:val="es-MX"/>
        </w:rPr>
      </w:pPr>
      <w:r w:rsidRPr="00385668">
        <w:rPr>
          <w:b/>
          <w:lang w:val="es-MX"/>
        </w:rPr>
        <w:lastRenderedPageBreak/>
        <w:t>Análisis de la Auditoría Superior del Estado</w:t>
      </w:r>
    </w:p>
    <w:p w:rsidR="00385668" w:rsidRDefault="00385668" w:rsidP="00385668">
      <w:pPr>
        <w:pStyle w:val="INFORME0"/>
        <w:rPr>
          <w:lang w:val="es-MX"/>
        </w:rPr>
      </w:pPr>
    </w:p>
    <w:p w:rsidR="00385668" w:rsidRPr="00385668" w:rsidRDefault="00385668" w:rsidP="00385668">
      <w:pPr>
        <w:pStyle w:val="INFORME0"/>
        <w:rPr>
          <w:lang w:val="es-MX"/>
        </w:rPr>
      </w:pPr>
      <w:r>
        <w:rPr>
          <w:lang w:val="es-MX"/>
        </w:rPr>
        <w:t xml:space="preserve">La Auditoría analizó la </w:t>
      </w:r>
      <w:r w:rsidRPr="00385668">
        <w:rPr>
          <w:lang w:val="es-MX"/>
        </w:rPr>
        <w:t>respuesta y la evidencia presentada por el Ente Público,</w:t>
      </w:r>
      <w:r>
        <w:rPr>
          <w:lang w:val="es-MX"/>
        </w:rPr>
        <w:t xml:space="preserve"> y determinó que esta observación se solventó</w:t>
      </w:r>
      <w:r w:rsidRPr="00385668">
        <w:rPr>
          <w:lang w:val="es-MX"/>
        </w:rPr>
        <w:t xml:space="preserve"> parcialmente,</w:t>
      </w:r>
      <w:r>
        <w:rPr>
          <w:lang w:val="es-MX"/>
        </w:rPr>
        <w:t xml:space="preserve"> ya que si bien se anexaron las</w:t>
      </w:r>
      <w:r w:rsidRPr="00385668">
        <w:rPr>
          <w:lang w:val="es-MX"/>
        </w:rPr>
        <w:t xml:space="preserve"> pólizas de los registros contables de las cuentas por cobrar correspondientes</w:t>
      </w:r>
      <w:r>
        <w:rPr>
          <w:lang w:val="es-MX"/>
        </w:rPr>
        <w:t>, no se exhibió que</w:t>
      </w:r>
      <w:r w:rsidRPr="00385668">
        <w:rPr>
          <w:lang w:val="es-MX"/>
        </w:rPr>
        <w:t xml:space="preserve"> haya</w:t>
      </w:r>
      <w:r>
        <w:rPr>
          <w:lang w:val="es-MX"/>
        </w:rPr>
        <w:t>n</w:t>
      </w:r>
      <w:r w:rsidRPr="00385668">
        <w:rPr>
          <w:lang w:val="es-MX"/>
        </w:rPr>
        <w:t xml:space="preserve"> realizado la gestión de cobranza del saldo por el concepto de préstamo especial.</w:t>
      </w:r>
    </w:p>
    <w:p w:rsidR="00385668" w:rsidRDefault="00385668" w:rsidP="00385668">
      <w:pPr>
        <w:pStyle w:val="INFORME0"/>
        <w:rPr>
          <w:lang w:val="es-MX"/>
        </w:rPr>
      </w:pPr>
    </w:p>
    <w:p w:rsidR="00385668" w:rsidRPr="00385668" w:rsidRDefault="00385668" w:rsidP="00385668">
      <w:pPr>
        <w:pStyle w:val="INFORME0"/>
        <w:rPr>
          <w:b/>
          <w:lang w:val="es-MX"/>
        </w:rPr>
      </w:pPr>
      <w:r w:rsidRPr="00385668">
        <w:rPr>
          <w:b/>
          <w:lang w:val="es-MX"/>
        </w:rPr>
        <w:t>Acción(es) o recomendación(es) emitida(s)</w:t>
      </w:r>
    </w:p>
    <w:p w:rsidR="00385668" w:rsidRPr="00385668" w:rsidRDefault="00385668" w:rsidP="00385668">
      <w:pPr>
        <w:pStyle w:val="INFORME0"/>
        <w:rPr>
          <w:i/>
          <w:lang w:val="es-MX"/>
        </w:rPr>
      </w:pPr>
      <w:r w:rsidRPr="00385668">
        <w:rPr>
          <w:i/>
          <w:lang w:val="es-MX"/>
        </w:rPr>
        <w:t>Promoción de Fincamiento de Responsabilidad Administrativa.</w:t>
      </w:r>
    </w:p>
    <w:p w:rsidR="00385668" w:rsidRDefault="00385668" w:rsidP="00385668">
      <w:pPr>
        <w:pStyle w:val="INFORME0"/>
        <w:rPr>
          <w:lang w:val="es-MX"/>
        </w:rPr>
      </w:pPr>
    </w:p>
    <w:p w:rsidR="00385668" w:rsidRPr="00385668" w:rsidRDefault="00385668" w:rsidP="00385668">
      <w:pPr>
        <w:pStyle w:val="INFORME0"/>
        <w:rPr>
          <w:b/>
          <w:u w:val="single"/>
          <w:lang w:val="es-MX"/>
        </w:rPr>
      </w:pPr>
      <w:r w:rsidRPr="00385668">
        <w:rPr>
          <w:b/>
          <w:u w:val="single"/>
          <w:lang w:val="es-MX"/>
        </w:rPr>
        <w:t>Activo no circulante</w:t>
      </w:r>
    </w:p>
    <w:p w:rsidR="00385668" w:rsidRPr="00385668" w:rsidRDefault="00385668" w:rsidP="00385668">
      <w:pPr>
        <w:pStyle w:val="INFORME0"/>
        <w:rPr>
          <w:b/>
          <w:u w:val="single"/>
          <w:lang w:val="es-MX"/>
        </w:rPr>
      </w:pPr>
      <w:r w:rsidRPr="00385668">
        <w:rPr>
          <w:b/>
          <w:u w:val="single"/>
          <w:lang w:val="es-MX"/>
        </w:rPr>
        <w:t>Depreciación, deterioro y amortización acumulada de bienes</w:t>
      </w:r>
    </w:p>
    <w:p w:rsidR="00385668" w:rsidRDefault="00385668" w:rsidP="00385668">
      <w:pPr>
        <w:pStyle w:val="INFORME0"/>
        <w:rPr>
          <w:b/>
          <w:u w:val="single"/>
          <w:lang w:val="es-MX"/>
        </w:rPr>
      </w:pPr>
      <w:r w:rsidRPr="00385668">
        <w:rPr>
          <w:b/>
          <w:u w:val="single"/>
          <w:lang w:val="es-MX"/>
        </w:rPr>
        <w:t>Depreciación acumulada de bienes muebles</w:t>
      </w:r>
    </w:p>
    <w:p w:rsidR="00385668" w:rsidRDefault="00385668" w:rsidP="00385668">
      <w:pPr>
        <w:pStyle w:val="INFORME0"/>
        <w:rPr>
          <w:b/>
          <w:u w:val="single"/>
          <w:lang w:val="es-MX"/>
        </w:rPr>
      </w:pPr>
    </w:p>
    <w:p w:rsidR="00385668" w:rsidRDefault="00385668" w:rsidP="00385668">
      <w:pPr>
        <w:pStyle w:val="INFORME0"/>
        <w:rPr>
          <w:lang w:val="es-MX"/>
        </w:rPr>
      </w:pPr>
      <w:r>
        <w:rPr>
          <w:lang w:val="es-MX"/>
        </w:rPr>
        <w:t xml:space="preserve">10. </w:t>
      </w:r>
      <w:r w:rsidRPr="00385668">
        <w:rPr>
          <w:lang w:val="es-MX"/>
        </w:rPr>
        <w:t>No se proporcionó ni fue exhibida por el Ente Público evidencia del cálculo de la depreciación conforme a lo establecido en el Acuerdo por el que se emiten las reglas específicas del registro y valoración del patrimonio (inciso B - punto 6 - Depreciación, deterioro y amortización, del ejercicio y acumulada de bienes), estableciendo su observancia obligatoria, de conformidad con el artículo 7 de la Ley General de Contabilidad Gubernamental.</w:t>
      </w:r>
    </w:p>
    <w:p w:rsidR="00385668" w:rsidRDefault="00385668" w:rsidP="00385668">
      <w:pPr>
        <w:pStyle w:val="INFORME0"/>
        <w:rPr>
          <w:lang w:val="es-MX"/>
        </w:rPr>
      </w:pPr>
    </w:p>
    <w:p w:rsidR="00385668" w:rsidRPr="00385668" w:rsidRDefault="00385668" w:rsidP="00385668">
      <w:pPr>
        <w:pStyle w:val="INFORME0"/>
        <w:rPr>
          <w:b/>
          <w:lang w:val="es-MX"/>
        </w:rPr>
      </w:pPr>
      <w:r w:rsidRPr="00385668">
        <w:rPr>
          <w:b/>
          <w:lang w:val="es-MX"/>
        </w:rPr>
        <w:t>Acción(es) o recomendación(es) emitida(s)</w:t>
      </w:r>
    </w:p>
    <w:p w:rsidR="00385668" w:rsidRPr="00385668" w:rsidRDefault="00385668" w:rsidP="00385668">
      <w:pPr>
        <w:pStyle w:val="INFORME0"/>
        <w:rPr>
          <w:i/>
          <w:lang w:val="es-MX"/>
        </w:rPr>
      </w:pPr>
      <w:r w:rsidRPr="00385668">
        <w:rPr>
          <w:i/>
          <w:lang w:val="es-MX"/>
        </w:rPr>
        <w:t>Promoción de Fincamiento de Responsabilidad Administrativa.</w:t>
      </w:r>
    </w:p>
    <w:p w:rsidR="00AF5986" w:rsidRDefault="00AF5986" w:rsidP="00AF5986">
      <w:pPr>
        <w:spacing w:after="0"/>
        <w:ind w:firstLine="709"/>
        <w:jc w:val="both"/>
        <w:rPr>
          <w:rFonts w:ascii="Arial" w:hAnsi="Arial" w:cs="Arial"/>
          <w:sz w:val="24"/>
          <w:szCs w:val="24"/>
          <w:lang w:val="es-MX" w:eastAsia="es-ES"/>
        </w:rPr>
      </w:pPr>
    </w:p>
    <w:p w:rsidR="00385668" w:rsidRPr="00385668" w:rsidRDefault="00385668" w:rsidP="00385668">
      <w:pPr>
        <w:pStyle w:val="INFORME0"/>
        <w:rPr>
          <w:b/>
          <w:u w:val="single"/>
          <w:lang w:val="es-MX"/>
        </w:rPr>
      </w:pPr>
      <w:r w:rsidRPr="00385668">
        <w:rPr>
          <w:b/>
          <w:u w:val="single"/>
          <w:lang w:val="es-MX"/>
        </w:rPr>
        <w:t>Estimación por pérdida o deterioro de activos no circulantes</w:t>
      </w:r>
    </w:p>
    <w:p w:rsidR="00AF5986" w:rsidRPr="00385668" w:rsidRDefault="00385668" w:rsidP="00385668">
      <w:pPr>
        <w:pStyle w:val="INFORME0"/>
        <w:rPr>
          <w:b/>
          <w:u w:val="single"/>
          <w:lang w:val="es-MX"/>
        </w:rPr>
      </w:pPr>
      <w:r w:rsidRPr="00385668">
        <w:rPr>
          <w:b/>
          <w:u w:val="single"/>
          <w:lang w:val="es-MX"/>
        </w:rPr>
        <w:t>Estimación para cuentas incobrables por derechos a recibir efectivo o equivalentes</w:t>
      </w:r>
    </w:p>
    <w:p w:rsidR="00AF5986" w:rsidRDefault="00AF5986" w:rsidP="00AF5986">
      <w:pPr>
        <w:spacing w:after="0"/>
        <w:ind w:firstLine="709"/>
        <w:jc w:val="both"/>
        <w:rPr>
          <w:rFonts w:ascii="Arial" w:hAnsi="Arial" w:cs="Arial"/>
          <w:sz w:val="24"/>
          <w:szCs w:val="24"/>
          <w:lang w:val="es-MX" w:eastAsia="es-ES"/>
        </w:rPr>
      </w:pPr>
    </w:p>
    <w:p w:rsidR="00385668" w:rsidRPr="00385668" w:rsidRDefault="00385668" w:rsidP="00385668">
      <w:pPr>
        <w:pStyle w:val="INFORME0"/>
        <w:rPr>
          <w:lang w:val="es-MX"/>
        </w:rPr>
      </w:pPr>
      <w:r>
        <w:rPr>
          <w:lang w:val="es-MX"/>
        </w:rPr>
        <w:lastRenderedPageBreak/>
        <w:t xml:space="preserve">11. </w:t>
      </w:r>
      <w:r w:rsidRPr="00385668">
        <w:rPr>
          <w:lang w:val="es-MX"/>
        </w:rPr>
        <w:t>De la revisión a la cuenta Estimación para cuentas incobrables por cuentas por cobrar a corto plazo se determinaron las siguientes observaciones:</w:t>
      </w:r>
    </w:p>
    <w:p w:rsidR="00385668" w:rsidRDefault="00385668" w:rsidP="00385668">
      <w:pPr>
        <w:pStyle w:val="INFORME0"/>
        <w:rPr>
          <w:lang w:val="es-MX"/>
        </w:rPr>
      </w:pPr>
    </w:p>
    <w:p w:rsidR="00385668" w:rsidRDefault="00385668" w:rsidP="00385668">
      <w:pPr>
        <w:pStyle w:val="INFORME0"/>
        <w:rPr>
          <w:lang w:val="es-MX"/>
        </w:rPr>
      </w:pPr>
      <w:r>
        <w:rPr>
          <w:lang w:val="es-MX"/>
        </w:rPr>
        <w:t xml:space="preserve">1) </w:t>
      </w:r>
      <w:r w:rsidRPr="00385668">
        <w:rPr>
          <w:lang w:val="es-MX"/>
        </w:rPr>
        <w:t>El Fideicomiso determinó la estimación de cuentas incobrables por $20</w:t>
      </w:r>
      <w:proofErr w:type="gramStart"/>
      <w:r w:rsidRPr="00385668">
        <w:rPr>
          <w:lang w:val="es-MX"/>
        </w:rPr>
        <w:t>,247,665</w:t>
      </w:r>
      <w:proofErr w:type="gramEnd"/>
      <w:r w:rsidRPr="00385668">
        <w:rPr>
          <w:lang w:val="es-MX"/>
        </w:rPr>
        <w:t xml:space="preserve"> considerando las cuentas individuales con 1 año sin aplicar descuento, omitiendo el procedimiento aprobado por el Comité Técnico del Fideicomiso en acta 39 de sesión ordinaria que menciona lo siguiente:</w:t>
      </w:r>
    </w:p>
    <w:p w:rsidR="00385668" w:rsidRPr="00385668" w:rsidRDefault="00385668" w:rsidP="00385668">
      <w:pPr>
        <w:pStyle w:val="INFORME0"/>
        <w:rPr>
          <w:lang w:val="es-MX"/>
        </w:rPr>
      </w:pPr>
    </w:p>
    <w:p w:rsidR="00385668" w:rsidRPr="00385668" w:rsidRDefault="00385668" w:rsidP="00385668">
      <w:pPr>
        <w:pStyle w:val="INFORME0"/>
        <w:rPr>
          <w:lang w:val="es-MX"/>
        </w:rPr>
      </w:pPr>
      <w:r w:rsidRPr="00385668">
        <w:rPr>
          <w:lang w:val="es-MX"/>
        </w:rPr>
        <w:t>"Las condiciones para considerar que un adeudo es de difícil recuperación son:</w:t>
      </w:r>
    </w:p>
    <w:p w:rsidR="00385668" w:rsidRPr="00385668" w:rsidRDefault="00385668" w:rsidP="00385668">
      <w:pPr>
        <w:pStyle w:val="INFORME0"/>
        <w:rPr>
          <w:lang w:val="es-MX"/>
        </w:rPr>
      </w:pPr>
      <w:r w:rsidRPr="00385668">
        <w:rPr>
          <w:lang w:val="es-MX"/>
        </w:rPr>
        <w:t>Los servidores públicos que hubiesen causado baja o renuncia y que con su liquidación no cubra el monto del adeudo.</w:t>
      </w:r>
    </w:p>
    <w:p w:rsidR="00385668" w:rsidRPr="00385668" w:rsidRDefault="00385668" w:rsidP="00385668">
      <w:pPr>
        <w:pStyle w:val="INFORME0"/>
        <w:rPr>
          <w:lang w:val="es-MX"/>
        </w:rPr>
      </w:pPr>
      <w:r w:rsidRPr="00385668">
        <w:rPr>
          <w:lang w:val="es-MX"/>
        </w:rPr>
        <w:t>Que el aval hubiese dejado de laborar para el Gobierno del Estado.</w:t>
      </w:r>
    </w:p>
    <w:p w:rsidR="00385668" w:rsidRPr="00385668" w:rsidRDefault="00385668" w:rsidP="00385668">
      <w:pPr>
        <w:pStyle w:val="INFORME0"/>
        <w:rPr>
          <w:lang w:val="es-MX"/>
        </w:rPr>
      </w:pPr>
      <w:r w:rsidRPr="00385668">
        <w:rPr>
          <w:lang w:val="es-MX"/>
        </w:rPr>
        <w:t>Y que una vez verificado en el sistema de aportaciones de ISSSTELEÓN, el titular y el aval no se hayan reubicado en otra Dependencia u Organismo del Gobierno del Estado.</w:t>
      </w:r>
    </w:p>
    <w:p w:rsidR="00385668" w:rsidRPr="00385668" w:rsidRDefault="00385668" w:rsidP="00385668">
      <w:pPr>
        <w:pStyle w:val="INFORME0"/>
        <w:rPr>
          <w:lang w:val="es-MX"/>
        </w:rPr>
      </w:pPr>
      <w:r w:rsidRPr="00385668">
        <w:rPr>
          <w:lang w:val="es-MX"/>
        </w:rPr>
        <w:t>En este supuesto la cobranza se hará de la siguiente manera:</w:t>
      </w:r>
    </w:p>
    <w:p w:rsidR="00385668" w:rsidRPr="00385668" w:rsidRDefault="00385668" w:rsidP="00385668">
      <w:pPr>
        <w:pStyle w:val="INFORME0"/>
        <w:rPr>
          <w:lang w:val="es-MX"/>
        </w:rPr>
      </w:pPr>
      <w:r w:rsidRPr="00385668">
        <w:rPr>
          <w:lang w:val="es-MX"/>
        </w:rPr>
        <w:t>Durante el primer año:</w:t>
      </w:r>
    </w:p>
    <w:p w:rsidR="00385668" w:rsidRPr="00385668" w:rsidRDefault="00385668" w:rsidP="00385668">
      <w:pPr>
        <w:pStyle w:val="INFORME0"/>
        <w:rPr>
          <w:lang w:val="es-MX"/>
        </w:rPr>
      </w:pPr>
      <w:r w:rsidRPr="00385668">
        <w:rPr>
          <w:lang w:val="es-MX"/>
        </w:rPr>
        <w:t>Se procederá a realizar cobranza por medios extrajudiciales, directamente por FOVILEÓN con el apoyo de la Dirección de Recursos Humanos, Organismos y el Sindicato, a fin de localizar al deudor, quien podrá liquidar a través de caja o presentando un nuevo aval.</w:t>
      </w:r>
    </w:p>
    <w:p w:rsidR="00385668" w:rsidRPr="00385668" w:rsidRDefault="00385668" w:rsidP="00385668">
      <w:pPr>
        <w:pStyle w:val="INFORME0"/>
        <w:rPr>
          <w:lang w:val="es-MX"/>
        </w:rPr>
      </w:pPr>
      <w:r w:rsidRPr="00385668">
        <w:rPr>
          <w:lang w:val="es-MX"/>
        </w:rPr>
        <w:t>Los adeudos, que no fuesen cubiertos tanto por el sujeto de crédito como por su aval después de un año de no pago, serán reservados a una cuenta de estimación de difícil de recuperación. Sin embargo subsistirá el crédito contra el deudor y el aval por los siguientes dos años.</w:t>
      </w:r>
    </w:p>
    <w:p w:rsidR="00385668" w:rsidRPr="00385668" w:rsidRDefault="00385668" w:rsidP="00385668">
      <w:pPr>
        <w:pStyle w:val="INFORME0"/>
        <w:rPr>
          <w:lang w:val="es-MX"/>
        </w:rPr>
      </w:pPr>
      <w:r w:rsidRPr="00385668">
        <w:rPr>
          <w:lang w:val="es-MX"/>
        </w:rPr>
        <w:t>Durante este período de dos años se podrá continuar con la cobranza extrajudicial.</w:t>
      </w:r>
    </w:p>
    <w:p w:rsidR="00385668" w:rsidRPr="00385668" w:rsidRDefault="00385668" w:rsidP="00385668">
      <w:pPr>
        <w:pStyle w:val="INFORME0"/>
        <w:rPr>
          <w:lang w:val="es-MX"/>
        </w:rPr>
      </w:pPr>
      <w:r w:rsidRPr="00385668">
        <w:rPr>
          <w:lang w:val="es-MX"/>
        </w:rPr>
        <w:t>Al término de 3 años y agotadas las posibilidades de cobro, se procederá a cancelar los adeudos contra la subcuenta de siniestralidad, previamente presentado el informe al Comité Técnico para su aprobación. Pasado este período no se ejercerá cobranza alguna.</w:t>
      </w:r>
    </w:p>
    <w:p w:rsidR="00385668" w:rsidRPr="00385668" w:rsidRDefault="00385668" w:rsidP="00385668">
      <w:pPr>
        <w:pStyle w:val="INFORME0"/>
        <w:rPr>
          <w:lang w:val="es-MX"/>
        </w:rPr>
      </w:pPr>
      <w:r w:rsidRPr="00385668">
        <w:rPr>
          <w:lang w:val="es-MX"/>
        </w:rPr>
        <w:lastRenderedPageBreak/>
        <w:t>Semestralmente deberá presentarse un informé al Comité Técnico de las cuentas que estén en alguno de los tres supuestos anteriormente especificados.</w:t>
      </w:r>
    </w:p>
    <w:p w:rsidR="00385668" w:rsidRDefault="00385668" w:rsidP="00385668">
      <w:pPr>
        <w:pStyle w:val="INFORME0"/>
        <w:rPr>
          <w:lang w:val="es-MX"/>
        </w:rPr>
      </w:pPr>
    </w:p>
    <w:p w:rsidR="00385668" w:rsidRPr="00385668" w:rsidRDefault="00385668" w:rsidP="00385668">
      <w:pPr>
        <w:pStyle w:val="INFORME0"/>
        <w:rPr>
          <w:lang w:val="es-MX"/>
        </w:rPr>
      </w:pPr>
      <w:r w:rsidRPr="00385668">
        <w:rPr>
          <w:lang w:val="es-MX"/>
        </w:rPr>
        <w:t>Lo anterior permitirá un control eficaz de la cartera y una certera toma de decisiones."</w:t>
      </w:r>
    </w:p>
    <w:p w:rsidR="00385668" w:rsidRDefault="00385668" w:rsidP="00385668">
      <w:pPr>
        <w:pStyle w:val="INFORME0"/>
        <w:rPr>
          <w:lang w:val="es-MX"/>
        </w:rPr>
      </w:pPr>
    </w:p>
    <w:p w:rsidR="00385668" w:rsidRDefault="00385668" w:rsidP="00385668">
      <w:pPr>
        <w:pStyle w:val="INFORME0"/>
        <w:rPr>
          <w:lang w:val="es-MX"/>
        </w:rPr>
      </w:pPr>
      <w:r>
        <w:rPr>
          <w:lang w:val="es-MX"/>
        </w:rPr>
        <w:t xml:space="preserve">2) </w:t>
      </w:r>
      <w:r w:rsidRPr="00385668">
        <w:rPr>
          <w:lang w:val="es-MX"/>
        </w:rPr>
        <w:t>Durante el ejercicio sólo se incrementó la estimación de cuentas incobrables en el mes de diciembre, sin embargo deben actualizarse mensualmente como s</w:t>
      </w:r>
      <w:r>
        <w:rPr>
          <w:lang w:val="es-MX"/>
        </w:rPr>
        <w:t xml:space="preserve">e establece en el punto 5 de </w:t>
      </w:r>
      <w:r w:rsidRPr="00385668">
        <w:rPr>
          <w:lang w:val="es-MX"/>
        </w:rPr>
        <w:t>las Reglas específicas del Registro y Valoración del Patrimonio de observancia obligatoria conforme al artículo 7 de la Ley General de Contabilidad Gubernamental.</w:t>
      </w:r>
    </w:p>
    <w:p w:rsidR="00385668" w:rsidRDefault="00385668" w:rsidP="00385668">
      <w:pPr>
        <w:pStyle w:val="INFORME0"/>
        <w:rPr>
          <w:lang w:val="es-MX"/>
        </w:rPr>
      </w:pPr>
    </w:p>
    <w:p w:rsidR="00385668" w:rsidRPr="00385668" w:rsidRDefault="00385668" w:rsidP="00385668">
      <w:pPr>
        <w:pStyle w:val="INFORME0"/>
        <w:rPr>
          <w:b/>
          <w:lang w:val="es-MX"/>
        </w:rPr>
      </w:pPr>
      <w:r w:rsidRPr="00385668">
        <w:rPr>
          <w:b/>
          <w:lang w:val="es-MX"/>
        </w:rPr>
        <w:t>Acción(es) o recomendación(es) emitida(s)</w:t>
      </w:r>
    </w:p>
    <w:p w:rsidR="00385668" w:rsidRPr="00385668" w:rsidRDefault="00385668" w:rsidP="00385668">
      <w:pPr>
        <w:pStyle w:val="INFORME0"/>
        <w:rPr>
          <w:i/>
          <w:lang w:val="es-MX"/>
        </w:rPr>
      </w:pPr>
      <w:r w:rsidRPr="00385668">
        <w:rPr>
          <w:i/>
          <w:lang w:val="es-MX"/>
        </w:rPr>
        <w:t>Promoción de Fincamiento de Responsabilidad Administrativa.</w:t>
      </w:r>
    </w:p>
    <w:p w:rsidR="00385668" w:rsidRPr="00385668" w:rsidRDefault="00385668" w:rsidP="00385668">
      <w:pPr>
        <w:pStyle w:val="INFORME0"/>
        <w:rPr>
          <w:i/>
          <w:lang w:val="es-MX"/>
        </w:rPr>
      </w:pPr>
      <w:r w:rsidRPr="00385668">
        <w:rPr>
          <w:i/>
          <w:lang w:val="es-MX"/>
        </w:rPr>
        <w:t>Recomendaciones en Relación a la Gestión o Control Interno.</w:t>
      </w:r>
    </w:p>
    <w:p w:rsidR="00385668" w:rsidRDefault="00385668" w:rsidP="00385668">
      <w:pPr>
        <w:pStyle w:val="INFORME0"/>
        <w:rPr>
          <w:lang w:val="es-MX"/>
        </w:rPr>
      </w:pPr>
    </w:p>
    <w:p w:rsidR="00385668" w:rsidRPr="00385668" w:rsidRDefault="00385668" w:rsidP="00385668">
      <w:pPr>
        <w:pStyle w:val="INFORME0"/>
        <w:rPr>
          <w:b/>
          <w:u w:val="single"/>
          <w:lang w:val="es-MX"/>
        </w:rPr>
      </w:pPr>
      <w:r w:rsidRPr="00385668">
        <w:rPr>
          <w:b/>
          <w:u w:val="single"/>
          <w:lang w:val="es-MX"/>
        </w:rPr>
        <w:t>PASIVO</w:t>
      </w:r>
    </w:p>
    <w:p w:rsidR="00385668" w:rsidRPr="00385668" w:rsidRDefault="00385668" w:rsidP="00385668">
      <w:pPr>
        <w:pStyle w:val="INFORME0"/>
        <w:rPr>
          <w:b/>
          <w:u w:val="single"/>
          <w:lang w:val="es-MX"/>
        </w:rPr>
      </w:pPr>
      <w:r w:rsidRPr="00385668">
        <w:rPr>
          <w:b/>
          <w:u w:val="single"/>
          <w:lang w:val="es-MX"/>
        </w:rPr>
        <w:t>Pasivo circulante</w:t>
      </w:r>
    </w:p>
    <w:p w:rsidR="00385668" w:rsidRPr="00385668" w:rsidRDefault="00385668" w:rsidP="00385668">
      <w:pPr>
        <w:pStyle w:val="INFORME0"/>
        <w:rPr>
          <w:b/>
          <w:u w:val="single"/>
          <w:lang w:val="es-MX"/>
        </w:rPr>
      </w:pPr>
      <w:r w:rsidRPr="00385668">
        <w:rPr>
          <w:b/>
          <w:u w:val="single"/>
          <w:lang w:val="es-MX"/>
        </w:rPr>
        <w:t>Provisiones a corto plazo</w:t>
      </w:r>
    </w:p>
    <w:p w:rsidR="00385668" w:rsidRPr="00385668" w:rsidRDefault="00385668" w:rsidP="00385668">
      <w:pPr>
        <w:pStyle w:val="INFORME0"/>
        <w:rPr>
          <w:b/>
          <w:u w:val="single"/>
          <w:lang w:val="es-MX"/>
        </w:rPr>
      </w:pPr>
      <w:r w:rsidRPr="00385668">
        <w:rPr>
          <w:b/>
          <w:u w:val="single"/>
          <w:lang w:val="es-MX"/>
        </w:rPr>
        <w:t>Otras cuentas por pagar a corto plazo</w:t>
      </w:r>
    </w:p>
    <w:p w:rsidR="00385668" w:rsidRDefault="00385668" w:rsidP="00385668">
      <w:pPr>
        <w:pStyle w:val="INFORME0"/>
        <w:rPr>
          <w:lang w:val="es-MX"/>
        </w:rPr>
      </w:pPr>
    </w:p>
    <w:p w:rsidR="00FF2E87" w:rsidRDefault="00385668" w:rsidP="00385668">
      <w:pPr>
        <w:pStyle w:val="INFORME0"/>
        <w:rPr>
          <w:lang w:val="es-MX"/>
        </w:rPr>
      </w:pPr>
      <w:r>
        <w:rPr>
          <w:lang w:val="es-MX"/>
        </w:rPr>
        <w:t>12.</w:t>
      </w:r>
      <w:r w:rsidRPr="00385668">
        <w:t xml:space="preserve"> </w:t>
      </w:r>
      <w:r w:rsidRPr="00385668">
        <w:rPr>
          <w:lang w:val="es-MX"/>
        </w:rPr>
        <w:t>En el reporte de cartera se detectaron 2,126 casos que presentaron saldos a favor del beneficiario originados por falta de análisis y depuración, mismos que se relacionan en el archivo electrónico "Anexo -D-" que se encuentra adjunto al comunicado en el CD "Anexos de Observaciones Preliminares".</w:t>
      </w:r>
    </w:p>
    <w:p w:rsidR="00FF2E87" w:rsidRDefault="00FF2E87" w:rsidP="00385668">
      <w:pPr>
        <w:pStyle w:val="INFORME0"/>
        <w:rPr>
          <w:lang w:val="es-MX"/>
        </w:rPr>
      </w:pPr>
    </w:p>
    <w:p w:rsidR="00FF2E87" w:rsidRDefault="00FF2E87" w:rsidP="00385668">
      <w:pPr>
        <w:pStyle w:val="INFORME0"/>
        <w:rPr>
          <w:lang w:val="es-MX"/>
        </w:rPr>
      </w:pPr>
      <w:r w:rsidRPr="00FF2E87">
        <w:rPr>
          <w:lang w:val="es-MX"/>
        </w:rPr>
        <w:t>La antigüedad de los saldos mayores a un año es la siguiente:</w:t>
      </w:r>
    </w:p>
    <w:p w:rsidR="00FF2E87" w:rsidRDefault="00FF2E87" w:rsidP="00385668">
      <w:pPr>
        <w:pStyle w:val="INFORME0"/>
        <w:rPr>
          <w:lang w:val="es-MX"/>
        </w:rPr>
      </w:pPr>
    </w:p>
    <w:tbl>
      <w:tblPr>
        <w:tblW w:w="127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9"/>
        <w:gridCol w:w="351"/>
        <w:gridCol w:w="761"/>
      </w:tblGrid>
      <w:tr w:rsidR="00FF2E87" w:rsidRPr="00FF2E87" w:rsidTr="00FF2E87">
        <w:trPr>
          <w:tblHeader/>
          <w:tblCellSpacing w:w="15" w:type="dxa"/>
          <w:jc w:val="center"/>
        </w:trPr>
        <w:tc>
          <w:tcPr>
            <w:tcW w:w="2274" w:type="pct"/>
            <w:shd w:val="clear" w:color="auto" w:fill="A6A6A6" w:themeFill="background1" w:themeFillShade="A6"/>
            <w:vAlign w:val="center"/>
            <w:hideMark/>
          </w:tcPr>
          <w:p w:rsidR="00FF2E87" w:rsidRPr="00FF2E87" w:rsidRDefault="00FF2E87" w:rsidP="00FF2E87">
            <w:pPr>
              <w:jc w:val="center"/>
              <w:rPr>
                <w:rFonts w:ascii="Arial" w:hAnsi="Arial" w:cs="Arial"/>
                <w:b/>
                <w:sz w:val="14"/>
                <w:szCs w:val="14"/>
                <w:u w:val="single"/>
                <w:lang w:val="es-MX" w:eastAsia="es-MX"/>
              </w:rPr>
            </w:pPr>
            <w:r w:rsidRPr="00FF2E87">
              <w:rPr>
                <w:rFonts w:ascii="Arial" w:hAnsi="Arial" w:cs="Arial"/>
                <w:b/>
                <w:sz w:val="14"/>
                <w:szCs w:val="14"/>
                <w:u w:val="single"/>
                <w:lang w:val="es-MX" w:eastAsia="es-MX"/>
              </w:rPr>
              <w:lastRenderedPageBreak/>
              <w:t>Año</w:t>
            </w:r>
          </w:p>
        </w:tc>
        <w:tc>
          <w:tcPr>
            <w:tcW w:w="756" w:type="pct"/>
            <w:shd w:val="clear" w:color="auto" w:fill="A6A6A6" w:themeFill="background1" w:themeFillShade="A6"/>
            <w:vAlign w:val="center"/>
            <w:hideMark/>
          </w:tcPr>
          <w:p w:rsidR="00FF2E87" w:rsidRPr="00FF2E87" w:rsidRDefault="00FF2E87" w:rsidP="00FF2E87">
            <w:pPr>
              <w:jc w:val="center"/>
              <w:rPr>
                <w:rFonts w:ascii="Arial" w:hAnsi="Arial" w:cs="Arial"/>
                <w:b/>
                <w:sz w:val="14"/>
                <w:szCs w:val="14"/>
                <w:u w:val="single"/>
                <w:lang w:val="es-MX" w:eastAsia="es-MX"/>
              </w:rPr>
            </w:pPr>
          </w:p>
        </w:tc>
        <w:tc>
          <w:tcPr>
            <w:tcW w:w="1687" w:type="pct"/>
            <w:shd w:val="clear" w:color="auto" w:fill="A6A6A6" w:themeFill="background1" w:themeFillShade="A6"/>
            <w:vAlign w:val="center"/>
            <w:hideMark/>
          </w:tcPr>
          <w:p w:rsidR="00FF2E87" w:rsidRPr="00FF2E87" w:rsidRDefault="00FF2E87" w:rsidP="00FF2E87">
            <w:pPr>
              <w:jc w:val="center"/>
              <w:rPr>
                <w:rFonts w:ascii="Arial" w:hAnsi="Arial" w:cs="Arial"/>
                <w:b/>
                <w:sz w:val="14"/>
                <w:szCs w:val="14"/>
                <w:u w:val="single"/>
                <w:lang w:val="es-MX" w:eastAsia="es-MX"/>
              </w:rPr>
            </w:pPr>
            <w:r w:rsidRPr="00FF2E87">
              <w:rPr>
                <w:rFonts w:ascii="Arial" w:hAnsi="Arial" w:cs="Arial"/>
                <w:b/>
                <w:sz w:val="14"/>
                <w:szCs w:val="14"/>
                <w:u w:val="single"/>
                <w:lang w:val="es-MX" w:eastAsia="es-MX"/>
              </w:rPr>
              <w:t>Importe</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1992</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w:t>
            </w: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840</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1993</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1,623</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1994</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3,694</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1995</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680</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1996</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231</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1998</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839</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1999</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14,488</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2000</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7,294</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2001</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4,471</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2002</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11,636</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2003</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14,432</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2004</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63,584</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2005</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159,072</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2006</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96,349</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2007</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146,863</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2008</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77,824</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2009</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127,684</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2010</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419,245</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2011</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311,842</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2012</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521,759</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2013</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801,219</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lastRenderedPageBreak/>
              <w:t>2014</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430,951</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Sin expediente</w:t>
            </w:r>
          </w:p>
        </w:tc>
        <w:tc>
          <w:tcPr>
            <w:tcW w:w="756" w:type="pct"/>
            <w:vAlign w:val="center"/>
            <w:hideMark/>
          </w:tcPr>
          <w:p w:rsidR="00FF2E87" w:rsidRPr="00FF2E87" w:rsidRDefault="00FF2E87" w:rsidP="00FF2E87">
            <w:pPr>
              <w:jc w:val="center"/>
              <w:rPr>
                <w:rFonts w:ascii="Arial" w:hAnsi="Arial" w:cs="Arial"/>
                <w:sz w:val="14"/>
                <w:szCs w:val="14"/>
                <w:lang w:val="es-MX" w:eastAsia="es-MX"/>
              </w:rPr>
            </w:pPr>
          </w:p>
        </w:tc>
        <w:tc>
          <w:tcPr>
            <w:tcW w:w="1687" w:type="pct"/>
            <w:vAlign w:val="center"/>
            <w:hideMark/>
          </w:tcPr>
          <w:p w:rsidR="00FF2E87" w:rsidRPr="00FF2E87" w:rsidRDefault="00FF2E87" w:rsidP="00FF2E87">
            <w:pPr>
              <w:jc w:val="center"/>
              <w:rPr>
                <w:rFonts w:ascii="Arial" w:hAnsi="Arial" w:cs="Arial"/>
                <w:sz w:val="14"/>
                <w:szCs w:val="14"/>
                <w:lang w:val="es-MX" w:eastAsia="es-MX"/>
              </w:rPr>
            </w:pPr>
            <w:r w:rsidRPr="00FF2E87">
              <w:rPr>
                <w:rFonts w:ascii="Arial" w:hAnsi="Arial" w:cs="Arial"/>
                <w:sz w:val="14"/>
                <w:szCs w:val="14"/>
                <w:lang w:val="es-MX" w:eastAsia="es-MX"/>
              </w:rPr>
              <w:t>3,940</w:t>
            </w:r>
          </w:p>
        </w:tc>
      </w:tr>
      <w:tr w:rsidR="00FF2E87" w:rsidRPr="00FF2E87" w:rsidTr="00FF2E87">
        <w:trPr>
          <w:tblCellSpacing w:w="15" w:type="dxa"/>
          <w:jc w:val="center"/>
        </w:trPr>
        <w:tc>
          <w:tcPr>
            <w:tcW w:w="2274" w:type="pct"/>
            <w:vAlign w:val="center"/>
            <w:hideMark/>
          </w:tcPr>
          <w:p w:rsidR="00FF2E87" w:rsidRPr="00FF2E87" w:rsidRDefault="00FF2E87" w:rsidP="00FF2E87">
            <w:pPr>
              <w:jc w:val="center"/>
              <w:rPr>
                <w:rFonts w:ascii="Arial" w:hAnsi="Arial" w:cs="Arial"/>
                <w:b/>
                <w:bCs/>
                <w:sz w:val="14"/>
                <w:szCs w:val="14"/>
                <w:lang w:val="es-MX" w:eastAsia="es-MX"/>
              </w:rPr>
            </w:pPr>
            <w:r w:rsidRPr="00FF2E87">
              <w:rPr>
                <w:rFonts w:ascii="Arial" w:hAnsi="Arial" w:cs="Arial"/>
                <w:b/>
                <w:bCs/>
                <w:sz w:val="14"/>
                <w:szCs w:val="14"/>
                <w:lang w:val="es-MX" w:eastAsia="es-MX"/>
              </w:rPr>
              <w:t>Total</w:t>
            </w:r>
          </w:p>
        </w:tc>
        <w:tc>
          <w:tcPr>
            <w:tcW w:w="756" w:type="pct"/>
            <w:vAlign w:val="center"/>
            <w:hideMark/>
          </w:tcPr>
          <w:p w:rsidR="00FF2E87" w:rsidRPr="00FF2E87" w:rsidRDefault="00FF2E87" w:rsidP="00FF2E87">
            <w:pPr>
              <w:jc w:val="center"/>
              <w:rPr>
                <w:rFonts w:ascii="Arial" w:hAnsi="Arial" w:cs="Arial"/>
                <w:b/>
                <w:bCs/>
                <w:sz w:val="14"/>
                <w:szCs w:val="14"/>
                <w:lang w:val="es-MX" w:eastAsia="es-MX"/>
              </w:rPr>
            </w:pPr>
            <w:r w:rsidRPr="00FF2E87">
              <w:rPr>
                <w:rFonts w:ascii="Arial" w:hAnsi="Arial" w:cs="Arial"/>
                <w:b/>
                <w:bCs/>
                <w:sz w:val="14"/>
                <w:szCs w:val="14"/>
                <w:lang w:val="es-MX" w:eastAsia="es-MX"/>
              </w:rPr>
              <w:t>$</w:t>
            </w:r>
          </w:p>
        </w:tc>
        <w:tc>
          <w:tcPr>
            <w:tcW w:w="1687" w:type="pct"/>
            <w:vAlign w:val="center"/>
            <w:hideMark/>
          </w:tcPr>
          <w:p w:rsidR="00FF2E87" w:rsidRPr="00FF2E87" w:rsidRDefault="00FF2E87" w:rsidP="00FF2E87">
            <w:pPr>
              <w:jc w:val="center"/>
              <w:rPr>
                <w:rFonts w:ascii="Arial" w:hAnsi="Arial" w:cs="Arial"/>
                <w:b/>
                <w:bCs/>
                <w:sz w:val="14"/>
                <w:szCs w:val="14"/>
                <w:lang w:val="es-MX" w:eastAsia="es-MX"/>
              </w:rPr>
            </w:pPr>
            <w:r w:rsidRPr="00FF2E87">
              <w:rPr>
                <w:rFonts w:ascii="Arial" w:hAnsi="Arial" w:cs="Arial"/>
                <w:b/>
                <w:bCs/>
                <w:sz w:val="14"/>
                <w:szCs w:val="14"/>
                <w:lang w:val="es-MX" w:eastAsia="es-MX"/>
              </w:rPr>
              <w:t>3,220,560</w:t>
            </w:r>
          </w:p>
        </w:tc>
      </w:tr>
    </w:tbl>
    <w:p w:rsidR="00385668" w:rsidRDefault="00385668" w:rsidP="00385668">
      <w:pPr>
        <w:pStyle w:val="INFORME0"/>
        <w:rPr>
          <w:lang w:val="es-MX"/>
        </w:rPr>
      </w:pPr>
      <w:r>
        <w:rPr>
          <w:lang w:val="es-MX"/>
        </w:rPr>
        <w:t xml:space="preserve"> </w:t>
      </w:r>
    </w:p>
    <w:p w:rsidR="00FF2E87" w:rsidRPr="00FF2E87" w:rsidRDefault="00FF2E87" w:rsidP="00FF2E87">
      <w:pPr>
        <w:pStyle w:val="INFORME0"/>
        <w:rPr>
          <w:b/>
          <w:lang w:val="es-MX"/>
        </w:rPr>
      </w:pPr>
      <w:r w:rsidRPr="00FF2E87">
        <w:rPr>
          <w:b/>
          <w:lang w:val="es-MX"/>
        </w:rPr>
        <w:t>Análisis de la Auditoría Superior del Estado</w:t>
      </w:r>
    </w:p>
    <w:p w:rsidR="00FF2E87" w:rsidRPr="00FF2E87" w:rsidRDefault="00FF2E87" w:rsidP="00FF2E87">
      <w:pPr>
        <w:pStyle w:val="INFORME0"/>
        <w:rPr>
          <w:lang w:val="es-MX"/>
        </w:rPr>
      </w:pPr>
      <w:r w:rsidRPr="00FF2E87">
        <w:rPr>
          <w:lang w:val="es-MX"/>
        </w:rPr>
        <w:t>Derivado del análisis de la respuesta y la evidencia presentada por el Ente Público, solventa parcialmente toda vez que si bien anexa integración de saldos observados, no agregan registros contables que respalde las acciones realizadas según se afirma en su respuesta.</w:t>
      </w:r>
    </w:p>
    <w:p w:rsidR="00FF2E87" w:rsidRPr="00FF2E87" w:rsidRDefault="00FF2E87" w:rsidP="00FF2E87">
      <w:pPr>
        <w:pStyle w:val="INFORME0"/>
        <w:rPr>
          <w:lang w:val="es-MX"/>
        </w:rPr>
      </w:pPr>
    </w:p>
    <w:p w:rsidR="00FF2E87" w:rsidRPr="00FF2E87" w:rsidRDefault="00FF2E87" w:rsidP="00FF2E87">
      <w:pPr>
        <w:pStyle w:val="INFORME0"/>
        <w:rPr>
          <w:b/>
          <w:lang w:val="es-MX"/>
        </w:rPr>
      </w:pPr>
      <w:r w:rsidRPr="00FF2E87">
        <w:rPr>
          <w:b/>
          <w:lang w:val="es-MX"/>
        </w:rPr>
        <w:t>Acción(es) o recomendación(es) emitida(s)</w:t>
      </w:r>
    </w:p>
    <w:p w:rsidR="00FF2E87" w:rsidRPr="00FF2E87" w:rsidRDefault="00FF2E87" w:rsidP="00FF2E87">
      <w:pPr>
        <w:pStyle w:val="INFORME0"/>
        <w:rPr>
          <w:i/>
          <w:lang w:val="es-MX"/>
        </w:rPr>
      </w:pPr>
      <w:r w:rsidRPr="00FF2E87">
        <w:rPr>
          <w:i/>
          <w:lang w:val="es-MX"/>
        </w:rPr>
        <w:t>Recomendaciones en Relación a la Gestión o Control Interno.</w:t>
      </w:r>
    </w:p>
    <w:p w:rsidR="00FF2E87" w:rsidRDefault="00FF2E87" w:rsidP="00FF2E87">
      <w:pPr>
        <w:pStyle w:val="INFORME0"/>
        <w:rPr>
          <w:lang w:val="es-MX"/>
        </w:rPr>
      </w:pPr>
    </w:p>
    <w:p w:rsidR="00FF2E87" w:rsidRDefault="00FF2E87" w:rsidP="00FF2E87">
      <w:pPr>
        <w:pStyle w:val="INFORME0"/>
        <w:rPr>
          <w:lang w:val="es-MX"/>
        </w:rPr>
      </w:pPr>
      <w:r>
        <w:rPr>
          <w:lang w:val="es-MX"/>
        </w:rPr>
        <w:t>Adicionalmente la Auditoría recomendó c</w:t>
      </w:r>
      <w:r w:rsidRPr="00FF2E87">
        <w:rPr>
          <w:lang w:val="es-MX"/>
        </w:rPr>
        <w:t>oncluir con el proceso de análisis, depuración y unificación de saldos de los casos observados y establecer fechas compromiso para su cumplimiento.</w:t>
      </w:r>
    </w:p>
    <w:p w:rsidR="00FF2E87" w:rsidRDefault="00FF2E87" w:rsidP="00FF2E87">
      <w:pPr>
        <w:pStyle w:val="INFORME0"/>
        <w:rPr>
          <w:lang w:val="es-MX"/>
        </w:rPr>
      </w:pPr>
    </w:p>
    <w:p w:rsidR="00FF2E87" w:rsidRPr="00FF2E87" w:rsidRDefault="00FF2E87" w:rsidP="00FF2E87">
      <w:pPr>
        <w:pStyle w:val="INFORME0"/>
        <w:rPr>
          <w:lang w:val="es-MX"/>
        </w:rPr>
      </w:pPr>
      <w:r>
        <w:rPr>
          <w:lang w:val="es-MX"/>
        </w:rPr>
        <w:t>13.</w:t>
      </w:r>
      <w:r w:rsidRPr="00FF2E87">
        <w:t xml:space="preserve"> </w:t>
      </w:r>
      <w:r w:rsidRPr="00FF2E87">
        <w:rPr>
          <w:lang w:val="es-MX"/>
        </w:rPr>
        <w:t>Durante la revisión del reporte de cartera que integra la cuenta "Saldo por pagar a clientes" se observó que el Fideicomiso omitió unificar el saldo a favor y el saldo a cargo en 134 casos, como se muestra a continuación:</w:t>
      </w:r>
    </w:p>
    <w:p w:rsidR="00FF2E87" w:rsidRDefault="00FF2E87" w:rsidP="00FF2E87">
      <w:pPr>
        <w:pStyle w:val="INFORME0"/>
        <w:rPr>
          <w:lang w:val="es-MX"/>
        </w:rPr>
      </w:pPr>
    </w:p>
    <w:p w:rsidR="00FF2E87" w:rsidRPr="00FF2E87" w:rsidRDefault="00FF2E87" w:rsidP="00FF2E87">
      <w:pPr>
        <w:pStyle w:val="INFORME0"/>
        <w:rPr>
          <w:lang w:val="es-MX"/>
        </w:rPr>
      </w:pPr>
      <w:r>
        <w:rPr>
          <w:lang w:val="es-MX"/>
        </w:rPr>
        <w:t xml:space="preserve">a) </w:t>
      </w:r>
      <w:r w:rsidRPr="00FF2E87">
        <w:rPr>
          <w:lang w:val="es-MX"/>
        </w:rPr>
        <w:t>110 casos con coincidencia por nombre pero diferente número de empleado.</w:t>
      </w:r>
    </w:p>
    <w:p w:rsidR="00FF2E87" w:rsidRPr="00FF2E87" w:rsidRDefault="00FF2E87" w:rsidP="00FF2E87">
      <w:pPr>
        <w:pStyle w:val="INFORME0"/>
        <w:rPr>
          <w:lang w:val="es-MX"/>
        </w:rPr>
      </w:pPr>
    </w:p>
    <w:p w:rsidR="00FF2E87" w:rsidRPr="00FF2E87" w:rsidRDefault="00FF2E87" w:rsidP="00FF2E87">
      <w:pPr>
        <w:pStyle w:val="INFORME0"/>
        <w:rPr>
          <w:lang w:val="es-MX"/>
        </w:rPr>
      </w:pPr>
      <w:r>
        <w:rPr>
          <w:lang w:val="es-MX"/>
        </w:rPr>
        <w:t xml:space="preserve">b) </w:t>
      </w:r>
      <w:r w:rsidRPr="00FF2E87">
        <w:rPr>
          <w:lang w:val="es-MX"/>
        </w:rPr>
        <w:t>24 casos con coincidencia por número de empleado.</w:t>
      </w:r>
    </w:p>
    <w:p w:rsidR="00FF2E87" w:rsidRPr="00FF2E87" w:rsidRDefault="00FF2E87" w:rsidP="00FF2E87">
      <w:pPr>
        <w:pStyle w:val="INFORME0"/>
        <w:rPr>
          <w:lang w:val="es-MX"/>
        </w:rPr>
      </w:pPr>
    </w:p>
    <w:p w:rsidR="00FF2E87" w:rsidRDefault="00FF2E87" w:rsidP="00FF2E87">
      <w:pPr>
        <w:pStyle w:val="INFORME0"/>
        <w:rPr>
          <w:lang w:val="es-MX"/>
        </w:rPr>
      </w:pPr>
      <w:r w:rsidRPr="00FF2E87">
        <w:rPr>
          <w:lang w:val="es-MX"/>
        </w:rPr>
        <w:lastRenderedPageBreak/>
        <w:t>Los casos detectados se relacionan en el archivo electrónico "Anexo -E-" que se encuentra adjunto al comunicado en el CD "Anexos de Observaciones Preliminares".</w:t>
      </w:r>
    </w:p>
    <w:p w:rsidR="00FF2E87" w:rsidRDefault="00FF2E87" w:rsidP="00FF2E87">
      <w:pPr>
        <w:pStyle w:val="INFORME0"/>
        <w:rPr>
          <w:lang w:val="es-MX"/>
        </w:rPr>
      </w:pPr>
    </w:p>
    <w:p w:rsidR="00FF2E87" w:rsidRPr="00FF2E87" w:rsidRDefault="00FF2E87" w:rsidP="00FF2E87">
      <w:pPr>
        <w:pStyle w:val="INFORME0"/>
        <w:rPr>
          <w:b/>
          <w:lang w:val="es-MX"/>
        </w:rPr>
      </w:pPr>
      <w:r w:rsidRPr="00FF2E87">
        <w:rPr>
          <w:b/>
          <w:lang w:val="es-MX"/>
        </w:rPr>
        <w:t>Análisis de la Auditoría Superior del Estado</w:t>
      </w:r>
    </w:p>
    <w:p w:rsidR="00FF2E87" w:rsidRDefault="00FF2E87" w:rsidP="00FF2E87">
      <w:pPr>
        <w:pStyle w:val="INFORME0"/>
        <w:rPr>
          <w:lang w:val="es-MX"/>
        </w:rPr>
      </w:pPr>
    </w:p>
    <w:p w:rsidR="00FF2E87" w:rsidRPr="00FF2E87" w:rsidRDefault="00FF2E87" w:rsidP="00FF2E87">
      <w:pPr>
        <w:pStyle w:val="INFORME0"/>
        <w:rPr>
          <w:lang w:val="es-MX"/>
        </w:rPr>
      </w:pPr>
      <w:r>
        <w:rPr>
          <w:lang w:val="es-MX"/>
        </w:rPr>
        <w:t>La Auditoría analizó la respuesta presentada por el Ente, y determinó que esta observación se solventó parcialmente, ya que solo mostró el</w:t>
      </w:r>
      <w:r w:rsidRPr="00FF2E87">
        <w:rPr>
          <w:lang w:val="es-MX"/>
        </w:rPr>
        <w:t xml:space="preserve"> estatus de los casos obs</w:t>
      </w:r>
      <w:r>
        <w:rPr>
          <w:lang w:val="es-MX"/>
        </w:rPr>
        <w:t>ervados; sin embargo, no agregaron la</w:t>
      </w:r>
      <w:r w:rsidRPr="00FF2E87">
        <w:rPr>
          <w:lang w:val="es-MX"/>
        </w:rPr>
        <w:t xml:space="preserve"> corrección en los registros contables que respalde las acciones realizadas según se afirma en su respuesta.</w:t>
      </w:r>
    </w:p>
    <w:p w:rsidR="00FF2E87" w:rsidRDefault="00FF2E87" w:rsidP="00FF2E87">
      <w:pPr>
        <w:pStyle w:val="INFORME0"/>
        <w:rPr>
          <w:lang w:val="es-MX"/>
        </w:rPr>
      </w:pPr>
    </w:p>
    <w:p w:rsidR="00FF2E87" w:rsidRPr="00FF2E87" w:rsidRDefault="00FF2E87" w:rsidP="00FF2E87">
      <w:pPr>
        <w:pStyle w:val="INFORME0"/>
        <w:rPr>
          <w:b/>
          <w:lang w:val="es-MX"/>
        </w:rPr>
      </w:pPr>
      <w:r w:rsidRPr="00FF2E87">
        <w:rPr>
          <w:b/>
          <w:lang w:val="es-MX"/>
        </w:rPr>
        <w:t>Acción(es) o recomendación(es) emitida(s)</w:t>
      </w:r>
    </w:p>
    <w:p w:rsidR="00FF2E87" w:rsidRPr="00FF2E87" w:rsidRDefault="00FF2E87" w:rsidP="00FF2E87">
      <w:pPr>
        <w:pStyle w:val="INFORME0"/>
        <w:rPr>
          <w:i/>
          <w:lang w:val="es-MX"/>
        </w:rPr>
      </w:pPr>
      <w:r w:rsidRPr="00FF2E87">
        <w:rPr>
          <w:i/>
          <w:lang w:val="es-MX"/>
        </w:rPr>
        <w:t>Recomendaciones en Relación a la Gestión o Control Interno.</w:t>
      </w:r>
    </w:p>
    <w:p w:rsidR="00FF2E87" w:rsidRDefault="00FF2E87" w:rsidP="00FF2E87">
      <w:pPr>
        <w:pStyle w:val="INFORME0"/>
        <w:rPr>
          <w:lang w:val="es-MX"/>
        </w:rPr>
      </w:pPr>
    </w:p>
    <w:p w:rsidR="00FF2E87" w:rsidRDefault="00FF2E87" w:rsidP="00FF2E87">
      <w:pPr>
        <w:pStyle w:val="INFORME0"/>
        <w:rPr>
          <w:lang w:val="es-MX"/>
        </w:rPr>
      </w:pPr>
      <w:r>
        <w:rPr>
          <w:lang w:val="es-MX"/>
        </w:rPr>
        <w:t>Adicionalmente la Auditoría recomendó c</w:t>
      </w:r>
      <w:r w:rsidRPr="00FF2E87">
        <w:rPr>
          <w:lang w:val="es-MX"/>
        </w:rPr>
        <w:t>oncluir con el proceso de los reembolso</w:t>
      </w:r>
      <w:r>
        <w:rPr>
          <w:lang w:val="es-MX"/>
        </w:rPr>
        <w:t>s</w:t>
      </w:r>
      <w:r w:rsidRPr="00FF2E87">
        <w:rPr>
          <w:lang w:val="es-MX"/>
        </w:rPr>
        <w:t xml:space="preserve"> autorizados a través de la dispersión de nómina estableciendo fecha compromiso para su cumplimiento así como su adecuado registro contable.</w:t>
      </w:r>
    </w:p>
    <w:p w:rsidR="00FF2E87" w:rsidRPr="00FF2E87" w:rsidRDefault="00FF2E87" w:rsidP="00FF2E87">
      <w:pPr>
        <w:pStyle w:val="INFORME0"/>
        <w:rPr>
          <w:b/>
          <w:u w:val="single"/>
          <w:lang w:val="es-MX"/>
        </w:rPr>
      </w:pPr>
    </w:p>
    <w:p w:rsidR="00FF2E87" w:rsidRPr="00FF2E87" w:rsidRDefault="00FF2E87" w:rsidP="00FF2E87">
      <w:pPr>
        <w:pStyle w:val="INFORME0"/>
        <w:rPr>
          <w:b/>
          <w:u w:val="single"/>
          <w:lang w:val="es-MX"/>
        </w:rPr>
      </w:pPr>
      <w:r w:rsidRPr="00FF2E87">
        <w:rPr>
          <w:b/>
          <w:u w:val="single"/>
          <w:lang w:val="es-MX"/>
        </w:rPr>
        <w:t>Otros pasivos circulantes</w:t>
      </w:r>
    </w:p>
    <w:p w:rsidR="00FF2E87" w:rsidRDefault="00FF2E87" w:rsidP="00FF2E87">
      <w:pPr>
        <w:pStyle w:val="INFORME0"/>
        <w:rPr>
          <w:lang w:val="es-MX"/>
        </w:rPr>
      </w:pPr>
    </w:p>
    <w:p w:rsidR="00FF2E87" w:rsidRDefault="00FF2E87" w:rsidP="00FF2E87">
      <w:pPr>
        <w:pStyle w:val="INFORME0"/>
        <w:rPr>
          <w:lang w:val="es-MX"/>
        </w:rPr>
      </w:pPr>
      <w:r>
        <w:rPr>
          <w:lang w:val="es-MX"/>
        </w:rPr>
        <w:t>14.</w:t>
      </w:r>
      <w:r w:rsidRPr="00FF2E87">
        <w:t xml:space="preserve"> </w:t>
      </w:r>
      <w:r w:rsidRPr="00FF2E87">
        <w:rPr>
          <w:lang w:val="es-MX"/>
        </w:rPr>
        <w:t>Se observó que el Fideicomiso determinó el "cálculo de la reserva para pasivos laborales" calculando indemnización y finiquito de cada trabajador al 31 de diciembre de 2015, observando además que no se actualizó el saldo contable, incumpliendo lo establecido en la Norma de Información Financiera NIF D-3 "Beneficios a los empleados", la cual requiere el reconocimiento periódico de estas obligaciones con base en cálculos efectuados por actuarios independientes mediante el método de crédito unitario proyectado, utilizando hipótesis financieras de inflación.</w:t>
      </w:r>
    </w:p>
    <w:p w:rsidR="00FF2E87" w:rsidRDefault="00FF2E87" w:rsidP="00FF2E87">
      <w:pPr>
        <w:pStyle w:val="INFORME0"/>
        <w:rPr>
          <w:lang w:val="es-MX"/>
        </w:rPr>
      </w:pPr>
    </w:p>
    <w:p w:rsidR="00FF2E87" w:rsidRPr="00FF2E87" w:rsidRDefault="00FF2E87" w:rsidP="00FF2E87">
      <w:pPr>
        <w:pStyle w:val="INFORME0"/>
        <w:rPr>
          <w:b/>
          <w:lang w:val="es-MX"/>
        </w:rPr>
      </w:pPr>
      <w:r w:rsidRPr="00FF2E87">
        <w:rPr>
          <w:b/>
          <w:lang w:val="es-MX"/>
        </w:rPr>
        <w:lastRenderedPageBreak/>
        <w:t>Acción(es) o recomendación(es) emitida(s)</w:t>
      </w:r>
    </w:p>
    <w:p w:rsidR="00FF2E87" w:rsidRPr="00FF2E87" w:rsidRDefault="00FF2E87" w:rsidP="00FF2E87">
      <w:pPr>
        <w:pStyle w:val="INFORME0"/>
        <w:rPr>
          <w:i/>
          <w:lang w:val="es-MX"/>
        </w:rPr>
      </w:pPr>
      <w:r w:rsidRPr="00FF2E87">
        <w:rPr>
          <w:i/>
          <w:lang w:val="es-MX"/>
        </w:rPr>
        <w:t xml:space="preserve">Promoción de Fincamiento de Responsabilidad Administrativa. </w:t>
      </w:r>
    </w:p>
    <w:p w:rsidR="00FF2E87" w:rsidRDefault="00FF2E87" w:rsidP="00FF2E87">
      <w:pPr>
        <w:pStyle w:val="INFORME0"/>
        <w:rPr>
          <w:lang w:val="es-MX"/>
        </w:rPr>
      </w:pPr>
    </w:p>
    <w:p w:rsidR="00FF2E87" w:rsidRPr="00FF2E87" w:rsidRDefault="00FF2E87" w:rsidP="00FF2E87">
      <w:pPr>
        <w:pStyle w:val="INFORME0"/>
        <w:rPr>
          <w:b/>
          <w:u w:val="single"/>
          <w:lang w:val="es-MX"/>
        </w:rPr>
      </w:pPr>
      <w:r w:rsidRPr="00FF2E87">
        <w:rPr>
          <w:b/>
          <w:u w:val="single"/>
          <w:lang w:val="es-MX"/>
        </w:rPr>
        <w:t>GASTOS Y OTRAS PÉRDIDAS</w:t>
      </w:r>
    </w:p>
    <w:p w:rsidR="00FF2E87" w:rsidRPr="00FF2E87" w:rsidRDefault="00FF2E87" w:rsidP="00FF2E87">
      <w:pPr>
        <w:pStyle w:val="INFORME0"/>
        <w:rPr>
          <w:b/>
          <w:u w:val="single"/>
          <w:lang w:val="es-MX"/>
        </w:rPr>
      </w:pPr>
      <w:r w:rsidRPr="00FF2E87">
        <w:rPr>
          <w:b/>
          <w:u w:val="single"/>
          <w:lang w:val="es-MX"/>
        </w:rPr>
        <w:t>Gastos de funcionamiento</w:t>
      </w:r>
    </w:p>
    <w:p w:rsidR="00FF2E87" w:rsidRPr="00FF2E87" w:rsidRDefault="00FF2E87" w:rsidP="00FF2E87">
      <w:pPr>
        <w:pStyle w:val="INFORME0"/>
        <w:rPr>
          <w:b/>
          <w:u w:val="single"/>
          <w:lang w:val="es-MX"/>
        </w:rPr>
      </w:pPr>
      <w:r w:rsidRPr="00FF2E87">
        <w:rPr>
          <w:b/>
          <w:u w:val="single"/>
          <w:lang w:val="es-MX"/>
        </w:rPr>
        <w:t>Servicios personales</w:t>
      </w:r>
    </w:p>
    <w:p w:rsidR="00FF2E87" w:rsidRDefault="00FF2E87" w:rsidP="00FF2E87">
      <w:pPr>
        <w:pStyle w:val="INFORME0"/>
        <w:rPr>
          <w:lang w:val="es-MX"/>
        </w:rPr>
      </w:pPr>
    </w:p>
    <w:p w:rsidR="00FF2E87" w:rsidRPr="00FF2E87" w:rsidRDefault="00FF2E87" w:rsidP="00FF2E87">
      <w:pPr>
        <w:pStyle w:val="INFORME0"/>
        <w:rPr>
          <w:lang w:val="es-MX"/>
        </w:rPr>
      </w:pPr>
      <w:r>
        <w:rPr>
          <w:lang w:val="es-MX"/>
        </w:rPr>
        <w:t xml:space="preserve">15. </w:t>
      </w:r>
      <w:r w:rsidRPr="00FF2E87">
        <w:rPr>
          <w:lang w:val="es-MX"/>
        </w:rPr>
        <w:t>Para la revisión de las cuentas que integran el rubro Servicios personales se analizaron los resúmenes de nóminas y el registro contable que éstos originan, observando lo siguiente:</w:t>
      </w:r>
    </w:p>
    <w:p w:rsidR="00FF2E87" w:rsidRDefault="00FF2E87" w:rsidP="00FF2E87">
      <w:pPr>
        <w:pStyle w:val="INFORME0"/>
        <w:rPr>
          <w:lang w:val="es-MX"/>
        </w:rPr>
      </w:pPr>
    </w:p>
    <w:p w:rsidR="00FF2E87" w:rsidRPr="00FF2E87" w:rsidRDefault="00FF2E87" w:rsidP="00FF2E87">
      <w:pPr>
        <w:pStyle w:val="INFORME0"/>
        <w:rPr>
          <w:lang w:val="es-MX"/>
        </w:rPr>
      </w:pPr>
      <w:r>
        <w:rPr>
          <w:lang w:val="es-MX"/>
        </w:rPr>
        <w:t xml:space="preserve">a) </w:t>
      </w:r>
      <w:r w:rsidRPr="00FF2E87">
        <w:rPr>
          <w:lang w:val="es-MX"/>
        </w:rPr>
        <w:t>Durante la revisión de la cuenta "5111-11301 Sueldos base al personal permanente" se detectó una diferencia entre los resúmenes de nómina y los registros contables por $319,969.</w:t>
      </w:r>
    </w:p>
    <w:p w:rsidR="00FF2E87" w:rsidRPr="00FF2E87" w:rsidRDefault="00FF2E87" w:rsidP="00FF2E87">
      <w:pPr>
        <w:pStyle w:val="INFORME0"/>
        <w:rPr>
          <w:lang w:val="es-MX"/>
        </w:rPr>
      </w:pPr>
    </w:p>
    <w:p w:rsidR="00FF2E87" w:rsidRPr="00FF2E87" w:rsidRDefault="00FF2E87" w:rsidP="00FF2E87">
      <w:pPr>
        <w:pStyle w:val="INFORME0"/>
        <w:rPr>
          <w:lang w:val="es-MX"/>
        </w:rPr>
      </w:pPr>
      <w:r>
        <w:rPr>
          <w:lang w:val="es-MX"/>
        </w:rPr>
        <w:t xml:space="preserve">b) </w:t>
      </w:r>
      <w:r w:rsidRPr="00FF2E87">
        <w:rPr>
          <w:lang w:val="es-MX"/>
        </w:rPr>
        <w:t>Se omitió el registro del mes de mayo por importe de $1,851, en la cuenta "5115-15401 Prestaciones contractuales", correspondiente a la prestación por concepto de "Apoyo de despensa" que el Fideicomiso otorga a los empleados no sindicalizados.</w:t>
      </w:r>
    </w:p>
    <w:p w:rsidR="00FF2E87" w:rsidRPr="00FF2E87" w:rsidRDefault="00FF2E87" w:rsidP="00FF2E87">
      <w:pPr>
        <w:pStyle w:val="INFORME0"/>
        <w:rPr>
          <w:lang w:val="es-MX"/>
        </w:rPr>
      </w:pPr>
    </w:p>
    <w:p w:rsidR="00FF2E87" w:rsidRPr="00FF2E87" w:rsidRDefault="00FF2E87" w:rsidP="00FF2E87">
      <w:pPr>
        <w:pStyle w:val="INFORME0"/>
        <w:rPr>
          <w:lang w:val="es-MX"/>
        </w:rPr>
      </w:pPr>
      <w:r>
        <w:rPr>
          <w:lang w:val="es-MX"/>
        </w:rPr>
        <w:t xml:space="preserve">c) </w:t>
      </w:r>
      <w:r w:rsidRPr="00FF2E87">
        <w:rPr>
          <w:lang w:val="es-MX"/>
        </w:rPr>
        <w:t>El importe registrado en la cuenta "5115-15401 Prestaciones contractuales" correspondiente a la prestación denominada "Bono del servidor Público" asciende a $60,502, sin embargo el importe otorgado al personal del Fideicomiso bajo este concepto es de $46,261 observando una diferencia de $14,241.</w:t>
      </w:r>
    </w:p>
    <w:p w:rsidR="00FF2E87" w:rsidRPr="00FF2E87" w:rsidRDefault="00FF2E87" w:rsidP="00FF2E87">
      <w:pPr>
        <w:pStyle w:val="INFORME0"/>
        <w:rPr>
          <w:lang w:val="es-MX"/>
        </w:rPr>
      </w:pPr>
    </w:p>
    <w:p w:rsidR="00FF2E87" w:rsidRPr="00FF2E87" w:rsidRDefault="00FF2E87" w:rsidP="00FF2E87">
      <w:pPr>
        <w:pStyle w:val="INFORME0"/>
        <w:rPr>
          <w:lang w:val="es-MX"/>
        </w:rPr>
      </w:pPr>
      <w:r>
        <w:rPr>
          <w:lang w:val="es-MX"/>
        </w:rPr>
        <w:t xml:space="preserve">d) </w:t>
      </w:r>
      <w:r w:rsidRPr="00FF2E87">
        <w:rPr>
          <w:lang w:val="es-MX"/>
        </w:rPr>
        <w:t xml:space="preserve">Durante la revisión de la cuenta "2111-5-1 Créditos </w:t>
      </w:r>
      <w:proofErr w:type="spellStart"/>
      <w:r w:rsidRPr="00FF2E87">
        <w:rPr>
          <w:lang w:val="es-MX"/>
        </w:rPr>
        <w:t>Isssteleon</w:t>
      </w:r>
      <w:proofErr w:type="spellEnd"/>
      <w:r w:rsidRPr="00FF2E87">
        <w:rPr>
          <w:lang w:val="es-MX"/>
        </w:rPr>
        <w:t xml:space="preserve">" se detectó una diferencia contra las retenciones de nómina por concepto de "Préstamos </w:t>
      </w:r>
      <w:proofErr w:type="spellStart"/>
      <w:r w:rsidRPr="00FF2E87">
        <w:rPr>
          <w:lang w:val="es-MX"/>
        </w:rPr>
        <w:t>Isssteleón</w:t>
      </w:r>
      <w:proofErr w:type="spellEnd"/>
      <w:r w:rsidRPr="00FF2E87">
        <w:rPr>
          <w:lang w:val="es-MX"/>
        </w:rPr>
        <w:t xml:space="preserve"> L.P. (Vivienda)" y "Préstamos corto plazo </w:t>
      </w:r>
      <w:proofErr w:type="spellStart"/>
      <w:r w:rsidRPr="00FF2E87">
        <w:rPr>
          <w:lang w:val="es-MX"/>
        </w:rPr>
        <w:t>Isssteleón</w:t>
      </w:r>
      <w:proofErr w:type="spellEnd"/>
      <w:r w:rsidRPr="00FF2E87">
        <w:rPr>
          <w:lang w:val="es-MX"/>
        </w:rPr>
        <w:t>" por $3,208.</w:t>
      </w:r>
    </w:p>
    <w:p w:rsidR="00FF2E87" w:rsidRPr="00FF2E87" w:rsidRDefault="00FF2E87" w:rsidP="00FF2E87">
      <w:pPr>
        <w:pStyle w:val="INFORME0"/>
        <w:rPr>
          <w:lang w:val="es-MX"/>
        </w:rPr>
      </w:pPr>
    </w:p>
    <w:p w:rsidR="00FF2E87" w:rsidRDefault="00FF2E87" w:rsidP="00FF2E87">
      <w:pPr>
        <w:pStyle w:val="INFORME0"/>
        <w:rPr>
          <w:lang w:val="es-MX"/>
        </w:rPr>
      </w:pPr>
    </w:p>
    <w:p w:rsidR="00FF2E87" w:rsidRPr="00FF2E87" w:rsidRDefault="00FF2E87" w:rsidP="00FF2E87">
      <w:pPr>
        <w:pStyle w:val="INFORME0"/>
        <w:rPr>
          <w:b/>
          <w:lang w:val="es-MX"/>
        </w:rPr>
      </w:pPr>
      <w:r w:rsidRPr="00FF2E87">
        <w:rPr>
          <w:b/>
          <w:lang w:val="es-MX"/>
        </w:rPr>
        <w:lastRenderedPageBreak/>
        <w:t>Acción(es) o recomendación(es) emitida(s)</w:t>
      </w:r>
    </w:p>
    <w:p w:rsidR="00FF2E87" w:rsidRPr="00FF2E87" w:rsidRDefault="00FF2E87" w:rsidP="00FF2E87">
      <w:pPr>
        <w:pStyle w:val="INFORME0"/>
        <w:rPr>
          <w:i/>
          <w:lang w:val="es-MX"/>
        </w:rPr>
      </w:pPr>
      <w:r w:rsidRPr="00FF2E87">
        <w:rPr>
          <w:i/>
          <w:lang w:val="es-MX"/>
        </w:rPr>
        <w:t>Recomendaciones en Relación a la Gestión o Control Interno.</w:t>
      </w:r>
    </w:p>
    <w:p w:rsidR="00FF2E87" w:rsidRDefault="00FF2E87" w:rsidP="00FF2E87">
      <w:pPr>
        <w:pStyle w:val="INFORME0"/>
        <w:rPr>
          <w:lang w:val="es-MX"/>
        </w:rPr>
      </w:pPr>
    </w:p>
    <w:p w:rsidR="00A8117B" w:rsidRPr="0098338E" w:rsidRDefault="00A8117B" w:rsidP="0098338E">
      <w:pPr>
        <w:pStyle w:val="INFORME0"/>
        <w:rPr>
          <w:b/>
          <w:lang w:val="es-MX"/>
        </w:rPr>
      </w:pPr>
      <w:r w:rsidRPr="0098338E">
        <w:rPr>
          <w:b/>
        </w:rPr>
        <w:t>Trámite y resultados obtenidos, derivados de las solicitudes formuladas por el H. Congreso del Estado.</w:t>
      </w:r>
    </w:p>
    <w:p w:rsidR="00A8117B" w:rsidRPr="00B67BEE" w:rsidRDefault="00A8117B" w:rsidP="00A8117B">
      <w:pPr>
        <w:spacing w:after="0"/>
        <w:rPr>
          <w:rFonts w:ascii="Arial" w:hAnsi="Arial" w:cs="Arial"/>
          <w:b/>
          <w:sz w:val="24"/>
        </w:rPr>
      </w:pPr>
    </w:p>
    <w:p w:rsidR="00F26A30" w:rsidRPr="00F26A30" w:rsidRDefault="00A8117B" w:rsidP="00F26A30">
      <w:pPr>
        <w:autoSpaceDE w:val="0"/>
        <w:autoSpaceDN w:val="0"/>
        <w:adjustRightInd w:val="0"/>
        <w:spacing w:after="0"/>
        <w:jc w:val="both"/>
        <w:rPr>
          <w:rFonts w:ascii="Arial" w:hAnsi="Arial" w:cs="Arial"/>
          <w:sz w:val="24"/>
          <w:szCs w:val="24"/>
          <w:lang w:eastAsia="es-ES"/>
        </w:rPr>
      </w:pPr>
      <w:r>
        <w:rPr>
          <w:rFonts w:ascii="Arial" w:hAnsi="Arial" w:cs="Arial"/>
          <w:sz w:val="24"/>
          <w:szCs w:val="24"/>
          <w:lang w:eastAsia="es-ES"/>
        </w:rPr>
        <w:t>En el</w:t>
      </w:r>
      <w:r w:rsidR="00F26A30">
        <w:rPr>
          <w:rFonts w:ascii="Arial" w:hAnsi="Arial" w:cs="Arial"/>
          <w:sz w:val="24"/>
          <w:szCs w:val="24"/>
          <w:lang w:eastAsia="es-ES"/>
        </w:rPr>
        <w:t xml:space="preserve"> apartado número VIII del Informe de resultados, la Auditoría nos informa que una solicitud remitida por este Congreso para ser atendida la cual se encontraba contenida en el </w:t>
      </w:r>
      <w:r w:rsidR="00F26A30" w:rsidRPr="00F26A30">
        <w:rPr>
          <w:rFonts w:ascii="Arial" w:hAnsi="Arial" w:cs="Arial"/>
          <w:sz w:val="24"/>
          <w:szCs w:val="24"/>
          <w:lang w:eastAsia="es-ES"/>
        </w:rPr>
        <w:t>acuerdo Legislativo número 245, tomado por el Pleno en la sesión del  11 de septiembre de 2013, publicado en el Periódico Oficial del Estado de fecha 18 de sep</w:t>
      </w:r>
      <w:r w:rsidR="00F26A30">
        <w:rPr>
          <w:rFonts w:ascii="Arial" w:hAnsi="Arial" w:cs="Arial"/>
          <w:sz w:val="24"/>
          <w:szCs w:val="24"/>
          <w:lang w:eastAsia="es-ES"/>
        </w:rPr>
        <w:t>tiembre de 2013, remitido a la</w:t>
      </w:r>
      <w:r w:rsidR="00F26A30" w:rsidRPr="00F26A30">
        <w:rPr>
          <w:rFonts w:ascii="Arial" w:hAnsi="Arial" w:cs="Arial"/>
          <w:sz w:val="24"/>
          <w:szCs w:val="24"/>
          <w:lang w:eastAsia="es-ES"/>
        </w:rPr>
        <w:t xml:space="preserve"> Auditoría Superior del Estado, en fecha 18 de septiembre de 2013 mediante el oficio número 320/2013, emitido por los CC. Presidenta y Secretario de la Comisión de Vigilancia del H. Congreso del Estado, en vi</w:t>
      </w:r>
      <w:r w:rsidR="00F26A30">
        <w:rPr>
          <w:rFonts w:ascii="Arial" w:hAnsi="Arial" w:cs="Arial"/>
          <w:sz w:val="24"/>
          <w:szCs w:val="24"/>
          <w:lang w:eastAsia="es-ES"/>
        </w:rPr>
        <w:t>rtud del cual se instruye a ese</w:t>
      </w:r>
      <w:r w:rsidR="00F26A30" w:rsidRPr="00F26A30">
        <w:rPr>
          <w:rFonts w:ascii="Arial" w:hAnsi="Arial" w:cs="Arial"/>
          <w:sz w:val="24"/>
          <w:szCs w:val="24"/>
          <w:lang w:eastAsia="es-ES"/>
        </w:rPr>
        <w:t xml:space="preserve"> Órgano Superior de Fiscalización, para que en cumplimiento a lo preceptuado por la Ley de Fiscalización Superior del Estado de Nuevo León, verifique la aplicación por parte del ente </w:t>
      </w:r>
      <w:proofErr w:type="spellStart"/>
      <w:r w:rsidR="00F26A30" w:rsidRPr="00F26A30">
        <w:rPr>
          <w:rFonts w:ascii="Arial" w:hAnsi="Arial" w:cs="Arial"/>
          <w:sz w:val="24"/>
          <w:szCs w:val="24"/>
          <w:lang w:eastAsia="es-ES"/>
        </w:rPr>
        <w:t>fiscalizado</w:t>
      </w:r>
      <w:proofErr w:type="spellEnd"/>
      <w:r w:rsidR="00F26A30" w:rsidRPr="00F26A30">
        <w:rPr>
          <w:rFonts w:ascii="Arial" w:hAnsi="Arial" w:cs="Arial"/>
          <w:sz w:val="24"/>
          <w:szCs w:val="24"/>
          <w:lang w:eastAsia="es-ES"/>
        </w:rPr>
        <w:t>, de la Ley General de Contabilidad Gubernamental (LGCG), así como las disposiciones normativas emitidas por el Consejo Nacional de Armonización Contable (</w:t>
      </w:r>
      <w:proofErr w:type="spellStart"/>
      <w:r w:rsidR="00F26A30" w:rsidRPr="00F26A30">
        <w:rPr>
          <w:rFonts w:ascii="Arial" w:hAnsi="Arial" w:cs="Arial"/>
          <w:sz w:val="24"/>
          <w:szCs w:val="24"/>
          <w:lang w:eastAsia="es-ES"/>
        </w:rPr>
        <w:t>Conac</w:t>
      </w:r>
      <w:proofErr w:type="spellEnd"/>
      <w:r w:rsidR="00F26A30" w:rsidRPr="00F26A30">
        <w:rPr>
          <w:rFonts w:ascii="Arial" w:hAnsi="Arial" w:cs="Arial"/>
          <w:sz w:val="24"/>
          <w:szCs w:val="24"/>
          <w:lang w:eastAsia="es-ES"/>
        </w:rPr>
        <w:t>).</w:t>
      </w:r>
    </w:p>
    <w:p w:rsidR="00F26A30" w:rsidRPr="00F26A30" w:rsidRDefault="00F26A30" w:rsidP="00F26A30">
      <w:pPr>
        <w:autoSpaceDE w:val="0"/>
        <w:autoSpaceDN w:val="0"/>
        <w:adjustRightInd w:val="0"/>
        <w:spacing w:after="0"/>
        <w:jc w:val="both"/>
        <w:rPr>
          <w:rFonts w:ascii="Arial" w:hAnsi="Arial" w:cs="Arial"/>
          <w:sz w:val="24"/>
          <w:szCs w:val="24"/>
          <w:lang w:eastAsia="es-ES"/>
        </w:rPr>
      </w:pPr>
    </w:p>
    <w:p w:rsidR="00F26A30" w:rsidRPr="00F26A30" w:rsidRDefault="00F26A30" w:rsidP="00F26A30">
      <w:pPr>
        <w:autoSpaceDE w:val="0"/>
        <w:autoSpaceDN w:val="0"/>
        <w:adjustRightInd w:val="0"/>
        <w:spacing w:after="0"/>
        <w:jc w:val="both"/>
        <w:rPr>
          <w:rFonts w:ascii="Arial" w:hAnsi="Arial" w:cs="Arial"/>
          <w:sz w:val="24"/>
          <w:szCs w:val="24"/>
          <w:lang w:eastAsia="es-ES"/>
        </w:rPr>
      </w:pPr>
      <w:r>
        <w:rPr>
          <w:rFonts w:ascii="Arial" w:hAnsi="Arial" w:cs="Arial"/>
          <w:sz w:val="24"/>
          <w:szCs w:val="24"/>
          <w:lang w:eastAsia="es-ES"/>
        </w:rPr>
        <w:t>La Auditoría nos indica que p</w:t>
      </w:r>
      <w:r w:rsidRPr="00F26A30">
        <w:rPr>
          <w:rFonts w:ascii="Arial" w:hAnsi="Arial" w:cs="Arial"/>
          <w:sz w:val="24"/>
          <w:szCs w:val="24"/>
          <w:lang w:eastAsia="es-ES"/>
        </w:rPr>
        <w:t>ara cumplir con lo solicitado, programó una revisión específica con el objeto de verificar si la operación de los sistemas de registro y contabilidad, se encuentran alineados a la LGCG y a la normativa emit</w:t>
      </w:r>
      <w:r w:rsidR="00F05E49">
        <w:rPr>
          <w:rFonts w:ascii="Arial" w:hAnsi="Arial" w:cs="Arial"/>
          <w:sz w:val="24"/>
          <w:szCs w:val="24"/>
          <w:lang w:eastAsia="es-ES"/>
        </w:rPr>
        <w:t xml:space="preserve">ida por el </w:t>
      </w:r>
      <w:proofErr w:type="spellStart"/>
      <w:r w:rsidR="00F05E49">
        <w:rPr>
          <w:rFonts w:ascii="Arial" w:hAnsi="Arial" w:cs="Arial"/>
          <w:sz w:val="24"/>
          <w:szCs w:val="24"/>
          <w:lang w:eastAsia="es-ES"/>
        </w:rPr>
        <w:t>Conac</w:t>
      </w:r>
      <w:proofErr w:type="spellEnd"/>
      <w:r w:rsidR="00F05E49">
        <w:rPr>
          <w:rFonts w:ascii="Arial" w:hAnsi="Arial" w:cs="Arial"/>
          <w:sz w:val="24"/>
          <w:szCs w:val="24"/>
          <w:lang w:eastAsia="es-ES"/>
        </w:rPr>
        <w:t xml:space="preserve"> en la materia, así mismo nos indica que para cumplir con lo encomendado, </w:t>
      </w:r>
      <w:r w:rsidR="002E5A15">
        <w:rPr>
          <w:rFonts w:ascii="Arial" w:hAnsi="Arial" w:cs="Arial"/>
          <w:sz w:val="24"/>
          <w:szCs w:val="24"/>
          <w:lang w:eastAsia="es-ES"/>
        </w:rPr>
        <w:t xml:space="preserve">realizó un procedimiento consistente </w:t>
      </w:r>
      <w:r w:rsidRPr="00F26A30">
        <w:rPr>
          <w:rFonts w:ascii="Arial" w:hAnsi="Arial" w:cs="Arial"/>
          <w:sz w:val="24"/>
          <w:szCs w:val="24"/>
          <w:lang w:eastAsia="es-ES"/>
        </w:rPr>
        <w:t xml:space="preserve"> en aplicar en el Ente Público un cuestionario basado en las Guías de Revisión para el Cumplimiento de la LGCG y los documentos emitidos por el </w:t>
      </w:r>
      <w:proofErr w:type="spellStart"/>
      <w:r w:rsidRPr="00F26A30">
        <w:rPr>
          <w:rFonts w:ascii="Arial" w:hAnsi="Arial" w:cs="Arial"/>
          <w:sz w:val="24"/>
          <w:szCs w:val="24"/>
          <w:lang w:eastAsia="es-ES"/>
        </w:rPr>
        <w:t>Conac</w:t>
      </w:r>
      <w:proofErr w:type="spellEnd"/>
      <w:r w:rsidRPr="00F26A30">
        <w:rPr>
          <w:rFonts w:ascii="Arial" w:hAnsi="Arial" w:cs="Arial"/>
          <w:sz w:val="24"/>
          <w:szCs w:val="24"/>
          <w:lang w:eastAsia="es-ES"/>
        </w:rPr>
        <w:t>, recabando evidencia y evaluando el grado de avance en la implementación y observancia de la normativa vigente en la materia.</w:t>
      </w:r>
    </w:p>
    <w:p w:rsidR="00F26A30" w:rsidRPr="00F26A30" w:rsidRDefault="00F26A30" w:rsidP="00F26A30">
      <w:pPr>
        <w:autoSpaceDE w:val="0"/>
        <w:autoSpaceDN w:val="0"/>
        <w:adjustRightInd w:val="0"/>
        <w:spacing w:after="0"/>
        <w:jc w:val="both"/>
        <w:rPr>
          <w:rFonts w:ascii="Arial" w:hAnsi="Arial" w:cs="Arial"/>
          <w:sz w:val="24"/>
          <w:szCs w:val="24"/>
          <w:lang w:eastAsia="es-ES"/>
        </w:rPr>
      </w:pPr>
    </w:p>
    <w:p w:rsidR="00F26A30" w:rsidRPr="00F26A30" w:rsidRDefault="002E5A15" w:rsidP="00F26A30">
      <w:pPr>
        <w:autoSpaceDE w:val="0"/>
        <w:autoSpaceDN w:val="0"/>
        <w:adjustRightInd w:val="0"/>
        <w:spacing w:after="0"/>
        <w:jc w:val="both"/>
        <w:rPr>
          <w:rFonts w:ascii="Arial" w:hAnsi="Arial" w:cs="Arial"/>
          <w:sz w:val="24"/>
          <w:szCs w:val="24"/>
          <w:lang w:eastAsia="es-ES"/>
        </w:rPr>
      </w:pPr>
      <w:r>
        <w:rPr>
          <w:rFonts w:ascii="Arial" w:hAnsi="Arial" w:cs="Arial"/>
          <w:sz w:val="24"/>
          <w:szCs w:val="24"/>
          <w:lang w:eastAsia="es-ES"/>
        </w:rPr>
        <w:lastRenderedPageBreak/>
        <w:t xml:space="preserve">Por último nos informa que los resultados de la petición de esta Soberanía, se muestran la observación número uno del apartado VII del informe de resultados. </w:t>
      </w:r>
    </w:p>
    <w:p w:rsidR="0098338E" w:rsidRDefault="0098338E" w:rsidP="0098338E">
      <w:pPr>
        <w:autoSpaceDE w:val="0"/>
        <w:autoSpaceDN w:val="0"/>
        <w:adjustRightInd w:val="0"/>
        <w:spacing w:after="0"/>
        <w:jc w:val="both"/>
        <w:rPr>
          <w:rFonts w:ascii="Arial" w:hAnsi="Arial" w:cs="Arial"/>
          <w:sz w:val="24"/>
          <w:szCs w:val="24"/>
          <w:lang w:eastAsia="es-ES"/>
        </w:rPr>
      </w:pPr>
    </w:p>
    <w:p w:rsidR="00A8117B" w:rsidRPr="0098338E" w:rsidRDefault="00A8117B" w:rsidP="0098338E">
      <w:pPr>
        <w:autoSpaceDE w:val="0"/>
        <w:autoSpaceDN w:val="0"/>
        <w:adjustRightInd w:val="0"/>
        <w:spacing w:after="0"/>
        <w:jc w:val="both"/>
        <w:rPr>
          <w:rFonts w:ascii="Arial" w:hAnsi="Arial" w:cs="Arial"/>
          <w:sz w:val="24"/>
          <w:szCs w:val="24"/>
          <w:lang w:eastAsia="es-ES"/>
        </w:rPr>
      </w:pPr>
      <w:r w:rsidRPr="0014216A">
        <w:rPr>
          <w:rFonts w:ascii="Arial" w:hAnsi="Arial" w:cs="Arial"/>
          <w:b/>
          <w:bCs/>
          <w:sz w:val="24"/>
        </w:rPr>
        <w:t>Resultados de la revisión de situación excepcional.</w:t>
      </w:r>
    </w:p>
    <w:p w:rsidR="00A8117B" w:rsidRPr="00B67BEE" w:rsidRDefault="00A8117B" w:rsidP="00A8117B">
      <w:pPr>
        <w:spacing w:after="0"/>
        <w:rPr>
          <w:rFonts w:ascii="Arial" w:hAnsi="Arial" w:cs="Arial"/>
          <w:b/>
          <w:bCs/>
          <w:sz w:val="24"/>
        </w:rPr>
      </w:pPr>
    </w:p>
    <w:p w:rsidR="0098338E" w:rsidRDefault="00A8117B" w:rsidP="0098338E">
      <w:pPr>
        <w:spacing w:after="0"/>
        <w:jc w:val="both"/>
        <w:rPr>
          <w:rFonts w:ascii="Arial" w:hAnsi="Arial" w:cs="Arial"/>
          <w:bCs/>
          <w:sz w:val="24"/>
        </w:rPr>
      </w:pPr>
      <w:r>
        <w:rPr>
          <w:rFonts w:ascii="Arial" w:hAnsi="Arial" w:cs="Arial"/>
          <w:bCs/>
          <w:sz w:val="24"/>
        </w:rPr>
        <w:tab/>
      </w:r>
      <w:r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w:t>
      </w:r>
      <w:r w:rsidR="0098338E">
        <w:rPr>
          <w:rFonts w:ascii="Arial" w:hAnsi="Arial" w:cs="Arial"/>
          <w:bCs/>
          <w:sz w:val="24"/>
        </w:rPr>
        <w:t>erior del Estado de Nuevo León.</w:t>
      </w:r>
    </w:p>
    <w:p w:rsidR="0098338E" w:rsidRDefault="0098338E" w:rsidP="0098338E">
      <w:pPr>
        <w:spacing w:after="0"/>
        <w:jc w:val="both"/>
        <w:rPr>
          <w:rFonts w:ascii="Arial" w:hAnsi="Arial" w:cs="Arial"/>
          <w:bCs/>
          <w:sz w:val="24"/>
        </w:rPr>
      </w:pPr>
    </w:p>
    <w:p w:rsidR="00A8117B" w:rsidRPr="0098338E" w:rsidRDefault="00A8117B" w:rsidP="0098338E">
      <w:pPr>
        <w:spacing w:after="0"/>
        <w:jc w:val="both"/>
        <w:rPr>
          <w:rFonts w:ascii="Arial" w:hAnsi="Arial" w:cs="Arial"/>
          <w:bCs/>
          <w:sz w:val="24"/>
        </w:rPr>
      </w:pPr>
      <w:r w:rsidRPr="00B67BEE">
        <w:rPr>
          <w:rFonts w:ascii="Arial" w:eastAsia="Times New Roman" w:hAnsi="Arial" w:cs="Arial"/>
          <w:b/>
          <w:bCs/>
          <w:sz w:val="24"/>
          <w:szCs w:val="24"/>
          <w:lang w:eastAsia="es-MX"/>
        </w:rPr>
        <w:t>Situación que guardan las observaciones, recomendaciones y acciones promovidas, respecto de la C</w:t>
      </w:r>
      <w:r>
        <w:rPr>
          <w:rFonts w:ascii="Arial" w:eastAsia="Times New Roman" w:hAnsi="Arial" w:cs="Arial"/>
          <w:b/>
          <w:bCs/>
          <w:sz w:val="24"/>
          <w:szCs w:val="24"/>
          <w:lang w:eastAsia="es-MX"/>
        </w:rPr>
        <w:t>uenta Pública del ejercicio 2011, 2012 y 2013</w:t>
      </w:r>
      <w:r w:rsidRPr="00B67BEE">
        <w:rPr>
          <w:rFonts w:ascii="Arial" w:eastAsia="Times New Roman" w:hAnsi="Arial" w:cs="Arial"/>
          <w:b/>
          <w:bCs/>
          <w:sz w:val="24"/>
          <w:szCs w:val="24"/>
          <w:lang w:eastAsia="es-MX"/>
        </w:rPr>
        <w:t>.</w:t>
      </w:r>
    </w:p>
    <w:p w:rsidR="00A8117B" w:rsidRDefault="00A8117B" w:rsidP="00A8117B">
      <w:pPr>
        <w:spacing w:after="0"/>
        <w:rPr>
          <w:rFonts w:ascii="Arial" w:hAnsi="Arial" w:cs="Arial"/>
          <w:bCs/>
          <w:sz w:val="24"/>
        </w:rPr>
      </w:pPr>
    </w:p>
    <w:p w:rsidR="003944C5" w:rsidRDefault="00A8117B" w:rsidP="00A8117B">
      <w:pPr>
        <w:autoSpaceDE w:val="0"/>
        <w:autoSpaceDN w:val="0"/>
        <w:adjustRightInd w:val="0"/>
        <w:spacing w:after="0"/>
        <w:jc w:val="both"/>
        <w:rPr>
          <w:rFonts w:ascii="Arial" w:hAnsi="Arial" w:cs="Arial"/>
          <w:sz w:val="24"/>
          <w:szCs w:val="24"/>
          <w:lang w:val="es-MX" w:eastAsia="es-ES"/>
        </w:rPr>
      </w:pPr>
      <w:r>
        <w:rPr>
          <w:rFonts w:ascii="Arial" w:hAnsi="Arial" w:cs="Arial"/>
          <w:bCs/>
          <w:sz w:val="24"/>
        </w:rPr>
        <w:tab/>
      </w:r>
      <w:r w:rsidRPr="00D56B2F">
        <w:rPr>
          <w:rFonts w:ascii="Arial" w:hAnsi="Arial" w:cs="Arial"/>
          <w:sz w:val="24"/>
          <w:szCs w:val="24"/>
          <w:lang w:val="es-MX" w:eastAsia="es-ES"/>
        </w:rPr>
        <w:t xml:space="preserve">En este apartado se presenta una síntesis de las acciones y recomendaciones que con motivo de la revisión de </w:t>
      </w:r>
      <w:r>
        <w:rPr>
          <w:rFonts w:ascii="Arial" w:hAnsi="Arial" w:cs="Arial"/>
          <w:sz w:val="24"/>
          <w:szCs w:val="24"/>
          <w:lang w:val="es-MX" w:eastAsia="es-ES"/>
        </w:rPr>
        <w:t>las cuentas públicas</w:t>
      </w:r>
      <w:r w:rsidR="003944C5">
        <w:rPr>
          <w:rFonts w:ascii="Arial" w:hAnsi="Arial" w:cs="Arial"/>
          <w:sz w:val="24"/>
          <w:szCs w:val="24"/>
          <w:lang w:val="es-MX" w:eastAsia="es-ES"/>
        </w:rPr>
        <w:t xml:space="preserve"> de ejercicios anteriores</w:t>
      </w:r>
      <w:r>
        <w:rPr>
          <w:rFonts w:ascii="Arial" w:hAnsi="Arial" w:cs="Arial"/>
          <w:sz w:val="24"/>
          <w:szCs w:val="24"/>
          <w:lang w:val="es-MX" w:eastAsia="es-ES"/>
        </w:rPr>
        <w:t xml:space="preserve"> 2011, 2012</w:t>
      </w:r>
      <w:r w:rsidR="003944C5">
        <w:rPr>
          <w:rFonts w:ascii="Arial" w:hAnsi="Arial" w:cs="Arial"/>
          <w:sz w:val="24"/>
          <w:szCs w:val="24"/>
          <w:lang w:val="es-MX" w:eastAsia="es-ES"/>
        </w:rPr>
        <w:t>,</w:t>
      </w:r>
      <w:r>
        <w:rPr>
          <w:rFonts w:ascii="Arial" w:hAnsi="Arial" w:cs="Arial"/>
          <w:sz w:val="24"/>
          <w:szCs w:val="24"/>
          <w:lang w:val="es-MX" w:eastAsia="es-ES"/>
        </w:rPr>
        <w:t xml:space="preserve"> 2013</w:t>
      </w:r>
      <w:r w:rsidR="003944C5">
        <w:rPr>
          <w:rFonts w:ascii="Arial" w:hAnsi="Arial" w:cs="Arial"/>
          <w:sz w:val="24"/>
          <w:szCs w:val="24"/>
          <w:lang w:val="es-MX" w:eastAsia="es-ES"/>
        </w:rPr>
        <w:t xml:space="preserve"> y 2014</w:t>
      </w:r>
      <w:r w:rsidRPr="00D56B2F">
        <w:rPr>
          <w:rFonts w:ascii="Arial" w:hAnsi="Arial" w:cs="Arial"/>
          <w:sz w:val="24"/>
          <w:szCs w:val="24"/>
          <w:lang w:val="es-MX" w:eastAsia="es-ES"/>
        </w:rPr>
        <w:t xml:space="preserve"> se ejercieron o promovieron por la Auditoría Superior del</w:t>
      </w:r>
      <w:r w:rsidR="003944C5">
        <w:rPr>
          <w:rFonts w:ascii="Arial" w:hAnsi="Arial" w:cs="Arial"/>
          <w:sz w:val="24"/>
          <w:szCs w:val="24"/>
          <w:lang w:val="es-MX" w:eastAsia="es-ES"/>
        </w:rPr>
        <w:t xml:space="preserve"> Estado, en ese sentido se nos informa que para el ejercicio 2014 estaba pendiente de dictamen técnico una acción con </w:t>
      </w:r>
      <w:r w:rsidR="0062250E">
        <w:rPr>
          <w:rFonts w:ascii="Arial" w:hAnsi="Arial" w:cs="Arial"/>
          <w:sz w:val="24"/>
          <w:szCs w:val="24"/>
          <w:lang w:val="es-MX" w:eastAsia="es-ES"/>
        </w:rPr>
        <w:t>pliego presuntivo de responsabilidades.</w:t>
      </w:r>
    </w:p>
    <w:p w:rsidR="00A8117B" w:rsidRPr="00D56B2F" w:rsidRDefault="00A8117B" w:rsidP="00A8117B">
      <w:pPr>
        <w:spacing w:before="240" w:after="20"/>
        <w:ind w:firstLine="708"/>
        <w:jc w:val="both"/>
        <w:rPr>
          <w:rFonts w:ascii="Arial" w:hAnsi="Arial" w:cs="Arial"/>
          <w:sz w:val="24"/>
        </w:rPr>
      </w:pPr>
      <w:r w:rsidRPr="00D56B2F">
        <w:rPr>
          <w:rFonts w:ascii="Arial" w:hAnsi="Arial" w:cs="Arial"/>
          <w:sz w:val="24"/>
        </w:rPr>
        <w:t>Una vez que hemos dado cuenta del contenido del Informe de Resultados y de los comentarios</w:t>
      </w:r>
      <w:r w:rsidRPr="00D56B2F">
        <w:rPr>
          <w:rFonts w:ascii="Arial" w:hAnsi="Arial" w:cs="Arial"/>
          <w:sz w:val="28"/>
          <w:szCs w:val="24"/>
        </w:rPr>
        <w:t xml:space="preserve"> </w:t>
      </w:r>
      <w:r w:rsidRPr="00D56B2F">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 per</w:t>
      </w:r>
      <w:r>
        <w:rPr>
          <w:rFonts w:ascii="Arial" w:hAnsi="Arial" w:cs="Arial"/>
          <w:sz w:val="24"/>
        </w:rPr>
        <w:t>mitimos consignar la siguientes</w:t>
      </w:r>
    </w:p>
    <w:p w:rsidR="00A8117B" w:rsidRPr="00CB3E70" w:rsidRDefault="00A8117B" w:rsidP="00A8117B">
      <w:pPr>
        <w:spacing w:after="0"/>
        <w:jc w:val="both"/>
        <w:rPr>
          <w:rFonts w:ascii="Arial" w:hAnsi="Arial" w:cs="Arial"/>
          <w:color w:val="000000"/>
          <w:spacing w:val="-3"/>
        </w:rPr>
      </w:pPr>
    </w:p>
    <w:p w:rsidR="00A8117B" w:rsidRPr="00295C16" w:rsidRDefault="00A8117B" w:rsidP="00A8117B">
      <w:pPr>
        <w:shd w:val="clear" w:color="auto" w:fill="FFFFFF"/>
        <w:spacing w:after="324"/>
        <w:jc w:val="both"/>
        <w:rPr>
          <w:rFonts w:ascii="Arial" w:hAnsi="Arial" w:cs="Arial"/>
          <w:sz w:val="24"/>
          <w:szCs w:val="24"/>
          <w:lang w:eastAsia="es-MX"/>
        </w:rPr>
      </w:pPr>
      <w:r>
        <w:rPr>
          <w:rFonts w:ascii="Arial" w:hAnsi="Arial" w:cs="Arial"/>
          <w:b/>
          <w:bCs/>
          <w:sz w:val="24"/>
          <w:szCs w:val="24"/>
        </w:rPr>
        <w:t>CONSIDERACIONES</w:t>
      </w:r>
    </w:p>
    <w:p w:rsidR="003944C5" w:rsidRDefault="003944C5" w:rsidP="00A8117B">
      <w:pPr>
        <w:spacing w:before="240"/>
        <w:ind w:firstLine="709"/>
        <w:jc w:val="both"/>
        <w:rPr>
          <w:rFonts w:ascii="Arial" w:hAnsi="Arial" w:cs="Arial"/>
          <w:b/>
          <w:bCs/>
          <w:sz w:val="24"/>
          <w:szCs w:val="24"/>
        </w:rPr>
      </w:pPr>
    </w:p>
    <w:p w:rsidR="00A8117B" w:rsidRPr="00295C16" w:rsidRDefault="00A8117B" w:rsidP="00A8117B">
      <w:pPr>
        <w:spacing w:before="240"/>
        <w:ind w:firstLine="709"/>
        <w:jc w:val="both"/>
        <w:rPr>
          <w:rFonts w:ascii="Arial" w:hAnsi="Arial" w:cs="Arial"/>
          <w:sz w:val="24"/>
          <w:szCs w:val="24"/>
        </w:rPr>
      </w:pPr>
      <w:r w:rsidRPr="00295C16">
        <w:rPr>
          <w:rFonts w:ascii="Arial" w:hAnsi="Arial" w:cs="Arial"/>
          <w:b/>
          <w:bCs/>
          <w:sz w:val="24"/>
          <w:szCs w:val="24"/>
        </w:rPr>
        <w:lastRenderedPageBreak/>
        <w:t xml:space="preserve">PRIMERA: </w:t>
      </w:r>
      <w:r w:rsidRPr="00295C16">
        <w:rPr>
          <w:rFonts w:ascii="Arial" w:hAnsi="Arial" w:cs="Arial"/>
          <w:sz w:val="24"/>
          <w:szCs w:val="24"/>
        </w:rPr>
        <w:t xml:space="preserve">La Comisión de Hacienda </w:t>
      </w:r>
      <w:r>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Pr>
          <w:rFonts w:ascii="Arial" w:hAnsi="Arial" w:cs="Arial"/>
          <w:sz w:val="24"/>
          <w:szCs w:val="24"/>
        </w:rPr>
        <w:t>V</w:t>
      </w:r>
      <w:r w:rsidRPr="00295C16">
        <w:rPr>
          <w:rFonts w:ascii="Arial" w:hAnsi="Arial" w:cs="Arial"/>
          <w:sz w:val="24"/>
          <w:szCs w:val="24"/>
        </w:rPr>
        <w:t>, de la Ley Orgánica del Poder Legislativo del Estado de Nuevo León y 39,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A8117B" w:rsidRDefault="00A8117B" w:rsidP="00A8117B">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A8117B" w:rsidRDefault="00A8117B" w:rsidP="00A8117B">
      <w:pPr>
        <w:spacing w:before="240"/>
        <w:ind w:firstLine="709"/>
        <w:jc w:val="both"/>
        <w:rPr>
          <w:rFonts w:ascii="Arial" w:hAnsi="Arial" w:cs="Arial"/>
          <w:bCs/>
          <w:sz w:val="24"/>
          <w:szCs w:val="24"/>
        </w:rPr>
      </w:pPr>
      <w:r w:rsidRPr="00295C16">
        <w:rPr>
          <w:rFonts w:ascii="Arial" w:hAnsi="Arial" w:cs="Arial"/>
          <w:bCs/>
          <w:sz w:val="24"/>
          <w:szCs w:val="24"/>
        </w:rPr>
        <w:t xml:space="preserve">Constatamos que el Informe </w:t>
      </w:r>
      <w:r w:rsidRPr="009838D4">
        <w:rPr>
          <w:rFonts w:ascii="Arial" w:hAnsi="Arial" w:cs="Arial"/>
          <w:sz w:val="24"/>
        </w:rPr>
        <w:t>de</w:t>
      </w:r>
      <w:r>
        <w:rPr>
          <w:rFonts w:ascii="Arial" w:hAnsi="Arial" w:cs="Arial"/>
          <w:sz w:val="24"/>
        </w:rPr>
        <w:t xml:space="preserve">l Organismo Público en cita, </w:t>
      </w:r>
      <w:r w:rsidRPr="00295C16">
        <w:rPr>
          <w:rFonts w:ascii="Arial" w:hAnsi="Arial" w:cs="Arial"/>
          <w:bCs/>
          <w:sz w:val="24"/>
          <w:szCs w:val="24"/>
        </w:rPr>
        <w:t>contiene los comentarios generales que se estipulan en los artículos 49 y 50 de la Ley del Órgano de Fiscalización Superior del Estado de Nuevo León, respectos a los resu</w:t>
      </w:r>
      <w:r>
        <w:rPr>
          <w:rFonts w:ascii="Arial" w:hAnsi="Arial" w:cs="Arial"/>
          <w:bCs/>
          <w:sz w:val="24"/>
          <w:szCs w:val="24"/>
        </w:rPr>
        <w:t>ltados de su gestión financiera y gasto público y de acuerdo al artículo 46 de dicha Ley, se le comunicó al Ente las observaciones detectadas sobre las cuales en uso del derecho de audiencia comunicó las aclaraciones sobre las mismas, determinando nuestro órgano técnico fiscalizador las observaciones no solventadas.</w:t>
      </w:r>
    </w:p>
    <w:p w:rsidR="00A8117B" w:rsidRDefault="00A8117B" w:rsidP="00A8117B">
      <w:pPr>
        <w:autoSpaceDE w:val="0"/>
        <w:autoSpaceDN w:val="0"/>
        <w:adjustRightInd w:val="0"/>
        <w:spacing w:after="0"/>
        <w:ind w:firstLine="709"/>
        <w:jc w:val="both"/>
        <w:rPr>
          <w:rFonts w:ascii="Arial" w:hAnsi="Arial" w:cs="Arial"/>
          <w:sz w:val="24"/>
          <w:szCs w:val="24"/>
          <w:lang w:eastAsia="es-ES"/>
        </w:rPr>
      </w:pPr>
      <w:r w:rsidRPr="00326CE5">
        <w:rPr>
          <w:rFonts w:ascii="Arial" w:hAnsi="Arial" w:cs="Arial"/>
          <w:bCs/>
          <w:sz w:val="24"/>
          <w:szCs w:val="24"/>
          <w:lang w:val="es-MX"/>
        </w:rPr>
        <w:t>En lo particular, conviene resaltar que en el Dictamen de Revisión que acompaña al informe de resultados, signado por el Titular de la Auditoría Superior del Estado, se indica que la información presentada en la cuenta pública es razonable</w:t>
      </w:r>
      <w:r>
        <w:rPr>
          <w:rFonts w:ascii="Arial" w:hAnsi="Arial" w:cs="Arial"/>
          <w:bCs/>
          <w:sz w:val="24"/>
          <w:szCs w:val="24"/>
          <w:lang w:val="es-MX"/>
        </w:rPr>
        <w:t xml:space="preserve">, </w:t>
      </w:r>
      <w:r>
        <w:rPr>
          <w:rFonts w:ascii="Arial" w:hAnsi="Arial" w:cs="Arial"/>
          <w:sz w:val="24"/>
          <w:szCs w:val="24"/>
          <w:lang w:eastAsia="es-ES"/>
        </w:rPr>
        <w:t>en todos los aspectos importantes, en relación con dichos Estados Financieros.</w:t>
      </w:r>
    </w:p>
    <w:p w:rsidR="00A8117B" w:rsidRPr="00326CE5" w:rsidRDefault="00A8117B" w:rsidP="00A8117B">
      <w:pPr>
        <w:autoSpaceDE w:val="0"/>
        <w:autoSpaceDN w:val="0"/>
        <w:adjustRightInd w:val="0"/>
        <w:spacing w:after="0" w:line="240" w:lineRule="auto"/>
        <w:rPr>
          <w:rFonts w:ascii="Arial" w:hAnsi="Arial" w:cs="Arial"/>
          <w:bCs/>
          <w:sz w:val="24"/>
          <w:szCs w:val="24"/>
        </w:rPr>
      </w:pPr>
    </w:p>
    <w:p w:rsidR="00A8117B" w:rsidRPr="003926B0" w:rsidRDefault="00A8117B" w:rsidP="00A8117B">
      <w:pPr>
        <w:spacing w:after="0"/>
        <w:ind w:firstLine="708"/>
        <w:jc w:val="both"/>
        <w:rPr>
          <w:rFonts w:ascii="Arial" w:hAnsi="Arial" w:cs="Arial"/>
          <w:sz w:val="24"/>
          <w:szCs w:val="24"/>
        </w:rPr>
      </w:pPr>
      <w:r w:rsidRPr="003926B0">
        <w:rPr>
          <w:rFonts w:ascii="Arial" w:hAnsi="Arial" w:cs="Arial"/>
          <w:b/>
          <w:bCs/>
          <w:sz w:val="24"/>
          <w:szCs w:val="24"/>
        </w:rPr>
        <w:t xml:space="preserve">TERCERA: </w:t>
      </w:r>
      <w:r w:rsidRPr="003926B0">
        <w:rPr>
          <w:rFonts w:ascii="Arial" w:hAnsi="Arial" w:cs="Arial"/>
          <w:sz w:val="24"/>
          <w:szCs w:val="24"/>
        </w:rPr>
        <w:t>En el informe de resultados emitido por la Auditoría Superior del Estado</w:t>
      </w:r>
      <w:r w:rsidRPr="003926B0">
        <w:rPr>
          <w:rFonts w:ascii="Arial" w:hAnsi="Arial" w:cs="Arial"/>
          <w:b/>
          <w:sz w:val="24"/>
          <w:szCs w:val="24"/>
        </w:rPr>
        <w:t xml:space="preserve"> </w:t>
      </w:r>
      <w:r w:rsidRPr="003926B0">
        <w:rPr>
          <w:rFonts w:ascii="Arial" w:hAnsi="Arial" w:cs="Arial"/>
          <w:sz w:val="24"/>
          <w:szCs w:val="24"/>
        </w:rPr>
        <w:t>se destacan fallas administrativas y de control interno, las cuales se enumeran en el apartado V</w:t>
      </w:r>
      <w:r w:rsidR="006B735E">
        <w:rPr>
          <w:rFonts w:ascii="Arial" w:hAnsi="Arial" w:cs="Arial"/>
          <w:sz w:val="24"/>
          <w:szCs w:val="24"/>
        </w:rPr>
        <w:t>II</w:t>
      </w:r>
      <w:r w:rsidRPr="003926B0">
        <w:rPr>
          <w:rFonts w:ascii="Arial" w:hAnsi="Arial" w:cs="Arial"/>
          <w:sz w:val="24"/>
          <w:szCs w:val="24"/>
        </w:rPr>
        <w:t xml:space="preserve"> del referido informe, respecto de las cuales, la Auditoría, de conformidad con lo dispuesto en el artículo 46 de la Ley de Fiscalización Superior del Estado de Nuevo León, emitió y comunicó a la</w:t>
      </w:r>
      <w:r>
        <w:rPr>
          <w:rFonts w:ascii="Arial" w:hAnsi="Arial" w:cs="Arial"/>
          <w:sz w:val="24"/>
          <w:szCs w:val="24"/>
        </w:rPr>
        <w:t xml:space="preserve"> </w:t>
      </w:r>
      <w:r w:rsidRPr="003926B0">
        <w:rPr>
          <w:rFonts w:ascii="Arial" w:hAnsi="Arial" w:cs="Arial"/>
          <w:sz w:val="24"/>
          <w:szCs w:val="24"/>
        </w:rPr>
        <w:t>entidad revisada, las recomendaciones a efecto de que subsanaran las observaciones que dieron lugar.</w:t>
      </w:r>
    </w:p>
    <w:p w:rsidR="00A8117B" w:rsidRPr="003926B0" w:rsidRDefault="00A8117B" w:rsidP="00A8117B">
      <w:pPr>
        <w:spacing w:after="0"/>
        <w:ind w:firstLine="708"/>
        <w:jc w:val="both"/>
        <w:rPr>
          <w:rFonts w:ascii="Arial" w:hAnsi="Arial" w:cs="Arial"/>
          <w:sz w:val="24"/>
          <w:szCs w:val="24"/>
        </w:rPr>
      </w:pPr>
    </w:p>
    <w:p w:rsidR="00A8117B" w:rsidRPr="003926B0" w:rsidRDefault="00A8117B" w:rsidP="00A8117B">
      <w:pPr>
        <w:spacing w:after="0"/>
        <w:ind w:firstLine="708"/>
        <w:jc w:val="both"/>
        <w:rPr>
          <w:rFonts w:ascii="Arial" w:hAnsi="Arial" w:cs="Arial"/>
          <w:sz w:val="24"/>
          <w:szCs w:val="24"/>
        </w:rPr>
      </w:pPr>
      <w:r w:rsidRPr="003926B0">
        <w:rPr>
          <w:rFonts w:ascii="Arial" w:hAnsi="Arial" w:cs="Arial"/>
          <w:sz w:val="24"/>
          <w:szCs w:val="24"/>
        </w:rPr>
        <w:lastRenderedPageBreak/>
        <w:t xml:space="preserve">Al respecto, la Auditoría Superior de Fiscalización, revisó los argumentos establecidos por el titular del ente </w:t>
      </w:r>
      <w:proofErr w:type="spellStart"/>
      <w:r w:rsidRPr="003926B0">
        <w:rPr>
          <w:rFonts w:ascii="Arial" w:hAnsi="Arial" w:cs="Arial"/>
          <w:sz w:val="24"/>
          <w:szCs w:val="24"/>
        </w:rPr>
        <w:t>fiscalizado</w:t>
      </w:r>
      <w:proofErr w:type="spellEnd"/>
      <w:r w:rsidRPr="003926B0">
        <w:rPr>
          <w:rFonts w:ascii="Arial" w:hAnsi="Arial" w:cs="Arial"/>
          <w:sz w:val="24"/>
          <w:szCs w:val="24"/>
        </w:rPr>
        <w:t>, resolviendo sobre las mismas en términos de si se solventan o no. El Órgano Fiscalizador continuara dándole el seguimiento correspondiente a las observaciones que no hayan sido solventadas completamente a fin de verificar las acciones que el Organismo realice para corregir las deficiencias detectadas.</w:t>
      </w:r>
    </w:p>
    <w:p w:rsidR="00A8117B" w:rsidRPr="003926B0" w:rsidRDefault="00A8117B" w:rsidP="00A8117B">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 xml:space="preserve">También se nos informa por la Auditoría con respecto al trámite y resultados obtenidos, derivados de las solicitudes formuladas por el Congreso del Estado, </w:t>
      </w:r>
      <w:r w:rsidR="006B735E">
        <w:rPr>
          <w:rFonts w:ascii="Arial" w:hAnsi="Arial" w:cs="Arial"/>
          <w:sz w:val="24"/>
          <w:szCs w:val="24"/>
        </w:rPr>
        <w:t>la solicitud que se describe en apartado número VIII del Informe de resultados fue atendida en apego al marco jurídico aplicable y en los tiempos solicitados por este Congreso, así mismo los resultados de esa solicitud se describen en la observación número uno del aparatado VII del Informe de resultados.</w:t>
      </w:r>
    </w:p>
    <w:p w:rsidR="00A8117B" w:rsidRPr="003926B0" w:rsidRDefault="00A8117B" w:rsidP="00A8117B">
      <w:pPr>
        <w:spacing w:after="0"/>
        <w:ind w:firstLine="708"/>
        <w:jc w:val="both"/>
        <w:rPr>
          <w:rFonts w:ascii="Arial" w:hAnsi="Arial" w:cs="Arial"/>
          <w:sz w:val="24"/>
          <w:szCs w:val="24"/>
        </w:rPr>
      </w:pPr>
      <w:r w:rsidRPr="003926B0">
        <w:rPr>
          <w:rFonts w:ascii="Arial" w:hAnsi="Arial" w:cs="Arial"/>
          <w:b/>
          <w:sz w:val="24"/>
          <w:szCs w:val="24"/>
        </w:rPr>
        <w:t>QUINTA:</w:t>
      </w:r>
      <w:r w:rsidRPr="003926B0">
        <w:rPr>
          <w:rFonts w:ascii="Arial" w:hAnsi="Arial" w:cs="Arial"/>
          <w:sz w:val="24"/>
          <w:szCs w:val="24"/>
        </w:rPr>
        <w:t xml:space="preserve"> Adicionalmente se nos infor</w:t>
      </w:r>
      <w:r w:rsidR="006B735E">
        <w:rPr>
          <w:rFonts w:ascii="Arial" w:hAnsi="Arial" w:cs="Arial"/>
          <w:sz w:val="24"/>
          <w:szCs w:val="24"/>
        </w:rPr>
        <w:t>ma que durante el ejercicio 2015</w:t>
      </w:r>
      <w:r w:rsidRPr="003926B0">
        <w:rPr>
          <w:rFonts w:ascii="Arial" w:hAnsi="Arial" w:cs="Arial"/>
          <w:sz w:val="24"/>
          <w:szCs w:val="24"/>
        </w:rPr>
        <w:t>, no se recibieron solicitudes de revisión de situaciones excepcionales en relación a la cuenta pública en revisión.</w:t>
      </w:r>
    </w:p>
    <w:p w:rsidR="00A8117B" w:rsidRPr="003926B0" w:rsidRDefault="00A8117B" w:rsidP="00A8117B">
      <w:pPr>
        <w:spacing w:after="0"/>
        <w:ind w:left="708" w:firstLine="708"/>
        <w:jc w:val="both"/>
        <w:rPr>
          <w:rFonts w:ascii="Arial" w:hAnsi="Arial" w:cs="Arial"/>
        </w:rPr>
      </w:pPr>
    </w:p>
    <w:p w:rsidR="00A8117B" w:rsidRPr="00C35717" w:rsidRDefault="00A8117B" w:rsidP="00A8117B">
      <w:pPr>
        <w:autoSpaceDE w:val="0"/>
        <w:autoSpaceDN w:val="0"/>
        <w:adjustRightInd w:val="0"/>
        <w:spacing w:after="0"/>
        <w:ind w:firstLine="709"/>
        <w:jc w:val="both"/>
        <w:rPr>
          <w:rFonts w:ascii="Arial" w:hAnsi="Arial" w:cs="Arial"/>
          <w:sz w:val="24"/>
          <w:szCs w:val="24"/>
        </w:rPr>
      </w:pPr>
      <w:r w:rsidRPr="003926B0">
        <w:rPr>
          <w:rFonts w:ascii="Arial" w:hAnsi="Arial" w:cs="Arial"/>
          <w:b/>
          <w:sz w:val="24"/>
          <w:szCs w:val="24"/>
        </w:rPr>
        <w:t>SEXTA:</w:t>
      </w:r>
      <w:r w:rsidRPr="003926B0">
        <w:rPr>
          <w:rFonts w:ascii="Arial" w:hAnsi="Arial" w:cs="Arial"/>
          <w:b/>
        </w:rPr>
        <w:t xml:space="preserve"> </w:t>
      </w:r>
      <w:r w:rsidRPr="003926B0">
        <w:rPr>
          <w:rFonts w:ascii="Arial" w:hAnsi="Arial" w:cs="Arial"/>
          <w:sz w:val="24"/>
          <w:szCs w:val="24"/>
        </w:rPr>
        <w:t>Que la Auditoría Superior del Estado nos informa en el apartado Recomendaciones y Acciones Promovidas con</w:t>
      </w:r>
      <w:r>
        <w:rPr>
          <w:rFonts w:ascii="Arial" w:hAnsi="Arial" w:cs="Arial"/>
          <w:sz w:val="24"/>
          <w:szCs w:val="24"/>
        </w:rPr>
        <w:t xml:space="preserve"> respecto de los ejercicios</w:t>
      </w:r>
      <w:r w:rsidR="006B735E">
        <w:rPr>
          <w:rFonts w:ascii="Arial" w:hAnsi="Arial" w:cs="Arial"/>
          <w:sz w:val="24"/>
          <w:szCs w:val="24"/>
        </w:rPr>
        <w:t xml:space="preserve"> fiscales 2011, 2012,</w:t>
      </w:r>
      <w:r>
        <w:rPr>
          <w:rFonts w:ascii="Arial" w:hAnsi="Arial" w:cs="Arial"/>
          <w:sz w:val="24"/>
          <w:szCs w:val="24"/>
        </w:rPr>
        <w:t xml:space="preserve"> 2013</w:t>
      </w:r>
      <w:r w:rsidR="006B735E">
        <w:rPr>
          <w:rFonts w:ascii="Arial" w:hAnsi="Arial" w:cs="Arial"/>
          <w:sz w:val="24"/>
          <w:szCs w:val="24"/>
        </w:rPr>
        <w:t xml:space="preserve"> y 2014, sólo subsistía una acción con pliego presuntivo de responsabilidades que se encontraba pendiente de dictamen técnico en el año 2014.</w:t>
      </w:r>
      <w:r w:rsidRPr="003926B0">
        <w:rPr>
          <w:rFonts w:ascii="Arial" w:hAnsi="Arial" w:cs="Arial"/>
          <w:sz w:val="24"/>
          <w:szCs w:val="24"/>
        </w:rPr>
        <w:t xml:space="preserve"> </w:t>
      </w:r>
    </w:p>
    <w:p w:rsidR="00A8117B" w:rsidRPr="007F5756" w:rsidRDefault="00A8117B" w:rsidP="00A8117B">
      <w:pPr>
        <w:autoSpaceDE w:val="0"/>
        <w:autoSpaceDN w:val="0"/>
        <w:adjustRightInd w:val="0"/>
        <w:spacing w:after="0"/>
        <w:ind w:firstLine="708"/>
        <w:jc w:val="both"/>
        <w:rPr>
          <w:rFonts w:ascii="Arial" w:hAnsi="Arial" w:cs="Arial"/>
          <w:sz w:val="24"/>
          <w:szCs w:val="24"/>
        </w:rPr>
      </w:pPr>
    </w:p>
    <w:p w:rsidR="00A8117B" w:rsidRDefault="00A8117B" w:rsidP="00A8117B">
      <w:pPr>
        <w:autoSpaceDE w:val="0"/>
        <w:autoSpaceDN w:val="0"/>
        <w:adjustRightInd w:val="0"/>
        <w:spacing w:after="0"/>
        <w:ind w:firstLine="708"/>
        <w:jc w:val="both"/>
        <w:rPr>
          <w:rFonts w:ascii="Arial" w:hAnsi="Arial" w:cs="Arial"/>
          <w:sz w:val="24"/>
          <w:szCs w:val="24"/>
          <w:lang w:eastAsia="es-ES"/>
        </w:rPr>
      </w:pPr>
      <w:r w:rsidRPr="007F779D">
        <w:rPr>
          <w:rFonts w:ascii="Arial" w:hAnsi="Arial" w:cs="Arial"/>
          <w:b/>
          <w:sz w:val="24"/>
          <w:szCs w:val="24"/>
        </w:rPr>
        <w:t>SEPTIMA:</w:t>
      </w:r>
      <w:r>
        <w:rPr>
          <w:rFonts w:ascii="Arial" w:hAnsi="Arial" w:cs="Arial"/>
          <w:sz w:val="24"/>
          <w:szCs w:val="24"/>
        </w:rPr>
        <w:t xml:space="preserve"> </w:t>
      </w:r>
      <w:r w:rsidRPr="00975896">
        <w:rPr>
          <w:rFonts w:ascii="Arial" w:hAnsi="Arial" w:cs="Arial"/>
          <w:sz w:val="24"/>
          <w:szCs w:val="24"/>
        </w:rPr>
        <w:t>Ahora bien, queda por resolver sobre la aprobación o rechazo de la cuenta que nos ocupa, a cuyo efecto debemos considerar, en</w:t>
      </w:r>
      <w:r w:rsidR="00222233">
        <w:rPr>
          <w:rFonts w:ascii="Arial" w:hAnsi="Arial" w:cs="Arial"/>
          <w:sz w:val="24"/>
          <w:szCs w:val="24"/>
        </w:rPr>
        <w:t xml:space="preserve"> su caso, si las observaciones</w:t>
      </w:r>
      <w:r w:rsidRPr="00975896">
        <w:rPr>
          <w:rFonts w:ascii="Arial" w:hAnsi="Arial" w:cs="Arial"/>
          <w:sz w:val="24"/>
          <w:szCs w:val="24"/>
        </w:rPr>
        <w:t xml:space="preserve"> detectadas durante la revisión</w:t>
      </w:r>
      <w:r w:rsidR="00222233">
        <w:rPr>
          <w:rFonts w:ascii="Arial" w:hAnsi="Arial" w:cs="Arial"/>
          <w:sz w:val="24"/>
          <w:szCs w:val="24"/>
        </w:rPr>
        <w:t xml:space="preserve"> pudieran romper</w:t>
      </w:r>
      <w:r w:rsidRPr="00975896">
        <w:rPr>
          <w:rFonts w:ascii="Arial" w:hAnsi="Arial" w:cs="Arial"/>
          <w:sz w:val="24"/>
          <w:szCs w:val="24"/>
        </w:rPr>
        <w:t xml:space="preserve"> con la razonabilidad que exige el manejo, custodia y aplicación de los ingresos, egresos, fondos y en general de los recursos públicos, así como el cumplimiento de los programas propios de la administración pública</w:t>
      </w:r>
      <w:r>
        <w:rPr>
          <w:rFonts w:ascii="Arial" w:hAnsi="Arial" w:cs="Arial"/>
          <w:sz w:val="24"/>
          <w:szCs w:val="24"/>
        </w:rPr>
        <w:t xml:space="preserve"> y de la normativa que le es aplicable al</w:t>
      </w:r>
      <w:r>
        <w:rPr>
          <w:rFonts w:ascii="Arial" w:hAnsi="Arial" w:cs="Arial"/>
          <w:b/>
          <w:sz w:val="24"/>
          <w:szCs w:val="24"/>
        </w:rPr>
        <w:t xml:space="preserve"> </w:t>
      </w:r>
      <w:r>
        <w:rPr>
          <w:rFonts w:ascii="Arial" w:hAnsi="Arial" w:cs="Arial"/>
          <w:b/>
          <w:sz w:val="24"/>
          <w:szCs w:val="24"/>
          <w:lang w:eastAsia="es-ES"/>
        </w:rPr>
        <w:t>FIDEICOMISO FONDO PARA LA VIVIENDA DE LOS TRABAJADORES DEL ESTADO.</w:t>
      </w:r>
    </w:p>
    <w:p w:rsidR="00A8117B" w:rsidRDefault="00A8117B" w:rsidP="00A8117B">
      <w:pPr>
        <w:autoSpaceDE w:val="0"/>
        <w:autoSpaceDN w:val="0"/>
        <w:adjustRightInd w:val="0"/>
        <w:spacing w:after="0"/>
        <w:ind w:firstLine="708"/>
        <w:jc w:val="both"/>
        <w:rPr>
          <w:rFonts w:ascii="Arial" w:hAnsi="Arial" w:cs="Arial"/>
          <w:sz w:val="24"/>
          <w:szCs w:val="24"/>
          <w:lang w:eastAsia="es-ES"/>
        </w:rPr>
      </w:pPr>
    </w:p>
    <w:p w:rsidR="00A8117B" w:rsidRDefault="00A8117B" w:rsidP="00A8117B">
      <w:pPr>
        <w:spacing w:after="0"/>
        <w:ind w:firstLine="708"/>
        <w:jc w:val="both"/>
        <w:rPr>
          <w:rFonts w:ascii="Arial" w:hAnsi="Arial" w:cs="Arial"/>
          <w:bCs/>
          <w:sz w:val="24"/>
          <w:szCs w:val="24"/>
          <w:lang w:val="es-MX"/>
        </w:rPr>
      </w:pPr>
    </w:p>
    <w:p w:rsidR="00A8117B" w:rsidRPr="00326CE5" w:rsidRDefault="00767336" w:rsidP="00A8117B">
      <w:pPr>
        <w:spacing w:before="240"/>
        <w:ind w:firstLine="709"/>
        <w:jc w:val="both"/>
        <w:rPr>
          <w:rFonts w:ascii="Arial" w:hAnsi="Arial" w:cs="Arial"/>
          <w:sz w:val="24"/>
          <w:szCs w:val="24"/>
          <w:lang w:val="es-MX"/>
        </w:rPr>
      </w:pPr>
      <w:r>
        <w:rPr>
          <w:rFonts w:ascii="Arial" w:hAnsi="Arial" w:cs="Arial"/>
          <w:sz w:val="24"/>
          <w:szCs w:val="24"/>
          <w:lang w:val="es-MX"/>
        </w:rPr>
        <w:t xml:space="preserve">En atención a lo descrito en el apartado de las observaciones que tuvo a bien detectar la Auditoría y en relación al contenido de las mismas, </w:t>
      </w:r>
      <w:r w:rsidR="00A8117B" w:rsidRPr="00326CE5">
        <w:rPr>
          <w:rFonts w:ascii="Arial" w:hAnsi="Arial" w:cs="Arial"/>
          <w:sz w:val="24"/>
          <w:szCs w:val="24"/>
          <w:lang w:val="es-MX"/>
        </w:rPr>
        <w:t xml:space="preserve">es de estimarse </w:t>
      </w:r>
      <w:r w:rsidR="00412CC8">
        <w:rPr>
          <w:rFonts w:ascii="Arial" w:hAnsi="Arial" w:cs="Arial"/>
          <w:sz w:val="24"/>
          <w:szCs w:val="24"/>
          <w:lang w:val="es-MX"/>
        </w:rPr>
        <w:t xml:space="preserve">que </w:t>
      </w:r>
      <w:r w:rsidR="00A8117B">
        <w:rPr>
          <w:rFonts w:ascii="Arial" w:hAnsi="Arial" w:cs="Arial"/>
          <w:sz w:val="24"/>
          <w:szCs w:val="24"/>
          <w:lang w:val="es-MX"/>
        </w:rPr>
        <w:t>no</w:t>
      </w:r>
      <w:r w:rsidR="00A8117B" w:rsidRPr="00326CE5">
        <w:rPr>
          <w:rFonts w:ascii="Arial" w:hAnsi="Arial" w:cs="Arial"/>
          <w:sz w:val="24"/>
          <w:szCs w:val="24"/>
          <w:lang w:val="es-MX"/>
        </w:rPr>
        <w:t xml:space="preserve"> son causa suficiente para considerar que la generalidad de la actuación del ente revisado deba estimarse como deficiente y por lo mismo, la entidad revisada </w:t>
      </w:r>
      <w:r w:rsidR="00A8117B">
        <w:rPr>
          <w:rFonts w:ascii="Arial" w:hAnsi="Arial" w:cs="Arial"/>
          <w:sz w:val="24"/>
          <w:szCs w:val="24"/>
          <w:lang w:val="es-MX"/>
        </w:rPr>
        <w:t>es</w:t>
      </w:r>
      <w:r w:rsidR="00A8117B" w:rsidRPr="00326CE5">
        <w:rPr>
          <w:rFonts w:ascii="Arial" w:hAnsi="Arial" w:cs="Arial"/>
          <w:sz w:val="24"/>
          <w:szCs w:val="24"/>
          <w:lang w:val="es-MX"/>
        </w:rPr>
        <w:t xml:space="preserve"> acreedora a una manifestación de aprobación de parte de este Poder Legislativo respecto a su Cuenta Pública para el ejercicio fiscal 201</w:t>
      </w:r>
      <w:r w:rsidR="00412CC8">
        <w:rPr>
          <w:rFonts w:ascii="Arial" w:hAnsi="Arial" w:cs="Arial"/>
          <w:sz w:val="24"/>
          <w:szCs w:val="24"/>
          <w:lang w:val="es-MX"/>
        </w:rPr>
        <w:t>5</w:t>
      </w:r>
      <w:r w:rsidR="00A8117B" w:rsidRPr="00326CE5">
        <w:rPr>
          <w:rFonts w:ascii="Arial" w:hAnsi="Arial" w:cs="Arial"/>
          <w:sz w:val="24"/>
          <w:szCs w:val="24"/>
          <w:lang w:val="es-MX"/>
        </w:rPr>
        <w:t>.</w:t>
      </w:r>
    </w:p>
    <w:p w:rsidR="00A8117B" w:rsidRPr="00264D23" w:rsidRDefault="00A8117B" w:rsidP="00A8117B">
      <w:pPr>
        <w:spacing w:before="240"/>
        <w:ind w:firstLine="709"/>
        <w:jc w:val="both"/>
        <w:rPr>
          <w:rFonts w:ascii="Arial" w:hAnsi="Arial" w:cs="Arial"/>
          <w:sz w:val="24"/>
          <w:szCs w:val="24"/>
          <w:lang w:val="es-MX"/>
        </w:rPr>
      </w:pPr>
      <w:r w:rsidRPr="00264D23">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A8117B" w:rsidRPr="003926B0" w:rsidRDefault="00A8117B" w:rsidP="00A8117B">
      <w:pPr>
        <w:spacing w:before="240" w:line="240" w:lineRule="auto"/>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Legislativa el siguiente proyecto de:</w:t>
      </w:r>
    </w:p>
    <w:p w:rsidR="00A8117B" w:rsidRPr="007E6300" w:rsidRDefault="00A8117B" w:rsidP="00A8117B">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A8117B" w:rsidRPr="00264D23" w:rsidRDefault="00A8117B" w:rsidP="00A8117B">
      <w:pPr>
        <w:ind w:firstLine="708"/>
        <w:jc w:val="both"/>
        <w:rPr>
          <w:rFonts w:ascii="Arial" w:hAnsi="Arial" w:cs="Arial"/>
          <w:bCs/>
          <w:sz w:val="24"/>
          <w:szCs w:val="24"/>
          <w:lang w:val="es-MX"/>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 de la re</w:t>
      </w:r>
      <w:r w:rsidR="00412CC8">
        <w:rPr>
          <w:rFonts w:ascii="Arial" w:hAnsi="Arial" w:cs="Arial"/>
          <w:bCs/>
          <w:sz w:val="24"/>
          <w:szCs w:val="24"/>
        </w:rPr>
        <w:t>visión de la Cuenta Pública 2015</w:t>
      </w:r>
      <w:r>
        <w:rPr>
          <w:rFonts w:ascii="Arial" w:hAnsi="Arial" w:cs="Arial"/>
          <w:bCs/>
          <w:sz w:val="24"/>
          <w:szCs w:val="24"/>
        </w:rPr>
        <w:t>, del</w:t>
      </w:r>
      <w:r w:rsidRPr="00C35717">
        <w:rPr>
          <w:rFonts w:ascii="Arial" w:hAnsi="Arial" w:cs="Arial"/>
          <w:b/>
          <w:sz w:val="24"/>
          <w:szCs w:val="24"/>
        </w:rPr>
        <w:t xml:space="preserve"> </w:t>
      </w:r>
      <w:r>
        <w:rPr>
          <w:rFonts w:ascii="Arial" w:hAnsi="Arial" w:cs="Arial"/>
          <w:b/>
          <w:sz w:val="24"/>
          <w:szCs w:val="24"/>
          <w:lang w:eastAsia="es-ES"/>
        </w:rPr>
        <w:t>FIDEICOMISO FONDO PARA LA VIVIENDA DE LOS TRABAJADORES DEL ESTADO.</w:t>
      </w:r>
    </w:p>
    <w:p w:rsidR="00412CC8" w:rsidRDefault="00A8117B" w:rsidP="00A8117B">
      <w:pPr>
        <w:ind w:firstLine="708"/>
        <w:jc w:val="both"/>
        <w:rPr>
          <w:rFonts w:ascii="Arial" w:hAnsi="Arial" w:cs="Arial"/>
          <w:bCs/>
          <w:sz w:val="24"/>
          <w:szCs w:val="24"/>
          <w:lang w:val="es-MX"/>
        </w:rPr>
      </w:pPr>
      <w:r>
        <w:rPr>
          <w:rFonts w:ascii="Arial" w:hAnsi="Arial" w:cs="Arial"/>
          <w:b/>
          <w:bCs/>
          <w:sz w:val="24"/>
          <w:szCs w:val="24"/>
        </w:rPr>
        <w:t>SEGUNDO.-</w:t>
      </w:r>
      <w:r>
        <w:rPr>
          <w:rFonts w:ascii="Arial" w:hAnsi="Arial" w:cs="Arial"/>
          <w:bCs/>
          <w:sz w:val="24"/>
          <w:szCs w:val="24"/>
        </w:rPr>
        <w:t xml:space="preserve"> </w:t>
      </w:r>
      <w:r w:rsidRPr="00326CE5">
        <w:rPr>
          <w:rFonts w:ascii="Arial" w:hAnsi="Arial" w:cs="Arial"/>
          <w:bCs/>
          <w:sz w:val="24"/>
          <w:szCs w:val="24"/>
          <w:lang w:val="es-MX"/>
        </w:rPr>
        <w:t>Tras el análisis del contenido del Informe de Resultados que nos ocupa, se tienen por conocidas las observaciones derivadas de la revisión practicada por la Auditoría Superior del Estado,</w:t>
      </w:r>
      <w:r>
        <w:rPr>
          <w:rFonts w:ascii="Arial" w:hAnsi="Arial" w:cs="Arial"/>
          <w:bCs/>
          <w:sz w:val="24"/>
          <w:szCs w:val="24"/>
          <w:lang w:val="es-MX"/>
        </w:rPr>
        <w:t xml:space="preserve"> señal</w:t>
      </w:r>
      <w:r w:rsidR="0017521F">
        <w:rPr>
          <w:rFonts w:ascii="Arial" w:hAnsi="Arial" w:cs="Arial"/>
          <w:bCs/>
          <w:sz w:val="24"/>
          <w:szCs w:val="24"/>
          <w:lang w:val="es-MX"/>
        </w:rPr>
        <w:t>adas con los números 1 al 15</w:t>
      </w:r>
      <w:r>
        <w:rPr>
          <w:rFonts w:ascii="Arial" w:hAnsi="Arial" w:cs="Arial"/>
          <w:bCs/>
          <w:sz w:val="24"/>
          <w:szCs w:val="24"/>
          <w:lang w:val="es-MX"/>
        </w:rPr>
        <w:t xml:space="preserve"> </w:t>
      </w:r>
      <w:r w:rsidRPr="00326CE5">
        <w:rPr>
          <w:rFonts w:ascii="Arial" w:hAnsi="Arial" w:cs="Arial"/>
          <w:bCs/>
          <w:sz w:val="24"/>
          <w:szCs w:val="24"/>
          <w:lang w:val="es-MX"/>
        </w:rPr>
        <w:t xml:space="preserve">respecto a las cuales </w:t>
      </w:r>
      <w:r w:rsidR="00412CC8">
        <w:rPr>
          <w:rFonts w:ascii="Arial" w:hAnsi="Arial" w:cs="Arial"/>
          <w:bCs/>
          <w:sz w:val="24"/>
          <w:szCs w:val="24"/>
          <w:lang w:val="es-MX"/>
        </w:rPr>
        <w:t>no se</w:t>
      </w:r>
      <w:r w:rsidRPr="00326CE5">
        <w:rPr>
          <w:rFonts w:ascii="Arial" w:hAnsi="Arial" w:cs="Arial"/>
          <w:bCs/>
          <w:sz w:val="24"/>
          <w:szCs w:val="24"/>
          <w:lang w:val="es-MX"/>
        </w:rPr>
        <w:t xml:space="preserve"> determinó emitir pliegos presuntivos</w:t>
      </w:r>
      <w:r w:rsidR="00412CC8">
        <w:rPr>
          <w:rFonts w:ascii="Arial" w:hAnsi="Arial" w:cs="Arial"/>
          <w:bCs/>
          <w:sz w:val="24"/>
          <w:szCs w:val="24"/>
          <w:lang w:val="es-MX"/>
        </w:rPr>
        <w:t xml:space="preserve"> de responsabilidades, ya que </w:t>
      </w:r>
      <w:r w:rsidR="009D305C">
        <w:rPr>
          <w:rFonts w:ascii="Arial" w:hAnsi="Arial" w:cs="Arial"/>
          <w:bCs/>
          <w:sz w:val="24"/>
          <w:szCs w:val="24"/>
          <w:lang w:val="es-MX"/>
        </w:rPr>
        <w:t>no se apreciaron observaciones susceptibles de generar afectación económica.</w:t>
      </w:r>
    </w:p>
    <w:p w:rsidR="00A8117B" w:rsidRDefault="00A8117B" w:rsidP="00A8117B">
      <w:pPr>
        <w:ind w:firstLine="708"/>
        <w:jc w:val="both"/>
        <w:rPr>
          <w:rFonts w:ascii="Arial" w:hAnsi="Arial" w:cs="Arial"/>
          <w:bCs/>
          <w:sz w:val="24"/>
          <w:szCs w:val="24"/>
        </w:rPr>
      </w:pPr>
    </w:p>
    <w:p w:rsidR="00A8117B" w:rsidRPr="00190C96" w:rsidRDefault="00A8117B" w:rsidP="00A8117B">
      <w:pPr>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 causa de promoción de fincamiento de responsabilidades administrativas, Promoción de</w:t>
      </w:r>
      <w:r>
        <w:rPr>
          <w:rFonts w:ascii="Arial" w:hAnsi="Arial" w:cs="Arial"/>
          <w:bCs/>
          <w:sz w:val="24"/>
          <w:szCs w:val="24"/>
          <w:lang w:val="es-MX"/>
        </w:rPr>
        <w:t xml:space="preserve">l ejercicio de la facultad de comprobación fiscal </w:t>
      </w:r>
      <w:r w:rsidRPr="00190C96">
        <w:rPr>
          <w:rFonts w:ascii="Arial" w:hAnsi="Arial" w:cs="Arial"/>
          <w:bCs/>
          <w:sz w:val="24"/>
          <w:szCs w:val="24"/>
          <w:lang w:val="es-MX"/>
        </w:rPr>
        <w:t xml:space="preserve"> y recomendaciones a la gestión</w:t>
      </w:r>
      <w:r>
        <w:rPr>
          <w:rFonts w:ascii="Arial" w:hAnsi="Arial" w:cs="Arial"/>
          <w:bCs/>
          <w:sz w:val="24"/>
          <w:szCs w:val="24"/>
          <w:lang w:val="es-MX"/>
        </w:rPr>
        <w:t xml:space="preserve"> o control interno</w:t>
      </w:r>
      <w:r w:rsidRPr="00190C96">
        <w:rPr>
          <w:rFonts w:ascii="Arial" w:hAnsi="Arial" w:cs="Arial"/>
          <w:bCs/>
          <w:sz w:val="24"/>
          <w:szCs w:val="24"/>
          <w:lang w:val="es-MX"/>
        </w:rPr>
        <w:t xml:space="preserve"> en el rubro de Auditoría a la Gestión Financiera y</w:t>
      </w:r>
      <w:r>
        <w:rPr>
          <w:rFonts w:ascii="Arial" w:hAnsi="Arial" w:cs="Arial"/>
          <w:bCs/>
          <w:sz w:val="24"/>
          <w:szCs w:val="24"/>
          <w:lang w:val="es-MX"/>
        </w:rPr>
        <w:t xml:space="preserve"> considerando que no afectan la gestión del ente</w:t>
      </w:r>
      <w:r w:rsidR="00412CC8">
        <w:rPr>
          <w:rFonts w:ascii="Arial" w:hAnsi="Arial" w:cs="Arial"/>
          <w:bCs/>
          <w:sz w:val="24"/>
          <w:szCs w:val="24"/>
          <w:lang w:val="es-MX"/>
        </w:rPr>
        <w:t xml:space="preserve">  </w:t>
      </w:r>
      <w:proofErr w:type="spellStart"/>
      <w:r w:rsidRPr="00190C96">
        <w:rPr>
          <w:rFonts w:ascii="Arial" w:hAnsi="Arial" w:cs="Arial"/>
          <w:bCs/>
          <w:sz w:val="24"/>
          <w:szCs w:val="24"/>
          <w:lang w:val="es-MX"/>
        </w:rPr>
        <w:t>fiscalizado</w:t>
      </w:r>
      <w:proofErr w:type="spellEnd"/>
      <w:r w:rsidRPr="00190C96">
        <w:rPr>
          <w:rFonts w:ascii="Arial" w:hAnsi="Arial" w:cs="Arial"/>
          <w:bCs/>
          <w:sz w:val="24"/>
          <w:szCs w:val="24"/>
          <w:lang w:val="es-MX"/>
        </w:rPr>
        <w:t xml:space="preserve">, se estima que la </w:t>
      </w:r>
      <w:r w:rsidR="00412CC8">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l</w:t>
      </w:r>
      <w:r w:rsidRPr="00C35717">
        <w:rPr>
          <w:rFonts w:ascii="Arial" w:hAnsi="Arial" w:cs="Arial"/>
          <w:b/>
          <w:sz w:val="24"/>
          <w:szCs w:val="24"/>
        </w:rPr>
        <w:t xml:space="preserve"> </w:t>
      </w:r>
      <w:r>
        <w:rPr>
          <w:rFonts w:ascii="Arial" w:hAnsi="Arial" w:cs="Arial"/>
          <w:b/>
          <w:sz w:val="24"/>
          <w:szCs w:val="24"/>
          <w:lang w:eastAsia="es-ES"/>
        </w:rPr>
        <w:t>FIDEICOMISO FONDO PARA LA VIVIENDA DE LOS TRABAJADORES DEL ESTADO</w:t>
      </w:r>
      <w:r w:rsidRPr="00190C96">
        <w:rPr>
          <w:rFonts w:ascii="Arial" w:hAnsi="Arial" w:cs="Arial"/>
          <w:bCs/>
          <w:sz w:val="24"/>
          <w:szCs w:val="24"/>
          <w:lang w:val="es-MX"/>
        </w:rPr>
        <w:t xml:space="preserve"> </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A8117B" w:rsidRPr="00190C96" w:rsidRDefault="00A8117B" w:rsidP="00A8117B">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0576F4">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SE </w:t>
      </w:r>
      <w:r>
        <w:rPr>
          <w:rFonts w:ascii="Arial" w:hAnsi="Arial" w:cs="Arial"/>
          <w:b/>
          <w:bCs/>
          <w:sz w:val="24"/>
          <w:szCs w:val="24"/>
          <w:lang w:val="es-MX"/>
        </w:rPr>
        <w:t>APRUEBA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sidR="00412CC8">
        <w:rPr>
          <w:rFonts w:ascii="Arial" w:hAnsi="Arial" w:cs="Arial"/>
          <w:b/>
          <w:bCs/>
          <w:sz w:val="24"/>
          <w:szCs w:val="24"/>
          <w:lang w:val="es-MX"/>
        </w:rPr>
        <w:t xml:space="preserve"> 2015</w:t>
      </w:r>
      <w:r>
        <w:rPr>
          <w:rFonts w:ascii="Arial" w:hAnsi="Arial" w:cs="Arial"/>
          <w:b/>
          <w:bCs/>
          <w:sz w:val="24"/>
          <w:szCs w:val="24"/>
          <w:lang w:val="es-MX"/>
        </w:rPr>
        <w:t xml:space="preserve"> del </w:t>
      </w:r>
      <w:r>
        <w:rPr>
          <w:rFonts w:ascii="Arial" w:hAnsi="Arial" w:cs="Arial"/>
          <w:b/>
          <w:sz w:val="24"/>
          <w:szCs w:val="24"/>
          <w:lang w:eastAsia="es-ES"/>
        </w:rPr>
        <w:t>FIDEICOMISO FONDO PARA LA VIVIENDA DE LOS TRABAJADORES DEL ESTADO.</w:t>
      </w:r>
    </w:p>
    <w:p w:rsidR="00A8117B" w:rsidRPr="00190C96" w:rsidRDefault="00A8117B" w:rsidP="00A8117B">
      <w:pPr>
        <w:ind w:firstLine="708"/>
        <w:jc w:val="both"/>
        <w:rPr>
          <w:rFonts w:ascii="Arial" w:hAnsi="Arial" w:cs="Arial"/>
          <w:b/>
          <w:bCs/>
          <w:sz w:val="24"/>
          <w:szCs w:val="24"/>
        </w:rPr>
      </w:pPr>
      <w:r w:rsidRPr="00190C96">
        <w:rPr>
          <w:rFonts w:ascii="Arial" w:hAnsi="Arial" w:cs="Arial"/>
          <w:b/>
          <w:bCs/>
          <w:sz w:val="24"/>
          <w:szCs w:val="24"/>
        </w:rPr>
        <w:t xml:space="preserve">CUARTO.- </w:t>
      </w:r>
      <w:r w:rsidRPr="00190C96">
        <w:rPr>
          <w:rFonts w:ascii="Arial" w:hAnsi="Arial" w:cs="Arial"/>
          <w:bCs/>
          <w:sz w:val="24"/>
          <w:szCs w:val="24"/>
        </w:rPr>
        <w:t>Se instruye a la Auditoria Superior del Estado para que en términos del párrafo segundo del artículo 52 de la</w:t>
      </w:r>
      <w:r w:rsidRPr="00190C96">
        <w:rPr>
          <w:rFonts w:ascii="Arial" w:hAnsi="Arial" w:cs="Arial"/>
          <w:bCs/>
          <w:sz w:val="24"/>
          <w:szCs w:val="24"/>
          <w:lang w:val="es-ES_tradnl"/>
        </w:rPr>
        <w:t xml:space="preserve"> </w:t>
      </w:r>
      <w:r w:rsidRPr="00190C96">
        <w:rPr>
          <w:rFonts w:ascii="Arial" w:hAnsi="Arial" w:cs="Arial"/>
          <w:bCs/>
          <w:sz w:val="24"/>
          <w:szCs w:val="24"/>
        </w:rPr>
        <w:t>Ley de Fiscalización Superior del Estado de Nuevo León</w:t>
      </w:r>
      <w:r w:rsidRPr="00190C96">
        <w:rPr>
          <w:rFonts w:ascii="Arial" w:hAnsi="Arial" w:cs="Arial"/>
          <w:b/>
          <w:bCs/>
          <w:sz w:val="24"/>
          <w:szCs w:val="24"/>
        </w:rPr>
        <w:t xml:space="preserve"> EXPIDA EL FINIQUITO CORRESPONDIENTE, </w:t>
      </w:r>
      <w:r w:rsidRPr="00190C96">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Pr>
          <w:rFonts w:ascii="Arial" w:hAnsi="Arial" w:cs="Arial"/>
          <w:bCs/>
          <w:sz w:val="24"/>
          <w:szCs w:val="24"/>
        </w:rPr>
        <w:t>l</w:t>
      </w:r>
      <w:r w:rsidRPr="00C35717">
        <w:rPr>
          <w:rFonts w:ascii="Arial" w:hAnsi="Arial" w:cs="Arial"/>
          <w:b/>
          <w:sz w:val="24"/>
          <w:szCs w:val="24"/>
        </w:rPr>
        <w:t xml:space="preserve"> </w:t>
      </w:r>
      <w:r>
        <w:rPr>
          <w:rFonts w:ascii="Arial" w:hAnsi="Arial" w:cs="Arial"/>
          <w:b/>
          <w:sz w:val="24"/>
          <w:szCs w:val="24"/>
          <w:lang w:eastAsia="es-ES"/>
        </w:rPr>
        <w:t xml:space="preserve">FIDEICOMISO FONDO PARA LA VIVIENDA DE LOS TRABAJADORES DEL ESTADO </w:t>
      </w:r>
      <w:r w:rsidRPr="00190C96">
        <w:rPr>
          <w:rFonts w:ascii="Arial" w:hAnsi="Arial" w:cs="Arial"/>
          <w:bCs/>
          <w:sz w:val="24"/>
          <w:szCs w:val="24"/>
        </w:rPr>
        <w:t xml:space="preserve">correspondiente al ejercicio </w:t>
      </w:r>
      <w:r w:rsidR="00412CC8">
        <w:rPr>
          <w:rFonts w:ascii="Arial" w:hAnsi="Arial" w:cs="Arial"/>
          <w:b/>
          <w:bCs/>
          <w:sz w:val="24"/>
          <w:szCs w:val="24"/>
        </w:rPr>
        <w:t>2015</w:t>
      </w:r>
      <w:r w:rsidRPr="00190C96">
        <w:rPr>
          <w:rFonts w:ascii="Arial" w:hAnsi="Arial" w:cs="Arial"/>
          <w:b/>
          <w:bCs/>
          <w:sz w:val="24"/>
          <w:szCs w:val="24"/>
        </w:rPr>
        <w:t xml:space="preserve">. </w:t>
      </w:r>
    </w:p>
    <w:p w:rsidR="00A8117B" w:rsidRPr="007E6300" w:rsidRDefault="00A8117B" w:rsidP="00A8117B">
      <w:pPr>
        <w:ind w:firstLine="708"/>
        <w:jc w:val="both"/>
        <w:rPr>
          <w:rFonts w:ascii="Arial" w:hAnsi="Arial" w:cs="Arial"/>
          <w:bCs/>
          <w:sz w:val="24"/>
          <w:szCs w:val="24"/>
        </w:rPr>
      </w:pPr>
      <w:r>
        <w:rPr>
          <w:rFonts w:ascii="Arial" w:hAnsi="Arial" w:cs="Arial"/>
          <w:b/>
          <w:bCs/>
          <w:sz w:val="24"/>
          <w:szCs w:val="24"/>
        </w:rPr>
        <w:t>QUINTO.-</w:t>
      </w:r>
      <w:r>
        <w:rPr>
          <w:rFonts w:ascii="Arial" w:hAnsi="Arial" w:cs="Arial"/>
          <w:bCs/>
          <w:sz w:val="24"/>
          <w:szCs w:val="24"/>
        </w:rPr>
        <w:t xml:space="preserve"> Remítase copia a la AUDITORÍA SUPERIOR DEL ESTADO DE NUEVO LEÓN y al</w:t>
      </w:r>
      <w:r w:rsidRPr="00B15E5A">
        <w:rPr>
          <w:rFonts w:ascii="Arial" w:hAnsi="Arial" w:cs="Arial"/>
          <w:b/>
          <w:sz w:val="24"/>
          <w:szCs w:val="24"/>
        </w:rPr>
        <w:t xml:space="preserve"> </w:t>
      </w:r>
      <w:r>
        <w:rPr>
          <w:rFonts w:ascii="Arial" w:hAnsi="Arial" w:cs="Arial"/>
          <w:b/>
          <w:sz w:val="24"/>
          <w:szCs w:val="24"/>
          <w:lang w:eastAsia="es-ES"/>
        </w:rPr>
        <w:t xml:space="preserve">FIDEICOMISO FONDO PARA LA VIVIENDA DE LOS TRABAJADORES DEL ESTADO </w:t>
      </w:r>
      <w:r>
        <w:rPr>
          <w:rFonts w:ascii="Arial" w:hAnsi="Arial" w:cs="Arial"/>
          <w:bCs/>
          <w:sz w:val="24"/>
          <w:szCs w:val="24"/>
        </w:rPr>
        <w:t>para su conocimiento y efectos legales a que haya lugar.</w:t>
      </w:r>
    </w:p>
    <w:p w:rsidR="00A8117B" w:rsidRDefault="00A8117B" w:rsidP="00F456B0">
      <w:pPr>
        <w:spacing w:line="240" w:lineRule="auto"/>
        <w:jc w:val="center"/>
        <w:rPr>
          <w:rFonts w:ascii="Arial" w:hAnsi="Arial" w:cs="Arial"/>
          <w:b/>
          <w:bCs/>
          <w:sz w:val="24"/>
          <w:szCs w:val="24"/>
        </w:rPr>
      </w:pPr>
    </w:p>
    <w:p w:rsidR="00A8117B" w:rsidRPr="007F749B" w:rsidRDefault="00A8117B" w:rsidP="00F456B0">
      <w:pPr>
        <w:spacing w:line="240" w:lineRule="auto"/>
        <w:jc w:val="center"/>
        <w:rPr>
          <w:rFonts w:ascii="Arial" w:hAnsi="Arial" w:cs="Arial"/>
        </w:rPr>
      </w:pPr>
      <w:r>
        <w:rPr>
          <w:rFonts w:ascii="Arial" w:hAnsi="Arial" w:cs="Arial"/>
          <w:b/>
          <w:bCs/>
        </w:rPr>
        <w:t>MONTERREY</w:t>
      </w:r>
      <w:r w:rsidRPr="007F749B">
        <w:rPr>
          <w:rFonts w:ascii="Arial" w:hAnsi="Arial" w:cs="Arial"/>
          <w:b/>
          <w:bCs/>
        </w:rPr>
        <w:t xml:space="preserve"> NUEVO LEÓN</w:t>
      </w:r>
      <w:r w:rsidRPr="007F749B">
        <w:rPr>
          <w:rFonts w:ascii="Arial" w:hAnsi="Arial" w:cs="Arial"/>
        </w:rPr>
        <w:t xml:space="preserve"> </w:t>
      </w:r>
      <w:r w:rsidR="001B6201">
        <w:rPr>
          <w:rFonts w:ascii="Arial" w:hAnsi="Arial" w:cs="Arial"/>
          <w:b/>
        </w:rPr>
        <w:t xml:space="preserve"> </w:t>
      </w:r>
      <w:bookmarkStart w:id="0" w:name="_GoBack"/>
      <w:bookmarkEnd w:id="0"/>
    </w:p>
    <w:p w:rsidR="00A8117B" w:rsidRDefault="00A8117B" w:rsidP="00F456B0">
      <w:pPr>
        <w:pStyle w:val="Ttulo1"/>
        <w:rPr>
          <w:rFonts w:ascii="Arial" w:hAnsi="Arial" w:cs="Arial"/>
          <w:b/>
          <w:sz w:val="22"/>
          <w:szCs w:val="22"/>
          <w:u w:val="none"/>
        </w:rPr>
      </w:pPr>
      <w:r w:rsidRPr="00FE07C7">
        <w:rPr>
          <w:rFonts w:ascii="Arial" w:hAnsi="Arial" w:cs="Arial"/>
          <w:b/>
          <w:sz w:val="22"/>
          <w:szCs w:val="22"/>
          <w:u w:val="none"/>
        </w:rPr>
        <w:lastRenderedPageBreak/>
        <w:t>COMISIÓN DE HACIENDA DEL ESTADO</w:t>
      </w:r>
    </w:p>
    <w:p w:rsidR="00A8117B" w:rsidRDefault="00A8117B" w:rsidP="00A8117B">
      <w:pPr>
        <w:rPr>
          <w:lang w:val="es-ES_tradnl" w:eastAsia="ar-SA"/>
        </w:rPr>
      </w:pPr>
    </w:p>
    <w:p w:rsidR="00A8117B" w:rsidRPr="009A7A82" w:rsidRDefault="00A8117B" w:rsidP="00A8117B">
      <w:pPr>
        <w:rPr>
          <w:lang w:val="es-ES_tradnl" w:eastAsia="ar-SA"/>
        </w:rPr>
      </w:pPr>
    </w:p>
    <w:p w:rsidR="00A8117B" w:rsidRDefault="00A8117B" w:rsidP="00A8117B">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A8117B" w:rsidRDefault="00A8117B" w:rsidP="00A8117B">
      <w:pPr>
        <w:pStyle w:val="Body1"/>
        <w:widowControl w:val="0"/>
        <w:tabs>
          <w:tab w:val="left" w:pos="3828"/>
        </w:tabs>
        <w:suppressAutoHyphens/>
        <w:spacing w:after="120" w:line="360" w:lineRule="auto"/>
        <w:jc w:val="center"/>
        <w:rPr>
          <w:rFonts w:ascii="Arial" w:hAnsi="Arial" w:cs="Arial"/>
          <w:b/>
          <w:sz w:val="22"/>
          <w:lang w:val="es-ES_tradnl"/>
        </w:rPr>
      </w:pPr>
    </w:p>
    <w:p w:rsidR="00A8117B" w:rsidRPr="006743D1" w:rsidRDefault="00412CC8" w:rsidP="00A8117B">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A8117B" w:rsidTr="00652CB2">
        <w:trPr>
          <w:cantSplit/>
          <w:trHeight w:val="340"/>
          <w:jc w:val="center"/>
        </w:trPr>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A8117B" w:rsidRDefault="00A8117B" w:rsidP="00652CB2">
            <w:pPr>
              <w:outlineLvl w:val="0"/>
              <w:rPr>
                <w:rFonts w:ascii="Arial" w:eastAsia="Arial Unicode MS" w:hAnsi="Arial" w:cs="Arial"/>
                <w:b/>
                <w:color w:val="000000"/>
                <w:lang w:val="es-MX"/>
              </w:rPr>
            </w:pP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A8117B" w:rsidTr="00652CB2">
        <w:trPr>
          <w:cantSplit/>
          <w:trHeight w:val="340"/>
          <w:jc w:val="center"/>
        </w:trPr>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es-MX"/>
              </w:rPr>
            </w:pPr>
          </w:p>
          <w:p w:rsidR="00A8117B" w:rsidRDefault="00A8117B" w:rsidP="00652CB2">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8117B" w:rsidRDefault="00A8117B" w:rsidP="00652CB2">
            <w:pPr>
              <w:jc w:val="center"/>
              <w:outlineLvl w:val="0"/>
              <w:rPr>
                <w:rFonts w:ascii="Arial" w:eastAsia="Arial Unicode MS" w:hAnsi="Arial" w:cs="Arial"/>
                <w:b/>
                <w:color w:val="000000"/>
                <w:lang w:val="es-MX"/>
              </w:rPr>
            </w:pP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A8117B" w:rsidTr="00652CB2">
        <w:trPr>
          <w:cantSplit/>
          <w:trHeight w:val="340"/>
          <w:jc w:val="center"/>
        </w:trPr>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8117B" w:rsidRDefault="00A8117B" w:rsidP="00652CB2">
            <w:pPr>
              <w:jc w:val="center"/>
              <w:outlineLvl w:val="0"/>
              <w:rPr>
                <w:rFonts w:ascii="Arial" w:eastAsia="Arial Unicode MS" w:hAnsi="Arial" w:cs="Arial"/>
                <w:b/>
                <w:color w:val="000000"/>
                <w:lang w:val="es-MX"/>
              </w:rPr>
            </w:pP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8117B" w:rsidRDefault="00A8117B" w:rsidP="00652CB2">
            <w:pPr>
              <w:jc w:val="center"/>
              <w:outlineLvl w:val="0"/>
              <w:rPr>
                <w:rFonts w:ascii="Arial" w:eastAsia="Arial Unicode MS" w:hAnsi="Arial" w:cs="Arial"/>
                <w:b/>
                <w:color w:val="000000"/>
                <w:lang w:val="es-MX"/>
              </w:rPr>
            </w:pP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A8117B" w:rsidTr="00652CB2">
        <w:trPr>
          <w:cantSplit/>
          <w:trHeight w:val="340"/>
          <w:jc w:val="center"/>
        </w:trPr>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A8117B" w:rsidRDefault="00A8117B" w:rsidP="00652CB2">
            <w:pPr>
              <w:outlineLvl w:val="0"/>
              <w:rPr>
                <w:rFonts w:ascii="Arial" w:eastAsia="Arial Unicode MS" w:hAnsi="Arial" w:cs="Arial"/>
                <w:b/>
                <w:color w:val="000000"/>
                <w:lang w:val="es-MX"/>
              </w:rPr>
            </w:pP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A8117B" w:rsidRDefault="00A8117B" w:rsidP="00652CB2">
            <w:pPr>
              <w:jc w:val="center"/>
              <w:outlineLvl w:val="0"/>
              <w:rPr>
                <w:rFonts w:ascii="Arial" w:eastAsia="Arial Unicode MS" w:hAnsi="Arial" w:cs="Arial"/>
                <w:b/>
                <w:color w:val="000000"/>
                <w:lang w:val="it-IT"/>
              </w:rPr>
            </w:pPr>
          </w:p>
          <w:p w:rsidR="00A8117B" w:rsidRDefault="00A8117B" w:rsidP="00652CB2">
            <w:pPr>
              <w:outlineLvl w:val="0"/>
              <w:rPr>
                <w:rFonts w:ascii="Arial" w:eastAsia="Arial Unicode MS" w:hAnsi="Arial" w:cs="Arial"/>
                <w:b/>
                <w:color w:val="000000"/>
                <w:lang w:val="it-IT"/>
              </w:rPr>
            </w:pPr>
          </w:p>
          <w:p w:rsidR="00A8117B" w:rsidRDefault="00A8117B" w:rsidP="00652CB2">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A8117B" w:rsidTr="00652CB2">
        <w:trPr>
          <w:cantSplit/>
          <w:trHeight w:val="340"/>
          <w:jc w:val="center"/>
        </w:trPr>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8117B" w:rsidRDefault="00A8117B" w:rsidP="00652CB2">
            <w:pPr>
              <w:jc w:val="center"/>
              <w:outlineLvl w:val="0"/>
              <w:rPr>
                <w:rFonts w:ascii="Arial" w:eastAsia="Arial Unicode MS" w:hAnsi="Arial" w:cs="Arial"/>
                <w:b/>
                <w:color w:val="000000"/>
                <w:lang w:val="es-MX"/>
              </w:rPr>
            </w:pP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A8117B" w:rsidRDefault="00A8117B" w:rsidP="00652CB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8117B" w:rsidRDefault="00A8117B" w:rsidP="00652CB2">
            <w:pP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b/>
                <w:color w:val="000000"/>
                <w:lang w:val="es-MX"/>
              </w:rPr>
            </w:pPr>
          </w:p>
          <w:p w:rsidR="00A8117B" w:rsidRDefault="00A8117B" w:rsidP="00652CB2">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A8117B" w:rsidRDefault="00A8117B" w:rsidP="00A8117B"/>
    <w:p w:rsidR="00A8117B" w:rsidRPr="00720E1D" w:rsidRDefault="00A8117B" w:rsidP="00A8117B">
      <w:pPr>
        <w:rPr>
          <w:lang w:val="es-ES_tradnl" w:eastAsia="ar-SA"/>
        </w:rPr>
      </w:pPr>
    </w:p>
    <w:p w:rsidR="00652CB2" w:rsidRDefault="00652CB2"/>
    <w:sectPr w:rsidR="00652CB2" w:rsidSect="001B6201">
      <w:footerReference w:type="default" r:id="rId1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75" w:rsidRDefault="00147475" w:rsidP="00A8117B">
      <w:pPr>
        <w:spacing w:after="0" w:line="240" w:lineRule="auto"/>
      </w:pPr>
      <w:r>
        <w:separator/>
      </w:r>
    </w:p>
  </w:endnote>
  <w:endnote w:type="continuationSeparator" w:id="0">
    <w:p w:rsidR="00147475" w:rsidRDefault="00147475" w:rsidP="00A8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B2" w:rsidRPr="0088072B" w:rsidRDefault="00652CB2">
    <w:pPr>
      <w:pStyle w:val="Piedepgina"/>
      <w:jc w:val="right"/>
      <w:rPr>
        <w:rFonts w:ascii="Century Gothic" w:hAnsi="Century Gothic"/>
        <w:sz w:val="20"/>
        <w:szCs w:val="20"/>
      </w:rPr>
    </w:pPr>
  </w:p>
  <w:p w:rsidR="00652CB2" w:rsidRPr="00A8117B" w:rsidRDefault="00652CB2" w:rsidP="00652CB2">
    <w:pPr>
      <w:pStyle w:val="Piedepgina"/>
      <w:jc w:val="center"/>
      <w:rPr>
        <w:rFonts w:ascii="Arial" w:hAnsi="Arial" w:cs="Arial"/>
        <w:sz w:val="14"/>
        <w:szCs w:val="14"/>
      </w:rPr>
    </w:pPr>
    <w:r w:rsidRPr="00A8117B">
      <w:rPr>
        <w:rFonts w:ascii="Arial" w:hAnsi="Arial" w:cs="Arial"/>
        <w:sz w:val="14"/>
        <w:szCs w:val="14"/>
      </w:rPr>
      <w:t>Comisión de Hacienda del Estado</w:t>
    </w:r>
  </w:p>
  <w:p w:rsidR="00652CB2" w:rsidRPr="00A8117B" w:rsidRDefault="00652CB2" w:rsidP="00652CB2">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Dictamen del Expediente 10430/LXXIV Cuenta Pública 2015 del</w:t>
    </w:r>
    <w:r w:rsidRPr="00A8117B">
      <w:rPr>
        <w:rFonts w:ascii="Arial" w:hAnsi="Arial" w:cs="Arial"/>
        <w:sz w:val="14"/>
        <w:szCs w:val="14"/>
      </w:rPr>
      <w:t xml:space="preserve"> </w:t>
    </w:r>
    <w:r w:rsidRPr="00A8117B">
      <w:rPr>
        <w:rFonts w:ascii="Arial" w:hAnsi="Arial" w:cs="Arial"/>
        <w:sz w:val="14"/>
        <w:szCs w:val="14"/>
        <w:lang w:eastAsia="es-ES"/>
      </w:rPr>
      <w:t>Fideicomiso Fondo para la Vivienda de los Trabajadores del Estado</w:t>
    </w:r>
    <w:r>
      <w:rPr>
        <w:rFonts w:ascii="Arial" w:hAnsi="Arial" w:cs="Arial"/>
        <w:sz w:val="14"/>
        <w:szCs w:val="14"/>
        <w:lang w:eastAsia="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75" w:rsidRDefault="00147475" w:rsidP="00A8117B">
      <w:pPr>
        <w:spacing w:after="0" w:line="240" w:lineRule="auto"/>
      </w:pPr>
      <w:r>
        <w:separator/>
      </w:r>
    </w:p>
  </w:footnote>
  <w:footnote w:type="continuationSeparator" w:id="0">
    <w:p w:rsidR="00147475" w:rsidRDefault="00147475" w:rsidP="00A81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2AA8"/>
    <w:multiLevelType w:val="hybridMultilevel"/>
    <w:tmpl w:val="D8CE05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F7D94"/>
    <w:multiLevelType w:val="hybridMultilevel"/>
    <w:tmpl w:val="11D0A86E"/>
    <w:lvl w:ilvl="0" w:tplc="17E63C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6E66D7"/>
    <w:multiLevelType w:val="hybridMultilevel"/>
    <w:tmpl w:val="6F8A61CA"/>
    <w:lvl w:ilvl="0" w:tplc="3F72872A">
      <w:start w:val="1"/>
      <w:numFmt w:val="lowerLetter"/>
      <w:lvlText w:val="%1)"/>
      <w:lvlJc w:val="left"/>
      <w:pPr>
        <w:ind w:left="720" w:hanging="360"/>
      </w:pPr>
      <w:rPr>
        <w:rFonts w:hint="eastAsia"/>
      </w:rPr>
    </w:lvl>
    <w:lvl w:ilvl="1" w:tplc="F5CC14F0">
      <w:start w:val="1"/>
      <w:numFmt w:val="decimal"/>
      <w:lvlText w:val="%2)"/>
      <w:lvlJc w:val="left"/>
      <w:pPr>
        <w:ind w:left="1455" w:hanging="375"/>
      </w:pPr>
      <w:rPr>
        <w:rFonts w:hint="eastAsia"/>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DE1877"/>
    <w:multiLevelType w:val="hybridMultilevel"/>
    <w:tmpl w:val="23F0087E"/>
    <w:lvl w:ilvl="0" w:tplc="95685CCA">
      <w:start w:val="1"/>
      <w:numFmt w:val="upperRoman"/>
      <w:lvlText w:val="%1."/>
      <w:lvlJc w:val="left"/>
      <w:pPr>
        <w:ind w:left="1080" w:hanging="720"/>
      </w:pPr>
      <w:rPr>
        <w:rFonts w:hint="default"/>
      </w:rPr>
    </w:lvl>
    <w:lvl w:ilvl="1" w:tplc="7564F086">
      <w:start w:val="1"/>
      <w:numFmt w:val="lowerLetter"/>
      <w:lvlText w:val="%2)"/>
      <w:lvlJc w:val="left"/>
      <w:pPr>
        <w:ind w:left="1440" w:hanging="360"/>
      </w:pPr>
      <w:rPr>
        <w:rFonts w:hint="eastAsia"/>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643B6D"/>
    <w:multiLevelType w:val="hybridMultilevel"/>
    <w:tmpl w:val="6C94FD10"/>
    <w:lvl w:ilvl="0" w:tplc="5D76E9D6">
      <w:start w:val="1"/>
      <w:numFmt w:val="lowerLetter"/>
      <w:lvlText w:val="%1)"/>
      <w:lvlJc w:val="left"/>
      <w:pPr>
        <w:ind w:left="720" w:hanging="360"/>
      </w:pPr>
      <w:rPr>
        <w:rFonts w:hint="eastAsia"/>
      </w:rPr>
    </w:lvl>
    <w:lvl w:ilvl="1" w:tplc="0BDC3AC2">
      <w:start w:val="1"/>
      <w:numFmt w:val="decimal"/>
      <w:lvlText w:val="%2)"/>
      <w:lvlJc w:val="left"/>
      <w:pPr>
        <w:ind w:left="1440" w:hanging="360"/>
      </w:pPr>
      <w:rPr>
        <w:rFonts w:hint="eastAsia"/>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BF63B4"/>
    <w:multiLevelType w:val="hybridMultilevel"/>
    <w:tmpl w:val="06E02650"/>
    <w:lvl w:ilvl="0" w:tplc="98685C58">
      <w:start w:val="1"/>
      <w:numFmt w:val="lowerLetter"/>
      <w:lvlText w:val="%1)"/>
      <w:lvlJc w:val="left"/>
      <w:pPr>
        <w:ind w:left="750" w:hanging="390"/>
      </w:pPr>
      <w:rPr>
        <w:rFonts w:hint="eastAsia"/>
      </w:rPr>
    </w:lvl>
    <w:lvl w:ilvl="1" w:tplc="210C21E6">
      <w:start w:val="1"/>
      <w:numFmt w:val="decimal"/>
      <w:lvlText w:val="%2)"/>
      <w:lvlJc w:val="left"/>
      <w:pPr>
        <w:ind w:left="1440" w:hanging="360"/>
      </w:pPr>
      <w:rPr>
        <w:rFonts w:hint="eastAsia"/>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B667FD"/>
    <w:multiLevelType w:val="hybridMultilevel"/>
    <w:tmpl w:val="43EE4F82"/>
    <w:lvl w:ilvl="0" w:tplc="FDE0050E">
      <w:start w:val="1"/>
      <w:numFmt w:val="lowerLetter"/>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492437"/>
    <w:multiLevelType w:val="hybridMultilevel"/>
    <w:tmpl w:val="58563AEC"/>
    <w:lvl w:ilvl="0" w:tplc="B8A65A8A">
      <w:start w:val="1"/>
      <w:numFmt w:val="lowerLetter"/>
      <w:lvlText w:val="%1)"/>
      <w:lvlJc w:val="left"/>
      <w:pPr>
        <w:ind w:left="720" w:hanging="360"/>
      </w:pPr>
      <w:rPr>
        <w:rFonts w:hint="eastAsia"/>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6002D0"/>
    <w:multiLevelType w:val="hybridMultilevel"/>
    <w:tmpl w:val="559CBA1C"/>
    <w:lvl w:ilvl="0" w:tplc="43F0C9D6">
      <w:numFmt w:val="bullet"/>
      <w:lvlText w:val="•"/>
      <w:lvlJc w:val="left"/>
      <w:pPr>
        <w:ind w:left="720" w:hanging="360"/>
      </w:pPr>
      <w:rPr>
        <w:rFonts w:ascii="SymbolMT" w:eastAsia="SymbolMT" w:hAnsi="SymbolMT" w:cs="SymbolMT"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1D46CEF"/>
    <w:multiLevelType w:val="hybridMultilevel"/>
    <w:tmpl w:val="E13080B2"/>
    <w:lvl w:ilvl="0" w:tplc="F098B51E">
      <w:start w:val="1"/>
      <w:numFmt w:val="lowerLetter"/>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4F52F7D"/>
    <w:multiLevelType w:val="hybridMultilevel"/>
    <w:tmpl w:val="2A44FC5A"/>
    <w:lvl w:ilvl="0" w:tplc="F098B51E">
      <w:start w:val="1"/>
      <w:numFmt w:val="lowerLetter"/>
      <w:lvlText w:val="%1)"/>
      <w:lvlJc w:val="left"/>
      <w:pPr>
        <w:ind w:left="780" w:hanging="360"/>
      </w:pPr>
      <w:rPr>
        <w:rFonts w:hint="eastAsia"/>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7EF13319"/>
    <w:multiLevelType w:val="hybridMultilevel"/>
    <w:tmpl w:val="F19C986C"/>
    <w:lvl w:ilvl="0" w:tplc="16CC0E86">
      <w:start w:val="1"/>
      <w:numFmt w:val="upperRoman"/>
      <w:lvlText w:val="%1."/>
      <w:lvlJc w:val="left"/>
      <w:pPr>
        <w:ind w:left="1080" w:hanging="720"/>
      </w:pPr>
      <w:rPr>
        <w:rFonts w:hint="eastAsia"/>
      </w:rPr>
    </w:lvl>
    <w:lvl w:ilvl="1" w:tplc="FCC481A0">
      <w:start w:val="1"/>
      <w:numFmt w:val="decimal"/>
      <w:lvlText w:val="%2)"/>
      <w:lvlJc w:val="left"/>
      <w:pPr>
        <w:ind w:left="1440" w:hanging="360"/>
      </w:pPr>
      <w:rPr>
        <w:rFonts w:hint="eastAsia"/>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
  </w:num>
  <w:num w:numId="5">
    <w:abstractNumId w:val="9"/>
  </w:num>
  <w:num w:numId="6">
    <w:abstractNumId w:val="14"/>
  </w:num>
  <w:num w:numId="7">
    <w:abstractNumId w:val="7"/>
  </w:num>
  <w:num w:numId="8">
    <w:abstractNumId w:val="11"/>
  </w:num>
  <w:num w:numId="9">
    <w:abstractNumId w:val="0"/>
  </w:num>
  <w:num w:numId="10">
    <w:abstractNumId w:val="3"/>
  </w:num>
  <w:num w:numId="11">
    <w:abstractNumId w:val="2"/>
  </w:num>
  <w:num w:numId="12">
    <w:abstractNumId w:val="5"/>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D5"/>
    <w:rsid w:val="000576F4"/>
    <w:rsid w:val="00147475"/>
    <w:rsid w:val="0017521F"/>
    <w:rsid w:val="001B6201"/>
    <w:rsid w:val="00222233"/>
    <w:rsid w:val="002940A2"/>
    <w:rsid w:val="002E5A15"/>
    <w:rsid w:val="00385668"/>
    <w:rsid w:val="003944C5"/>
    <w:rsid w:val="003A5CB6"/>
    <w:rsid w:val="00412CC8"/>
    <w:rsid w:val="0062250E"/>
    <w:rsid w:val="00652CB2"/>
    <w:rsid w:val="006B735E"/>
    <w:rsid w:val="00767336"/>
    <w:rsid w:val="007E1501"/>
    <w:rsid w:val="008F541A"/>
    <w:rsid w:val="00936ED2"/>
    <w:rsid w:val="0098338E"/>
    <w:rsid w:val="009D305C"/>
    <w:rsid w:val="00A8117B"/>
    <w:rsid w:val="00AF5986"/>
    <w:rsid w:val="00B7409B"/>
    <w:rsid w:val="00BD7BE1"/>
    <w:rsid w:val="00BE7798"/>
    <w:rsid w:val="00CB0556"/>
    <w:rsid w:val="00CF2A98"/>
    <w:rsid w:val="00DD0DFA"/>
    <w:rsid w:val="00E01459"/>
    <w:rsid w:val="00F05E49"/>
    <w:rsid w:val="00F26A30"/>
    <w:rsid w:val="00F456B0"/>
    <w:rsid w:val="00F50621"/>
    <w:rsid w:val="00F874D5"/>
    <w:rsid w:val="00FF2E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7E9D6-C780-4519-82E5-9366A0C5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7B"/>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A8117B"/>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A8117B"/>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A8117B"/>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A8117B"/>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A8117B"/>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A8117B"/>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A8117B"/>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A8117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A8117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17B"/>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A8117B"/>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A8117B"/>
    <w:rPr>
      <w:rFonts w:ascii="Cambria" w:eastAsia="Times New Roman" w:hAnsi="Cambria" w:cs="Cambria"/>
      <w:b/>
      <w:bCs/>
      <w:color w:val="4F81BD"/>
      <w:lang w:val="es-ES"/>
    </w:rPr>
  </w:style>
  <w:style w:type="character" w:customStyle="1" w:styleId="Ttulo4Car">
    <w:name w:val="Título 4 Car"/>
    <w:basedOn w:val="Fuentedeprrafopredeter"/>
    <w:link w:val="Ttulo4"/>
    <w:rsid w:val="00A8117B"/>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A8117B"/>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A8117B"/>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A8117B"/>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A8117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A8117B"/>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A8117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rsid w:val="00A8117B"/>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A8117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A8117B"/>
    <w:rPr>
      <w:rFonts w:ascii="Calibri" w:eastAsia="Calibri" w:hAnsi="Calibri" w:cs="Calibri"/>
      <w:lang w:val="es-ES"/>
    </w:rPr>
  </w:style>
  <w:style w:type="table" w:styleId="Tablaconcuadrcula">
    <w:name w:val="Table Grid"/>
    <w:basedOn w:val="Tablanormal"/>
    <w:rsid w:val="00A8117B"/>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A8117B"/>
    <w:pPr>
      <w:ind w:left="720"/>
    </w:pPr>
  </w:style>
  <w:style w:type="paragraph" w:styleId="Textoindependiente">
    <w:name w:val="Body Text"/>
    <w:aliases w:val="Car Car Car,Car Car Car Car"/>
    <w:basedOn w:val="Normal"/>
    <w:link w:val="TextoindependienteCar"/>
    <w:rsid w:val="00A8117B"/>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A8117B"/>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A8117B"/>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A8117B"/>
    <w:pPr>
      <w:spacing w:after="120"/>
      <w:ind w:left="283"/>
    </w:pPr>
  </w:style>
  <w:style w:type="character" w:customStyle="1" w:styleId="SangradetextonormalCar">
    <w:name w:val="Sangría de texto normal Car"/>
    <w:basedOn w:val="Fuentedeprrafopredeter"/>
    <w:link w:val="Sangradetextonormal"/>
    <w:rsid w:val="00A8117B"/>
    <w:rPr>
      <w:rFonts w:ascii="Calibri" w:eastAsia="Calibri" w:hAnsi="Calibri" w:cs="Calibri"/>
      <w:lang w:val="es-ES"/>
    </w:rPr>
  </w:style>
  <w:style w:type="paragraph" w:styleId="HTMLconformatoprevio">
    <w:name w:val="HTML Preformatted"/>
    <w:basedOn w:val="Normal"/>
    <w:link w:val="HTMLconformatoprevioCar"/>
    <w:uiPriority w:val="99"/>
    <w:rsid w:val="00A8117B"/>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8117B"/>
    <w:rPr>
      <w:rFonts w:ascii="Courier New" w:eastAsia="Calibri" w:hAnsi="Courier New" w:cs="Courier New"/>
      <w:sz w:val="20"/>
      <w:szCs w:val="20"/>
      <w:lang w:val="es-ES"/>
    </w:rPr>
  </w:style>
  <w:style w:type="paragraph" w:customStyle="1" w:styleId="Prrafodelista1">
    <w:name w:val="Párrafo de lista1"/>
    <w:basedOn w:val="Normal"/>
    <w:uiPriority w:val="99"/>
    <w:rsid w:val="00A8117B"/>
    <w:pPr>
      <w:ind w:left="720"/>
    </w:pPr>
    <w:rPr>
      <w:rFonts w:eastAsia="Times New Roman"/>
      <w:lang w:val="es-MX"/>
    </w:rPr>
  </w:style>
  <w:style w:type="paragraph" w:styleId="Saludo">
    <w:name w:val="Salutation"/>
    <w:basedOn w:val="Normal"/>
    <w:next w:val="Normal"/>
    <w:link w:val="SaludoCar"/>
    <w:uiPriority w:val="99"/>
    <w:rsid w:val="00A8117B"/>
    <w:rPr>
      <w:lang w:val="es-MX"/>
    </w:rPr>
  </w:style>
  <w:style w:type="character" w:customStyle="1" w:styleId="SaludoCar">
    <w:name w:val="Saludo Car"/>
    <w:basedOn w:val="Fuentedeprrafopredeter"/>
    <w:link w:val="Saludo"/>
    <w:uiPriority w:val="99"/>
    <w:rsid w:val="00A8117B"/>
    <w:rPr>
      <w:rFonts w:ascii="Calibri" w:eastAsia="Calibri" w:hAnsi="Calibri" w:cs="Calibri"/>
    </w:rPr>
  </w:style>
  <w:style w:type="character" w:styleId="nfasis">
    <w:name w:val="Emphasis"/>
    <w:basedOn w:val="Fuentedeprrafopredeter"/>
    <w:uiPriority w:val="99"/>
    <w:qFormat/>
    <w:rsid w:val="00A8117B"/>
    <w:rPr>
      <w:rFonts w:cs="Times New Roman"/>
      <w:i/>
      <w:iCs/>
    </w:rPr>
  </w:style>
  <w:style w:type="paragraph" w:customStyle="1" w:styleId="ecxmsonormal">
    <w:name w:val="ecxmsonormal"/>
    <w:basedOn w:val="Normal"/>
    <w:rsid w:val="00A8117B"/>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A8117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A8117B"/>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A8117B"/>
  </w:style>
  <w:style w:type="paragraph" w:styleId="Textodeglobo">
    <w:name w:val="Balloon Text"/>
    <w:basedOn w:val="Normal"/>
    <w:link w:val="TextodegloboCar"/>
    <w:uiPriority w:val="99"/>
    <w:semiHidden/>
    <w:unhideWhenUsed/>
    <w:rsid w:val="00A8117B"/>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A8117B"/>
    <w:rPr>
      <w:rFonts w:ascii="Tahoma" w:eastAsia="Calibri" w:hAnsi="Tahoma" w:cs="Tahoma"/>
      <w:sz w:val="16"/>
      <w:szCs w:val="16"/>
    </w:rPr>
  </w:style>
  <w:style w:type="table" w:customStyle="1" w:styleId="Tablaconcuadrcula1">
    <w:name w:val="Tabla con cuadrícula1"/>
    <w:basedOn w:val="Tablanormal"/>
    <w:next w:val="Tablaconcuadrcula"/>
    <w:uiPriority w:val="59"/>
    <w:rsid w:val="00A81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8117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A8117B"/>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A8117B"/>
    <w:rPr>
      <w:rFonts w:ascii="Calibri" w:eastAsia="Calibri" w:hAnsi="Calibri" w:cs="Times New Roman"/>
      <w:sz w:val="20"/>
      <w:szCs w:val="20"/>
    </w:rPr>
  </w:style>
  <w:style w:type="character" w:styleId="Refdenotaalpie">
    <w:name w:val="footnote reference"/>
    <w:basedOn w:val="Fuentedeprrafopredeter"/>
    <w:unhideWhenUsed/>
    <w:rsid w:val="00A8117B"/>
    <w:rPr>
      <w:vertAlign w:val="superscript"/>
    </w:rPr>
  </w:style>
  <w:style w:type="table" w:customStyle="1" w:styleId="Sombreadomedio2-nfasis31">
    <w:name w:val="Sombreado medio 2 - Énfasis 31"/>
    <w:basedOn w:val="Tablanormal"/>
    <w:next w:val="Sombreadomedio2-nfasis3"/>
    <w:uiPriority w:val="64"/>
    <w:rsid w:val="00A8117B"/>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A8117B"/>
    <w:rPr>
      <w:sz w:val="16"/>
      <w:szCs w:val="16"/>
    </w:rPr>
  </w:style>
  <w:style w:type="paragraph" w:styleId="Textocomentario">
    <w:name w:val="annotation text"/>
    <w:basedOn w:val="Normal"/>
    <w:link w:val="TextocomentarioCar"/>
    <w:uiPriority w:val="99"/>
    <w:unhideWhenUsed/>
    <w:rsid w:val="00A8117B"/>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A8117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A8117B"/>
    <w:rPr>
      <w:b/>
      <w:bCs/>
    </w:rPr>
  </w:style>
  <w:style w:type="character" w:customStyle="1" w:styleId="AsuntodelcomentarioCar">
    <w:name w:val="Asunto del comentario Car"/>
    <w:basedOn w:val="TextocomentarioCar"/>
    <w:link w:val="Asuntodelcomentario"/>
    <w:uiPriority w:val="99"/>
    <w:rsid w:val="00A8117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A81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A8117B"/>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A8117B"/>
  </w:style>
  <w:style w:type="paragraph" w:styleId="Sangranormal">
    <w:name w:val="Normal Indent"/>
    <w:basedOn w:val="Normal"/>
    <w:rsid w:val="00A8117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A8117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A8117B"/>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A8117B"/>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A8117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A8117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A8117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A8117B"/>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A8117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A8117B"/>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A8117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A8117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A8117B"/>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A8117B"/>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A8117B"/>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A8117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A8117B"/>
  </w:style>
  <w:style w:type="paragraph" w:customStyle="1" w:styleId="NormaARIAL">
    <w:name w:val="Norma+ARIAL"/>
    <w:basedOn w:val="Textoindependiente2"/>
    <w:rsid w:val="00A8117B"/>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A8117B"/>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A8117B"/>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A8117B"/>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A8117B"/>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A8117B"/>
    <w:rPr>
      <w:rFonts w:ascii="Arial" w:eastAsia="Times New Roman" w:hAnsi="Arial" w:cs="Arial"/>
      <w:sz w:val="28"/>
      <w:szCs w:val="24"/>
      <w:lang w:val="es-ES" w:eastAsia="es-ES"/>
    </w:rPr>
  </w:style>
  <w:style w:type="paragraph" w:customStyle="1" w:styleId="Contenidodelatabla">
    <w:name w:val="Contenido de la tabla"/>
    <w:basedOn w:val="Normal"/>
    <w:rsid w:val="00A8117B"/>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A8117B"/>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A8117B"/>
    <w:rPr>
      <w:color w:val="0000FF"/>
      <w:u w:val="single"/>
    </w:rPr>
  </w:style>
  <w:style w:type="paragraph" w:customStyle="1" w:styleId="NormalJUSTIFICADl">
    <w:name w:val="Normal + JUSTIFICADl"/>
    <w:basedOn w:val="Normal"/>
    <w:rsid w:val="00A8117B"/>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A8117B"/>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A8117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A8117B"/>
    <w:rPr>
      <w:rFonts w:ascii="Helvetica" w:eastAsia="Times New Roman" w:hAnsi="Helvetica"/>
      <w:lang w:val="es-ES_tradnl" w:eastAsia="es-ES"/>
    </w:rPr>
  </w:style>
  <w:style w:type="paragraph" w:customStyle="1" w:styleId="Fuentedeprrafopredeter1">
    <w:name w:val="Fuente de párrafo predeter.1"/>
    <w:next w:val="Normal"/>
    <w:rsid w:val="00A8117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A8117B"/>
    <w:rPr>
      <w:rFonts w:ascii="Helvetica" w:hAnsi="Helvetica"/>
      <w:sz w:val="28"/>
      <w:lang w:val="es-ES_tradnl" w:eastAsia="es-ES" w:bidi="ar-SA"/>
    </w:rPr>
  </w:style>
  <w:style w:type="paragraph" w:customStyle="1" w:styleId="Fuentedeprrafopredeter2">
    <w:name w:val="Fuente de párrafo predeter.2"/>
    <w:next w:val="Normal"/>
    <w:rsid w:val="00A8117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A8117B"/>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A8117B"/>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A8117B"/>
    <w:rPr>
      <w:rFonts w:ascii="Courier New" w:eastAsia="Times New Roman" w:hAnsi="Courier New" w:cs="Courier New"/>
      <w:sz w:val="20"/>
      <w:szCs w:val="20"/>
      <w:lang w:val="es-ES" w:eastAsia="es-ES"/>
    </w:rPr>
  </w:style>
  <w:style w:type="paragraph" w:styleId="Sinespaciado">
    <w:name w:val="No Spacing"/>
    <w:uiPriority w:val="1"/>
    <w:qFormat/>
    <w:rsid w:val="00A8117B"/>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A8117B"/>
  </w:style>
  <w:style w:type="table" w:customStyle="1" w:styleId="Tablaconcuadrcula4">
    <w:name w:val="Tabla con cuadrícula4"/>
    <w:basedOn w:val="Tablanormal"/>
    <w:next w:val="Tablaconcuadrcula"/>
    <w:uiPriority w:val="59"/>
    <w:rsid w:val="00A8117B"/>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A8117B"/>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A8117B"/>
  </w:style>
  <w:style w:type="table" w:customStyle="1" w:styleId="Tablaconcuadrcula5">
    <w:name w:val="Tabla con cuadrícula5"/>
    <w:basedOn w:val="Tablanormal"/>
    <w:next w:val="Tablaconcuadrcula"/>
    <w:uiPriority w:val="59"/>
    <w:rsid w:val="00A8117B"/>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8117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A8117B"/>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A8117B"/>
  </w:style>
  <w:style w:type="table" w:customStyle="1" w:styleId="Tablaconcuadrcula6">
    <w:name w:val="Tabla con cuadrícula6"/>
    <w:basedOn w:val="Tablanormal"/>
    <w:next w:val="Tablaconcuadrcula"/>
    <w:uiPriority w:val="59"/>
    <w:rsid w:val="00A8117B"/>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81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A8117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A8117B"/>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A8117B"/>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A8117B"/>
  </w:style>
  <w:style w:type="character" w:customStyle="1" w:styleId="apple-converted-space">
    <w:name w:val="apple-converted-space"/>
    <w:basedOn w:val="Fuentedeprrafopredeter"/>
    <w:rsid w:val="00A8117B"/>
  </w:style>
  <w:style w:type="character" w:customStyle="1" w:styleId="PrrafodelistaCar">
    <w:name w:val="Párrafo de lista Car"/>
    <w:basedOn w:val="Fuentedeprrafopredeter"/>
    <w:link w:val="Prrafodelista"/>
    <w:uiPriority w:val="34"/>
    <w:rsid w:val="00A8117B"/>
    <w:rPr>
      <w:rFonts w:ascii="Calibri" w:eastAsia="Calibri" w:hAnsi="Calibri" w:cs="Calibri"/>
      <w:lang w:val="es-ES"/>
    </w:rPr>
  </w:style>
  <w:style w:type="paragraph" w:customStyle="1" w:styleId="Informe">
    <w:name w:val="Informe"/>
    <w:basedOn w:val="Prrafodelista"/>
    <w:link w:val="InformeCar"/>
    <w:qFormat/>
    <w:rsid w:val="00A8117B"/>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A8117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A8117B"/>
    <w:pPr>
      <w:suppressAutoHyphens w:val="0"/>
      <w:spacing w:after="120"/>
    </w:pPr>
    <w:rPr>
      <w:rFonts w:ascii="Arial" w:hAnsi="Arial" w:cs="Arial"/>
      <w:sz w:val="24"/>
      <w:szCs w:val="24"/>
      <w:lang w:eastAsia="es-ES"/>
    </w:rPr>
  </w:style>
  <w:style w:type="character" w:customStyle="1" w:styleId="INFORMECar0">
    <w:name w:val="INFORME Car"/>
    <w:link w:val="INFORME0"/>
    <w:rsid w:val="00A8117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A8117B"/>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A8117B"/>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A8117B"/>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A8117B"/>
    <w:rPr>
      <w:rFonts w:ascii="Tahoma" w:eastAsia="MS Mincho" w:hAnsi="Tahoma" w:cs="Tahoma"/>
      <w:sz w:val="16"/>
      <w:szCs w:val="16"/>
      <w:lang w:val="es-ES" w:eastAsia="ja-JP"/>
    </w:rPr>
  </w:style>
  <w:style w:type="character" w:styleId="Textoennegrita">
    <w:name w:val="Strong"/>
    <w:qFormat/>
    <w:rsid w:val="00A8117B"/>
    <w:rPr>
      <w:b/>
      <w:bCs/>
    </w:rPr>
  </w:style>
  <w:style w:type="paragraph" w:customStyle="1" w:styleId="informe1">
    <w:name w:val="informe"/>
    <w:basedOn w:val="Prrafodelista"/>
    <w:link w:val="informeCar1"/>
    <w:qFormat/>
    <w:rsid w:val="00A8117B"/>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A8117B"/>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A8117B"/>
  </w:style>
  <w:style w:type="paragraph" w:customStyle="1" w:styleId="Body1">
    <w:name w:val="Body 1"/>
    <w:rsid w:val="00A8117B"/>
    <w:pPr>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Sinlista6">
    <w:name w:val="Sin lista6"/>
    <w:next w:val="Sinlista"/>
    <w:uiPriority w:val="99"/>
    <w:semiHidden/>
    <w:unhideWhenUsed/>
    <w:rsid w:val="00A8117B"/>
  </w:style>
  <w:style w:type="numbering" w:customStyle="1" w:styleId="Sinlista7">
    <w:name w:val="Sin lista7"/>
    <w:next w:val="Sinlista"/>
    <w:uiPriority w:val="99"/>
    <w:semiHidden/>
    <w:unhideWhenUsed/>
    <w:rsid w:val="00A8117B"/>
  </w:style>
  <w:style w:type="table" w:customStyle="1" w:styleId="Cuadrculavistosa-nfasis32">
    <w:name w:val="Cuadrícula vistosa - Énfasis 32"/>
    <w:basedOn w:val="Tablanormal"/>
    <w:next w:val="Cuadrculavistosa-nfasis3"/>
    <w:uiPriority w:val="73"/>
    <w:rsid w:val="00A8117B"/>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A8117B"/>
  </w:style>
  <w:style w:type="numbering" w:customStyle="1" w:styleId="Sinlista9">
    <w:name w:val="Sin lista9"/>
    <w:next w:val="Sinlista"/>
    <w:uiPriority w:val="99"/>
    <w:semiHidden/>
    <w:unhideWhenUsed/>
    <w:rsid w:val="00A8117B"/>
  </w:style>
  <w:style w:type="paragraph" w:styleId="TDC1">
    <w:name w:val="toc 1"/>
    <w:basedOn w:val="Normal"/>
    <w:next w:val="Normal"/>
    <w:autoRedefine/>
    <w:rsid w:val="00A8117B"/>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A8117B"/>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A8117B"/>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A8117B"/>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33</Pages>
  <Words>6704</Words>
  <Characters>36877</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22</cp:revision>
  <cp:lastPrinted>2017-03-07T00:26:00Z</cp:lastPrinted>
  <dcterms:created xsi:type="dcterms:W3CDTF">2016-12-02T00:20:00Z</dcterms:created>
  <dcterms:modified xsi:type="dcterms:W3CDTF">2017-03-07T00:27:00Z</dcterms:modified>
</cp:coreProperties>
</file>