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94" w:rsidRPr="00DB235A" w:rsidRDefault="00E42294" w:rsidP="00E42294">
      <w:pPr>
        <w:rPr>
          <w:rFonts w:ascii="Arial" w:hAnsi="Arial" w:cs="Arial"/>
          <w:b/>
          <w:bCs/>
        </w:rPr>
      </w:pPr>
      <w:r w:rsidRPr="00DB235A">
        <w:rPr>
          <w:rFonts w:ascii="Arial" w:hAnsi="Arial" w:cs="Arial"/>
          <w:b/>
          <w:bCs/>
        </w:rPr>
        <w:t>HONORABLE ASAMBLEA:</w:t>
      </w:r>
    </w:p>
    <w:p w:rsidR="00E42294" w:rsidRDefault="00E42294" w:rsidP="00E42294">
      <w:pPr>
        <w:spacing w:line="360" w:lineRule="auto"/>
        <w:ind w:firstLine="709"/>
        <w:jc w:val="both"/>
        <w:rPr>
          <w:rFonts w:ascii="Arial" w:hAnsi="Arial" w:cs="Arial"/>
          <w:sz w:val="24"/>
        </w:rPr>
      </w:pPr>
    </w:p>
    <w:p w:rsidR="00E42294" w:rsidRPr="000643C1" w:rsidRDefault="00E42294" w:rsidP="00E42294">
      <w:pPr>
        <w:spacing w:line="360" w:lineRule="auto"/>
        <w:ind w:firstLine="709"/>
        <w:jc w:val="both"/>
        <w:rPr>
          <w:rFonts w:ascii="Arial" w:hAnsi="Arial" w:cs="Arial"/>
          <w:b/>
          <w:bCs/>
          <w:sz w:val="24"/>
        </w:rPr>
      </w:pPr>
      <w:r w:rsidRPr="000643C1">
        <w:rPr>
          <w:rFonts w:ascii="Arial" w:hAnsi="Arial" w:cs="Arial"/>
          <w:sz w:val="24"/>
        </w:rPr>
        <w:t xml:space="preserve">A la </w:t>
      </w:r>
      <w:r w:rsidRPr="000643C1">
        <w:rPr>
          <w:rFonts w:ascii="Arial" w:hAnsi="Arial" w:cs="Arial"/>
          <w:b/>
          <w:bCs/>
          <w:sz w:val="24"/>
        </w:rPr>
        <w:t>Comisión de Hacienda del Estado</w:t>
      </w:r>
      <w:r>
        <w:rPr>
          <w:rFonts w:ascii="Arial" w:hAnsi="Arial" w:cs="Arial"/>
          <w:sz w:val="24"/>
        </w:rPr>
        <w:t xml:space="preserve"> le fue turnado</w:t>
      </w:r>
      <w:r w:rsidRPr="000643C1">
        <w:rPr>
          <w:rFonts w:ascii="Arial" w:hAnsi="Arial" w:cs="Arial"/>
          <w:sz w:val="24"/>
        </w:rPr>
        <w:t xml:space="preserve"> para su estudio y dictamen, en fecha </w:t>
      </w:r>
      <w:r>
        <w:rPr>
          <w:rFonts w:ascii="Arial" w:hAnsi="Arial" w:cs="Arial"/>
          <w:sz w:val="24"/>
        </w:rPr>
        <w:t>14 de noviembre del 2016</w:t>
      </w:r>
      <w:r w:rsidRPr="000643C1">
        <w:rPr>
          <w:rFonts w:ascii="Arial" w:hAnsi="Arial" w:cs="Arial"/>
          <w:sz w:val="24"/>
        </w:rPr>
        <w:t xml:space="preserve">, escrito que contiene el Informe de Resultados de la revisión practicada por la Auditoría Superior del Estado de Nuevo León, a la </w:t>
      </w:r>
      <w:r w:rsidRPr="000643C1">
        <w:rPr>
          <w:rFonts w:ascii="Arial" w:hAnsi="Arial" w:cs="Arial"/>
          <w:b/>
          <w:bCs/>
          <w:sz w:val="24"/>
        </w:rPr>
        <w:t>Cuenta Pública</w:t>
      </w:r>
      <w:r>
        <w:rPr>
          <w:rFonts w:ascii="Arial" w:hAnsi="Arial" w:cs="Arial"/>
          <w:sz w:val="24"/>
        </w:rPr>
        <w:t xml:space="preserve"> del </w:t>
      </w:r>
      <w:r>
        <w:rPr>
          <w:rFonts w:ascii="Arial" w:hAnsi="Arial" w:cs="Arial"/>
          <w:b/>
          <w:sz w:val="24"/>
        </w:rPr>
        <w:t>Fideicomiso para el Sistema Integral del Tránsito Metropolitano (SINTRAM)</w:t>
      </w:r>
      <w:r w:rsidRPr="000643C1">
        <w:rPr>
          <w:rFonts w:ascii="Arial" w:hAnsi="Arial" w:cs="Arial"/>
          <w:sz w:val="24"/>
        </w:rPr>
        <w:t xml:space="preserve">, correspondiente a su Ejercicio Fiscal </w:t>
      </w:r>
      <w:r w:rsidRPr="000643C1">
        <w:rPr>
          <w:rFonts w:ascii="Arial" w:hAnsi="Arial" w:cs="Arial"/>
          <w:b/>
          <w:bCs/>
          <w:sz w:val="24"/>
        </w:rPr>
        <w:t>201</w:t>
      </w:r>
      <w:r>
        <w:rPr>
          <w:rFonts w:ascii="Arial" w:hAnsi="Arial" w:cs="Arial"/>
          <w:b/>
          <w:bCs/>
          <w:sz w:val="24"/>
        </w:rPr>
        <w:t>5</w:t>
      </w:r>
      <w:r w:rsidRPr="000643C1">
        <w:rPr>
          <w:rFonts w:ascii="Arial" w:hAnsi="Arial" w:cs="Arial"/>
          <w:sz w:val="24"/>
        </w:rPr>
        <w:t xml:space="preserve">, bajo el expediente </w:t>
      </w:r>
      <w:r>
        <w:rPr>
          <w:rFonts w:ascii="Arial" w:hAnsi="Arial" w:cs="Arial"/>
          <w:b/>
          <w:sz w:val="24"/>
        </w:rPr>
        <w:t>10434</w:t>
      </w:r>
      <w:r w:rsidRPr="000643C1">
        <w:rPr>
          <w:rFonts w:ascii="Arial" w:hAnsi="Arial" w:cs="Arial"/>
          <w:b/>
          <w:bCs/>
          <w:sz w:val="24"/>
        </w:rPr>
        <w:t>/LXXI</w:t>
      </w:r>
      <w:r>
        <w:rPr>
          <w:rFonts w:ascii="Arial" w:hAnsi="Arial" w:cs="Arial"/>
          <w:b/>
          <w:bCs/>
          <w:sz w:val="24"/>
        </w:rPr>
        <w:t>V</w:t>
      </w:r>
      <w:r w:rsidRPr="000643C1">
        <w:rPr>
          <w:rFonts w:ascii="Arial" w:hAnsi="Arial" w:cs="Arial"/>
          <w:b/>
          <w:bCs/>
          <w:sz w:val="24"/>
        </w:rPr>
        <w:t>.</w:t>
      </w:r>
    </w:p>
    <w:p w:rsidR="00E42294" w:rsidRPr="000643C1" w:rsidRDefault="00E42294" w:rsidP="00E42294">
      <w:pPr>
        <w:pStyle w:val="ecxmsonormal"/>
        <w:shd w:val="clear" w:color="auto" w:fill="FFFFFF"/>
        <w:spacing w:line="360"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E42294" w:rsidRPr="0052324A" w:rsidRDefault="00E42294" w:rsidP="00E42294">
      <w:pPr>
        <w:jc w:val="both"/>
        <w:rPr>
          <w:rFonts w:ascii="Arial" w:hAnsi="Arial" w:cs="Arial"/>
          <w:b/>
          <w:bCs/>
          <w:sz w:val="24"/>
          <w:szCs w:val="24"/>
        </w:rPr>
      </w:pPr>
      <w:r w:rsidRPr="0052324A">
        <w:rPr>
          <w:rFonts w:ascii="Arial" w:hAnsi="Arial" w:cs="Arial"/>
          <w:b/>
          <w:bCs/>
          <w:sz w:val="24"/>
          <w:szCs w:val="24"/>
        </w:rPr>
        <w:t>ANTECEDENTES:</w:t>
      </w:r>
    </w:p>
    <w:p w:rsidR="00E42294" w:rsidRPr="0052324A" w:rsidRDefault="00E42294" w:rsidP="00E42294">
      <w:pPr>
        <w:pStyle w:val="Prrafodelista"/>
        <w:numPr>
          <w:ilvl w:val="0"/>
          <w:numId w:val="3"/>
        </w:numPr>
        <w:spacing w:after="0"/>
        <w:ind w:left="426" w:hanging="426"/>
        <w:contextualSpacing/>
        <w:rPr>
          <w:rFonts w:ascii="Arial" w:hAnsi="Arial" w:cs="Arial"/>
          <w:b/>
          <w:sz w:val="24"/>
          <w:szCs w:val="24"/>
        </w:rPr>
      </w:pPr>
      <w:r w:rsidRPr="0052324A">
        <w:rPr>
          <w:rFonts w:ascii="Arial" w:hAnsi="Arial" w:cs="Arial"/>
          <w:b/>
          <w:bCs/>
          <w:sz w:val="24"/>
          <w:szCs w:val="24"/>
        </w:rPr>
        <w:t>Presentación</w:t>
      </w:r>
    </w:p>
    <w:p w:rsidR="00E42294" w:rsidRPr="00B67BEE" w:rsidRDefault="00E42294" w:rsidP="00E42294">
      <w:pPr>
        <w:pStyle w:val="Prrafodelista"/>
        <w:spacing w:after="0"/>
        <w:ind w:left="426"/>
        <w:contextualSpacing/>
        <w:rPr>
          <w:rFonts w:ascii="Arial" w:hAnsi="Arial" w:cs="Arial"/>
          <w:b/>
          <w:sz w:val="24"/>
          <w:szCs w:val="24"/>
        </w:rPr>
      </w:pPr>
    </w:p>
    <w:p w:rsidR="00E42294" w:rsidRPr="000E309E" w:rsidRDefault="00E42294" w:rsidP="00E42294">
      <w:pPr>
        <w:spacing w:line="360" w:lineRule="auto"/>
        <w:ind w:firstLine="708"/>
        <w:jc w:val="both"/>
        <w:rPr>
          <w:rFonts w:ascii="Arial" w:hAnsi="Arial" w:cs="Arial"/>
          <w:sz w:val="24"/>
          <w:szCs w:val="24"/>
        </w:rPr>
      </w:pPr>
      <w:r w:rsidRPr="00092A2E">
        <w:rPr>
          <w:rFonts w:ascii="Arial" w:hAnsi="Arial" w:cs="Arial"/>
          <w:sz w:val="24"/>
          <w:szCs w:val="24"/>
        </w:rPr>
        <w:t xml:space="preserve">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w:t>
      </w:r>
      <w:r w:rsidRPr="00092A2E">
        <w:rPr>
          <w:rFonts w:ascii="Arial" w:hAnsi="Arial" w:cs="Arial"/>
          <w:sz w:val="24"/>
          <w:szCs w:val="24"/>
        </w:rPr>
        <w:lastRenderedPageBreak/>
        <w:t>y sus Organismos Descentralizados, así como las Instituciones Públicas de Educación que reciban recursos públicos</w:t>
      </w:r>
      <w:r w:rsidRPr="000E309E">
        <w:rPr>
          <w:rFonts w:ascii="Arial" w:hAnsi="Arial" w:cs="Arial"/>
          <w:sz w:val="24"/>
          <w:szCs w:val="24"/>
        </w:rPr>
        <w:t>.</w:t>
      </w:r>
    </w:p>
    <w:p w:rsidR="00E42294" w:rsidRPr="000E309E" w:rsidRDefault="00E42294" w:rsidP="00E42294">
      <w:pPr>
        <w:spacing w:line="360" w:lineRule="auto"/>
        <w:ind w:right="-233" w:firstLine="708"/>
        <w:jc w:val="both"/>
        <w:rPr>
          <w:rFonts w:ascii="Arial" w:hAnsi="Arial" w:cs="Arial"/>
          <w:sz w:val="24"/>
          <w:szCs w:val="24"/>
          <w:u w:val="single"/>
        </w:rPr>
      </w:pPr>
      <w:r w:rsidRPr="00092A2E">
        <w:rPr>
          <w:rFonts w:ascii="Arial" w:hAnsi="Arial" w:cs="Arial"/>
          <w:sz w:val="24"/>
          <w:szCs w:val="24"/>
        </w:rPr>
        <w:t>En el ejercicio de las referidas funciones, para la revisión de la C</w:t>
      </w:r>
      <w:r>
        <w:rPr>
          <w:rFonts w:ascii="Arial" w:hAnsi="Arial" w:cs="Arial"/>
          <w:sz w:val="24"/>
          <w:szCs w:val="24"/>
        </w:rPr>
        <w:t>uenta Pública del ejercicio 2015</w:t>
      </w:r>
      <w:r w:rsidRPr="00092A2E">
        <w:rPr>
          <w:rFonts w:ascii="Arial" w:hAnsi="Arial" w:cs="Arial"/>
          <w:sz w:val="24"/>
          <w:szCs w:val="24"/>
        </w:rPr>
        <w:t xml:space="preserve"> del Fideicomiso para el </w:t>
      </w:r>
      <w:r w:rsidRPr="0052324A">
        <w:rPr>
          <w:rFonts w:ascii="Arial" w:hAnsi="Arial" w:cs="Arial"/>
          <w:b/>
          <w:sz w:val="24"/>
          <w:szCs w:val="24"/>
        </w:rPr>
        <w:t>Sistema Integral del Tránsito Metropolitano</w:t>
      </w:r>
      <w:r>
        <w:rPr>
          <w:rFonts w:ascii="Arial" w:hAnsi="Arial" w:cs="Arial"/>
          <w:sz w:val="24"/>
          <w:szCs w:val="24"/>
        </w:rPr>
        <w:t xml:space="preserve"> recibida el 22 de abril del 2016</w:t>
      </w:r>
      <w:r w:rsidRPr="00092A2E">
        <w:rPr>
          <w:rFonts w:ascii="Arial" w:hAnsi="Arial" w:cs="Arial"/>
          <w:sz w:val="24"/>
          <w:szCs w:val="24"/>
        </w:rPr>
        <w:t>,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r w:rsidRPr="000E309E">
        <w:rPr>
          <w:rFonts w:ascii="Arial" w:hAnsi="Arial" w:cs="Arial"/>
          <w:sz w:val="24"/>
          <w:szCs w:val="24"/>
        </w:rPr>
        <w:t>.</w:t>
      </w:r>
    </w:p>
    <w:p w:rsidR="00E42294" w:rsidRPr="000E309E" w:rsidRDefault="00E42294" w:rsidP="00E42294">
      <w:pPr>
        <w:spacing w:line="360" w:lineRule="auto"/>
        <w:ind w:right="-233" w:firstLine="708"/>
        <w:jc w:val="both"/>
        <w:rPr>
          <w:rFonts w:ascii="Arial" w:hAnsi="Arial" w:cs="Arial"/>
          <w:sz w:val="24"/>
          <w:szCs w:val="24"/>
        </w:rPr>
      </w:pPr>
      <w:r w:rsidRPr="00092A2E">
        <w:rPr>
          <w:rFonts w:ascii="Arial" w:hAnsi="Arial" w:cs="Arial"/>
          <w:sz w:val="24"/>
          <w:szCs w:val="24"/>
        </w:rPr>
        <w:t>En tal sentido, y en cumplimiento de lo preceptuado en los artículos 137 segundo párrafo de la Constitución Política del Estado Libre y Soberano de Nuevo León, 20 fracción XXXI, 48 primer párrafo y 82 fracción XV de la Ley de Fiscalización Superior del Estado de Nuevo León, esta Auditoría Superior del Estado tiene a bien rendir el Informe del Resultado de la revisión practicada a la C</w:t>
      </w:r>
      <w:r>
        <w:rPr>
          <w:rFonts w:ascii="Arial" w:hAnsi="Arial" w:cs="Arial"/>
          <w:sz w:val="24"/>
          <w:szCs w:val="24"/>
        </w:rPr>
        <w:t>uenta Pública del ejercicio 2015</w:t>
      </w:r>
      <w:r w:rsidRPr="00092A2E">
        <w:rPr>
          <w:rFonts w:ascii="Arial" w:hAnsi="Arial" w:cs="Arial"/>
          <w:sz w:val="24"/>
          <w:szCs w:val="24"/>
        </w:rPr>
        <w:t xml:space="preserve"> del referido Ente Público, al H. Congreso del Estado</w:t>
      </w:r>
      <w:r w:rsidRPr="000E309E">
        <w:rPr>
          <w:rFonts w:ascii="Arial" w:hAnsi="Arial" w:cs="Arial"/>
          <w:sz w:val="24"/>
          <w:szCs w:val="24"/>
        </w:rPr>
        <w:t>.</w:t>
      </w:r>
    </w:p>
    <w:p w:rsidR="00E42294" w:rsidRPr="000E309E" w:rsidRDefault="00E42294" w:rsidP="00E42294">
      <w:pPr>
        <w:spacing w:line="360" w:lineRule="auto"/>
        <w:ind w:firstLine="708"/>
        <w:jc w:val="both"/>
        <w:rPr>
          <w:rFonts w:ascii="Arial" w:hAnsi="Arial" w:cs="Arial"/>
          <w:sz w:val="24"/>
          <w:szCs w:val="24"/>
        </w:rPr>
      </w:pPr>
      <w:r w:rsidRPr="00092A2E">
        <w:rPr>
          <w:rFonts w:ascii="Arial" w:hAnsi="Arial" w:cs="Arial"/>
          <w:sz w:val="24"/>
          <w:szCs w:val="24"/>
        </w:rPr>
        <w:t>El Dictamen que se presenta al inicio de este Informe del Resultado, refleja la evaluación practicada al manejo y aplicación de los recursos públicos y al cumplimiento de la Ley General de Contabilidad Gubernamental así como las normas contables emitidas por el Consejo Nacional de Armonización Contable (</w:t>
      </w:r>
      <w:proofErr w:type="spellStart"/>
      <w:r w:rsidRPr="00092A2E">
        <w:rPr>
          <w:rFonts w:ascii="Arial" w:hAnsi="Arial" w:cs="Arial"/>
          <w:sz w:val="24"/>
          <w:szCs w:val="24"/>
        </w:rPr>
        <w:t>Conac</w:t>
      </w:r>
      <w:proofErr w:type="spellEnd"/>
      <w:r w:rsidRPr="00092A2E">
        <w:rPr>
          <w:rFonts w:ascii="Arial" w:hAnsi="Arial" w:cs="Arial"/>
          <w:sz w:val="24"/>
          <w:szCs w:val="24"/>
        </w:rPr>
        <w:t>)</w:t>
      </w:r>
      <w:r w:rsidRPr="000E309E">
        <w:rPr>
          <w:rFonts w:ascii="Arial" w:hAnsi="Arial" w:cs="Arial"/>
          <w:sz w:val="24"/>
          <w:szCs w:val="24"/>
        </w:rPr>
        <w:t>.</w:t>
      </w:r>
    </w:p>
    <w:p w:rsidR="00E42294" w:rsidRPr="000E309E" w:rsidRDefault="00E42294" w:rsidP="00E42294">
      <w:pPr>
        <w:spacing w:line="360" w:lineRule="auto"/>
        <w:jc w:val="both"/>
        <w:rPr>
          <w:rFonts w:ascii="Arial" w:hAnsi="Arial" w:cs="Arial"/>
          <w:sz w:val="24"/>
          <w:szCs w:val="24"/>
        </w:rPr>
      </w:pPr>
    </w:p>
    <w:p w:rsidR="00E42294" w:rsidRPr="000E309E" w:rsidRDefault="00E42294" w:rsidP="00E42294">
      <w:pPr>
        <w:spacing w:line="360" w:lineRule="auto"/>
        <w:ind w:firstLine="708"/>
        <w:jc w:val="both"/>
        <w:rPr>
          <w:rFonts w:ascii="Arial" w:hAnsi="Arial" w:cs="Arial"/>
          <w:sz w:val="24"/>
          <w:szCs w:val="24"/>
        </w:rPr>
      </w:pPr>
      <w:r>
        <w:rPr>
          <w:rFonts w:ascii="Arial" w:hAnsi="Arial" w:cs="Arial"/>
          <w:sz w:val="24"/>
          <w:szCs w:val="24"/>
        </w:rPr>
        <w:lastRenderedPageBreak/>
        <w:t xml:space="preserve">En el apartado V </w:t>
      </w:r>
      <w:proofErr w:type="spellStart"/>
      <w:r>
        <w:rPr>
          <w:rFonts w:ascii="Arial" w:hAnsi="Arial" w:cs="Arial"/>
          <w:sz w:val="24"/>
          <w:szCs w:val="24"/>
        </w:rPr>
        <w:t>deL</w:t>
      </w:r>
      <w:proofErr w:type="spellEnd"/>
      <w:r w:rsidRPr="00092A2E">
        <w:rPr>
          <w:rFonts w:ascii="Arial" w:hAnsi="Arial" w:cs="Arial"/>
          <w:sz w:val="24"/>
          <w:szCs w:val="24"/>
        </w:rPr>
        <w:t xml:space="preserve"> Informe, se incluyen los objetivos y alcances de la revisión practicada tanto a la gestión como en su caso al desempeño, incluyendo los criterios de selección y descripción de los procedimientos de auditoría aplicados</w:t>
      </w:r>
      <w:r w:rsidRPr="000E309E">
        <w:rPr>
          <w:rFonts w:ascii="Arial" w:hAnsi="Arial" w:cs="Arial"/>
          <w:sz w:val="24"/>
          <w:szCs w:val="24"/>
        </w:rPr>
        <w:t>.</w:t>
      </w:r>
    </w:p>
    <w:p w:rsidR="00E42294" w:rsidRPr="000E309E" w:rsidRDefault="00E42294" w:rsidP="00E42294">
      <w:pPr>
        <w:spacing w:line="360" w:lineRule="auto"/>
        <w:ind w:firstLine="708"/>
        <w:jc w:val="both"/>
        <w:rPr>
          <w:rFonts w:ascii="Arial" w:hAnsi="Arial" w:cs="Arial"/>
          <w:sz w:val="24"/>
          <w:szCs w:val="24"/>
        </w:rPr>
      </w:pPr>
      <w:r>
        <w:rPr>
          <w:rFonts w:ascii="Arial" w:hAnsi="Arial" w:cs="Arial"/>
          <w:sz w:val="24"/>
          <w:szCs w:val="24"/>
        </w:rPr>
        <w:t>En el apartado VI</w:t>
      </w:r>
      <w:r w:rsidRPr="00092A2E">
        <w:rPr>
          <w:rFonts w:ascii="Arial" w:hAnsi="Arial" w:cs="Arial"/>
          <w:sz w:val="24"/>
          <w:szCs w:val="24"/>
        </w:rPr>
        <w:t xml:space="preserve"> se presenta una descripción de los elementos revisados y resultados obtenidos en la revisión, respecto de</w:t>
      </w:r>
      <w:r w:rsidRPr="000E309E">
        <w:rPr>
          <w:rFonts w:ascii="Arial" w:hAnsi="Arial" w:cs="Arial"/>
          <w:sz w:val="24"/>
          <w:szCs w:val="24"/>
        </w:rPr>
        <w:t>:</w:t>
      </w:r>
    </w:p>
    <w:p w:rsidR="00E42294" w:rsidRPr="003C7A5D" w:rsidRDefault="00E42294" w:rsidP="00E42294">
      <w:pPr>
        <w:numPr>
          <w:ilvl w:val="0"/>
          <w:numId w:val="2"/>
        </w:numPr>
        <w:spacing w:after="0" w:line="360" w:lineRule="auto"/>
        <w:ind w:left="357" w:hanging="357"/>
        <w:contextualSpacing/>
        <w:jc w:val="both"/>
        <w:rPr>
          <w:rFonts w:ascii="Arial" w:hAnsi="Arial" w:cs="Arial"/>
          <w:sz w:val="24"/>
          <w:szCs w:val="24"/>
        </w:rPr>
      </w:pPr>
      <w:r w:rsidRPr="003C7A5D">
        <w:rPr>
          <w:rFonts w:ascii="Arial" w:hAnsi="Arial" w:cs="Arial"/>
          <w:sz w:val="24"/>
          <w:szCs w:val="24"/>
        </w:rPr>
        <w:t>La evaluación de la gestión financiera y del gasto público;</w:t>
      </w:r>
    </w:p>
    <w:p w:rsidR="00E42294" w:rsidRPr="003C7A5D" w:rsidRDefault="00E42294" w:rsidP="00E42294">
      <w:pPr>
        <w:numPr>
          <w:ilvl w:val="0"/>
          <w:numId w:val="2"/>
        </w:numPr>
        <w:spacing w:after="0" w:line="360" w:lineRule="auto"/>
        <w:ind w:left="357" w:hanging="357"/>
        <w:contextualSpacing/>
        <w:jc w:val="both"/>
        <w:rPr>
          <w:rFonts w:ascii="Arial" w:hAnsi="Arial" w:cs="Arial"/>
          <w:sz w:val="24"/>
          <w:szCs w:val="24"/>
        </w:rPr>
      </w:pPr>
      <w:r w:rsidRPr="0063532E">
        <w:rPr>
          <w:rFonts w:ascii="Arial" w:hAnsi="Arial" w:cs="Arial"/>
          <w:sz w:val="24"/>
          <w:szCs w:val="24"/>
        </w:rPr>
        <w:t xml:space="preserve">Cumplimiento de las </w:t>
      </w:r>
      <w:r>
        <w:rPr>
          <w:rFonts w:ascii="Arial" w:hAnsi="Arial" w:cs="Arial"/>
          <w:sz w:val="24"/>
          <w:szCs w:val="24"/>
        </w:rPr>
        <w:t>Normas de Información F</w:t>
      </w:r>
      <w:r w:rsidRPr="0063532E">
        <w:rPr>
          <w:rFonts w:ascii="Arial" w:hAnsi="Arial" w:cs="Arial"/>
          <w:sz w:val="24"/>
          <w:szCs w:val="24"/>
        </w:rPr>
        <w:t>inanciera aplicables y de las disposiciones contenidas en los ordenamientos y normativa correspondientes</w:t>
      </w:r>
      <w:r w:rsidRPr="003C7A5D">
        <w:rPr>
          <w:rFonts w:ascii="Arial" w:hAnsi="Arial" w:cs="Arial"/>
          <w:sz w:val="24"/>
          <w:szCs w:val="24"/>
        </w:rPr>
        <w:t>;</w:t>
      </w:r>
    </w:p>
    <w:p w:rsidR="00E42294" w:rsidRPr="003C7A5D" w:rsidRDefault="00E42294" w:rsidP="00E42294">
      <w:pPr>
        <w:numPr>
          <w:ilvl w:val="0"/>
          <w:numId w:val="2"/>
        </w:numPr>
        <w:spacing w:after="0" w:line="360" w:lineRule="auto"/>
        <w:ind w:left="357" w:hanging="357"/>
        <w:contextualSpacing/>
        <w:jc w:val="both"/>
        <w:rPr>
          <w:rFonts w:ascii="Arial" w:hAnsi="Arial" w:cs="Arial"/>
          <w:sz w:val="24"/>
          <w:szCs w:val="24"/>
        </w:rPr>
      </w:pPr>
      <w:r w:rsidRPr="003C7A5D">
        <w:rPr>
          <w:rFonts w:ascii="Arial" w:hAnsi="Arial" w:cs="Arial"/>
          <w:sz w:val="24"/>
          <w:szCs w:val="24"/>
        </w:rPr>
        <w:t>La evaluación del avance o cumplimiento de los programas y subprogramas aprobados.</w:t>
      </w:r>
    </w:p>
    <w:p w:rsidR="00E42294" w:rsidRDefault="00E42294" w:rsidP="00E42294">
      <w:pPr>
        <w:spacing w:line="360" w:lineRule="auto"/>
        <w:ind w:firstLine="708"/>
        <w:jc w:val="both"/>
        <w:rPr>
          <w:rFonts w:ascii="Arial" w:hAnsi="Arial" w:cs="Arial"/>
          <w:sz w:val="24"/>
          <w:szCs w:val="24"/>
        </w:rPr>
      </w:pPr>
    </w:p>
    <w:p w:rsidR="00E42294" w:rsidRPr="00C21F26" w:rsidRDefault="00E42294" w:rsidP="00E42294">
      <w:pPr>
        <w:spacing w:line="360" w:lineRule="auto"/>
        <w:jc w:val="both"/>
        <w:rPr>
          <w:rFonts w:ascii="Arial" w:hAnsi="Arial" w:cs="Arial"/>
          <w:sz w:val="24"/>
          <w:szCs w:val="24"/>
        </w:rPr>
      </w:pPr>
      <w:r>
        <w:rPr>
          <w:rFonts w:ascii="Arial" w:hAnsi="Arial" w:cs="Arial"/>
          <w:sz w:val="24"/>
          <w:szCs w:val="24"/>
        </w:rPr>
        <w:tab/>
      </w:r>
      <w:r w:rsidRPr="00092A2E">
        <w:rPr>
          <w:rFonts w:ascii="Arial" w:hAnsi="Arial" w:cs="Arial"/>
          <w:sz w:val="24"/>
          <w:szCs w:val="24"/>
        </w:rPr>
        <w:t>En el apartado V</w:t>
      </w:r>
      <w:r>
        <w:rPr>
          <w:rFonts w:ascii="Arial" w:hAnsi="Arial" w:cs="Arial"/>
          <w:sz w:val="24"/>
          <w:szCs w:val="24"/>
        </w:rPr>
        <w:t>II</w:t>
      </w:r>
      <w:r w:rsidRPr="00092A2E">
        <w:rPr>
          <w:rFonts w:ascii="Arial" w:hAnsi="Arial" w:cs="Arial"/>
          <w:sz w:val="24"/>
          <w:szCs w:val="24"/>
        </w:rPr>
        <w:t xml:space="preserve"> d</w:t>
      </w:r>
      <w:r>
        <w:rPr>
          <w:rFonts w:ascii="Arial" w:hAnsi="Arial" w:cs="Arial"/>
          <w:sz w:val="24"/>
          <w:szCs w:val="24"/>
        </w:rPr>
        <w:t>el</w:t>
      </w:r>
      <w:r w:rsidRPr="00092A2E">
        <w:rPr>
          <w:rFonts w:ascii="Arial" w:hAnsi="Arial" w:cs="Arial"/>
          <w:sz w:val="24"/>
          <w:szCs w:val="24"/>
        </w:rPr>
        <w:t xml:space="preserve">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r w:rsidRPr="00C21F26">
        <w:rPr>
          <w:rFonts w:ascii="Arial" w:hAnsi="Arial" w:cs="Arial"/>
          <w:sz w:val="24"/>
          <w:szCs w:val="24"/>
        </w:rPr>
        <w:t>.</w:t>
      </w:r>
      <w:r>
        <w:rPr>
          <w:rFonts w:ascii="Arial" w:hAnsi="Arial" w:cs="Arial"/>
          <w:sz w:val="24"/>
          <w:szCs w:val="24"/>
        </w:rPr>
        <w:t xml:space="preserve"> </w:t>
      </w:r>
      <w:r w:rsidRPr="00092A2E">
        <w:rPr>
          <w:rFonts w:ascii="Arial" w:hAnsi="Arial" w:cs="Arial"/>
          <w:sz w:val="24"/>
          <w:szCs w:val="24"/>
        </w:rPr>
        <w:t>Finalmente, se informa sobre la situación que guardan las observaciones, recomendaciones y acciones promovidas por esta Auditoría Superior del Estado en la fiscalización de las Cuentas Públicas de ejercicios anteriores</w:t>
      </w:r>
      <w:r>
        <w:rPr>
          <w:rFonts w:ascii="Arial" w:hAnsi="Arial" w:cs="Arial"/>
          <w:sz w:val="24"/>
          <w:szCs w:val="24"/>
        </w:rPr>
        <w:t>.</w:t>
      </w:r>
    </w:p>
    <w:p w:rsidR="00E42294" w:rsidRDefault="00E42294" w:rsidP="00E42294">
      <w:pPr>
        <w:pStyle w:val="Piedepgina"/>
        <w:numPr>
          <w:ilvl w:val="0"/>
          <w:numId w:val="7"/>
        </w:numPr>
        <w:tabs>
          <w:tab w:val="clear" w:pos="4252"/>
          <w:tab w:val="clear" w:pos="8504"/>
        </w:tabs>
        <w:spacing w:line="360" w:lineRule="auto"/>
        <w:jc w:val="both"/>
        <w:rPr>
          <w:rFonts w:ascii="Arial" w:hAnsi="Arial" w:cs="Arial"/>
          <w:b/>
          <w:sz w:val="24"/>
          <w:szCs w:val="24"/>
          <w:lang w:val="es-MX"/>
        </w:rPr>
      </w:pPr>
      <w:r w:rsidRPr="003C7A5D">
        <w:rPr>
          <w:rFonts w:ascii="Arial" w:hAnsi="Arial" w:cs="Arial"/>
          <w:b/>
          <w:sz w:val="24"/>
          <w:szCs w:val="24"/>
          <w:lang w:val="es-MX"/>
        </w:rPr>
        <w:lastRenderedPageBreak/>
        <w:t>Entidad objeto de la revisión</w:t>
      </w:r>
    </w:p>
    <w:p w:rsidR="00E42294" w:rsidRDefault="00E42294" w:rsidP="00E42294">
      <w:pPr>
        <w:spacing w:line="360" w:lineRule="auto"/>
        <w:ind w:firstLine="708"/>
        <w:jc w:val="both"/>
        <w:rPr>
          <w:rFonts w:ascii="Arial" w:hAnsi="Arial" w:cs="Arial"/>
          <w:sz w:val="24"/>
          <w:szCs w:val="24"/>
        </w:rPr>
      </w:pPr>
    </w:p>
    <w:p w:rsidR="00E42294" w:rsidRPr="004A47CA" w:rsidRDefault="00E42294" w:rsidP="00E42294">
      <w:pPr>
        <w:spacing w:line="360" w:lineRule="auto"/>
        <w:ind w:firstLine="708"/>
        <w:jc w:val="both"/>
        <w:rPr>
          <w:rFonts w:ascii="Arial" w:hAnsi="Arial" w:cs="Arial"/>
          <w:bCs/>
          <w:sz w:val="24"/>
          <w:szCs w:val="24"/>
        </w:rPr>
      </w:pPr>
      <w:r w:rsidRPr="00092A2E">
        <w:rPr>
          <w:rFonts w:ascii="Arial" w:hAnsi="Arial" w:cs="Arial"/>
          <w:sz w:val="24"/>
          <w:szCs w:val="24"/>
        </w:rPr>
        <w:t xml:space="preserve">El Fideicomiso para el </w:t>
      </w:r>
      <w:r w:rsidRPr="00B466A1">
        <w:rPr>
          <w:rFonts w:ascii="Arial" w:hAnsi="Arial" w:cs="Arial"/>
          <w:b/>
          <w:sz w:val="24"/>
          <w:szCs w:val="24"/>
        </w:rPr>
        <w:t>Sistema Integral del Tránsito Metropolitano</w:t>
      </w:r>
      <w:r w:rsidRPr="00092A2E">
        <w:rPr>
          <w:rFonts w:ascii="Arial" w:hAnsi="Arial" w:cs="Arial"/>
          <w:sz w:val="24"/>
          <w:szCs w:val="24"/>
        </w:rPr>
        <w:t xml:space="preserve"> se creó mediante contrato de Fideicomiso el 15 de abril de 1999, registrado en la Fiduciaria Bancomer, S.A. bajo el número F/30872-6 hasta el 8 de octubre de 1999, fecha en que transfirió sus derechos mediante Convenio de Sustitución de Fiduciario siendo transferidos los fondos a la Fiduciaria substituta Banco Nacional de Obras y Servicios Públicos, S.N.C. quedando registrado en esta Institución bajo el número 2012</w:t>
      </w:r>
      <w:r w:rsidRPr="004A47CA">
        <w:rPr>
          <w:rFonts w:ascii="Arial" w:hAnsi="Arial" w:cs="Arial"/>
          <w:bCs/>
          <w:sz w:val="24"/>
          <w:szCs w:val="24"/>
        </w:rPr>
        <w:t>.</w:t>
      </w:r>
    </w:p>
    <w:p w:rsidR="00E42294" w:rsidRDefault="00E42294" w:rsidP="00E42294">
      <w:pPr>
        <w:pStyle w:val="Piedepgina"/>
        <w:tabs>
          <w:tab w:val="clear" w:pos="4252"/>
          <w:tab w:val="clear" w:pos="8504"/>
        </w:tabs>
        <w:spacing w:line="360" w:lineRule="auto"/>
        <w:ind w:firstLine="708"/>
        <w:jc w:val="both"/>
        <w:rPr>
          <w:rFonts w:ascii="Arial" w:hAnsi="Arial" w:cs="Arial"/>
          <w:sz w:val="24"/>
          <w:szCs w:val="24"/>
        </w:rPr>
      </w:pPr>
      <w:r w:rsidRPr="00092A2E">
        <w:rPr>
          <w:rFonts w:ascii="Arial" w:hAnsi="Arial" w:cs="Arial"/>
          <w:sz w:val="24"/>
          <w:szCs w:val="24"/>
        </w:rPr>
        <w:t>Las partes que intervienen en la formalización del presente Fideicomiso son: el Estado de Nuevo León, así como los municipios de Monterrey, San Nicolás de los Garza, Guadalupe, San Pedro Garza García, Santa Catarina, Apodaca y General Escobedo</w:t>
      </w:r>
      <w:r>
        <w:rPr>
          <w:rFonts w:ascii="Arial" w:hAnsi="Arial" w:cs="Arial"/>
          <w:sz w:val="24"/>
          <w:szCs w:val="24"/>
        </w:rPr>
        <w:t>.</w:t>
      </w:r>
    </w:p>
    <w:p w:rsidR="00E42294" w:rsidRDefault="00E42294" w:rsidP="00E42294">
      <w:pPr>
        <w:pStyle w:val="Piedepgina"/>
        <w:tabs>
          <w:tab w:val="clear" w:pos="4252"/>
          <w:tab w:val="clear" w:pos="8504"/>
        </w:tabs>
        <w:spacing w:line="360" w:lineRule="auto"/>
        <w:ind w:firstLine="708"/>
        <w:jc w:val="both"/>
        <w:rPr>
          <w:rFonts w:ascii="Arial" w:hAnsi="Arial" w:cs="Arial"/>
          <w:sz w:val="24"/>
          <w:szCs w:val="24"/>
        </w:rPr>
      </w:pPr>
    </w:p>
    <w:p w:rsidR="00E42294" w:rsidRDefault="00E42294" w:rsidP="00E42294">
      <w:pPr>
        <w:pStyle w:val="Piedepgina"/>
        <w:tabs>
          <w:tab w:val="clear" w:pos="4252"/>
          <w:tab w:val="clear" w:pos="8504"/>
        </w:tabs>
        <w:spacing w:line="360" w:lineRule="auto"/>
        <w:ind w:firstLine="708"/>
        <w:jc w:val="both"/>
        <w:rPr>
          <w:rFonts w:ascii="Arial" w:hAnsi="Arial" w:cs="Arial"/>
          <w:sz w:val="24"/>
          <w:szCs w:val="24"/>
        </w:rPr>
      </w:pPr>
      <w:r w:rsidRPr="00092A2E">
        <w:rPr>
          <w:rFonts w:ascii="Arial" w:hAnsi="Arial" w:cs="Arial"/>
          <w:sz w:val="24"/>
          <w:szCs w:val="24"/>
        </w:rPr>
        <w:t xml:space="preserve">El objetivo del Fideicomiso es optimizar la fluidez del tránsito en la zona metropolitana de Monterrey, mediante el establecimiento de un centro de control que coordine el tiempo real, en las diversas intersecciones </w:t>
      </w:r>
      <w:proofErr w:type="spellStart"/>
      <w:r w:rsidRPr="00092A2E">
        <w:rPr>
          <w:rFonts w:ascii="Arial" w:hAnsi="Arial" w:cs="Arial"/>
          <w:sz w:val="24"/>
          <w:szCs w:val="24"/>
        </w:rPr>
        <w:t>semaforizadas</w:t>
      </w:r>
      <w:proofErr w:type="spellEnd"/>
      <w:r w:rsidRPr="00092A2E">
        <w:rPr>
          <w:rFonts w:ascii="Arial" w:hAnsi="Arial" w:cs="Arial"/>
          <w:sz w:val="24"/>
          <w:szCs w:val="24"/>
        </w:rPr>
        <w:t>, con el propósito de reducir costos en combustibles, horas hombre en tránsito e inversiones en obra vial</w:t>
      </w:r>
      <w:r>
        <w:rPr>
          <w:rFonts w:ascii="Arial" w:hAnsi="Arial" w:cs="Arial"/>
          <w:sz w:val="24"/>
          <w:szCs w:val="24"/>
        </w:rPr>
        <w:t>.</w:t>
      </w:r>
    </w:p>
    <w:p w:rsidR="00E42294" w:rsidRDefault="00E42294" w:rsidP="00E42294">
      <w:pPr>
        <w:pStyle w:val="Piedepgina"/>
        <w:tabs>
          <w:tab w:val="clear" w:pos="4252"/>
          <w:tab w:val="clear" w:pos="8504"/>
        </w:tabs>
        <w:spacing w:line="360" w:lineRule="auto"/>
        <w:ind w:firstLine="708"/>
        <w:jc w:val="both"/>
        <w:rPr>
          <w:rFonts w:ascii="Arial" w:hAnsi="Arial" w:cs="Arial"/>
          <w:sz w:val="24"/>
          <w:szCs w:val="24"/>
        </w:rPr>
      </w:pPr>
    </w:p>
    <w:p w:rsidR="00E42294" w:rsidRDefault="00E42294" w:rsidP="00E42294">
      <w:pPr>
        <w:pStyle w:val="Piedepgina"/>
        <w:tabs>
          <w:tab w:val="clear" w:pos="4252"/>
          <w:tab w:val="clear" w:pos="8504"/>
        </w:tabs>
        <w:spacing w:line="360" w:lineRule="auto"/>
        <w:ind w:firstLine="708"/>
        <w:jc w:val="both"/>
        <w:rPr>
          <w:rFonts w:ascii="Arial" w:hAnsi="Arial" w:cs="Arial"/>
          <w:sz w:val="24"/>
          <w:szCs w:val="24"/>
        </w:rPr>
      </w:pPr>
      <w:r w:rsidRPr="00092A2E">
        <w:rPr>
          <w:rFonts w:ascii="Arial" w:hAnsi="Arial" w:cs="Arial"/>
          <w:sz w:val="24"/>
          <w:szCs w:val="24"/>
        </w:rPr>
        <w:t>Cabe mencionar que: “El 02 de mayo de 2011 finalizó el Contrato de Operación y Mantenimiento del Sistema (</w:t>
      </w:r>
      <w:proofErr w:type="spellStart"/>
      <w:r w:rsidRPr="00092A2E">
        <w:rPr>
          <w:rFonts w:ascii="Arial" w:hAnsi="Arial" w:cs="Arial"/>
          <w:sz w:val="24"/>
          <w:szCs w:val="24"/>
        </w:rPr>
        <w:t>Sintram</w:t>
      </w:r>
      <w:proofErr w:type="spellEnd"/>
      <w:r w:rsidRPr="00092A2E">
        <w:rPr>
          <w:rFonts w:ascii="Arial" w:hAnsi="Arial" w:cs="Arial"/>
          <w:sz w:val="24"/>
          <w:szCs w:val="24"/>
        </w:rPr>
        <w:t xml:space="preserve">) que el Fideicomiso tiene con la empresa Consorcio </w:t>
      </w:r>
      <w:proofErr w:type="spellStart"/>
      <w:r w:rsidRPr="00092A2E">
        <w:rPr>
          <w:rFonts w:ascii="Arial" w:hAnsi="Arial" w:cs="Arial"/>
          <w:sz w:val="24"/>
          <w:szCs w:val="24"/>
        </w:rPr>
        <w:t>Semex</w:t>
      </w:r>
      <w:proofErr w:type="spellEnd"/>
      <w:r w:rsidRPr="00092A2E">
        <w:rPr>
          <w:rFonts w:ascii="Arial" w:hAnsi="Arial" w:cs="Arial"/>
          <w:sz w:val="24"/>
          <w:szCs w:val="24"/>
        </w:rPr>
        <w:t xml:space="preserve"> </w:t>
      </w:r>
      <w:proofErr w:type="spellStart"/>
      <w:r w:rsidRPr="00092A2E">
        <w:rPr>
          <w:rFonts w:ascii="Arial" w:hAnsi="Arial" w:cs="Arial"/>
          <w:sz w:val="24"/>
          <w:szCs w:val="24"/>
        </w:rPr>
        <w:t>Gertrude</w:t>
      </w:r>
      <w:proofErr w:type="spellEnd"/>
      <w:r w:rsidRPr="00092A2E">
        <w:rPr>
          <w:rFonts w:ascii="Arial" w:hAnsi="Arial" w:cs="Arial"/>
          <w:sz w:val="24"/>
          <w:szCs w:val="24"/>
        </w:rPr>
        <w:t xml:space="preserve">, S. A. de C. V. por lo anterior, el Comité Técnico aprobó el nuevo esquema de operación y mantenimiento del sistema, </w:t>
      </w:r>
      <w:r w:rsidRPr="00092A2E">
        <w:rPr>
          <w:rFonts w:ascii="Arial" w:hAnsi="Arial" w:cs="Arial"/>
          <w:sz w:val="24"/>
          <w:szCs w:val="24"/>
        </w:rPr>
        <w:lastRenderedPageBreak/>
        <w:t>el cual consiste en que el personal de operación que laboraba  para la empresa mencionada pasa a ser personal de este Fideicomiso</w:t>
      </w:r>
      <w:r>
        <w:rPr>
          <w:rFonts w:ascii="Arial" w:hAnsi="Arial" w:cs="Arial"/>
          <w:sz w:val="24"/>
          <w:szCs w:val="24"/>
        </w:rPr>
        <w:t>.</w:t>
      </w:r>
    </w:p>
    <w:p w:rsidR="004E3A41" w:rsidRDefault="004E3A41" w:rsidP="00E42294">
      <w:pPr>
        <w:pStyle w:val="Piedepgina"/>
        <w:tabs>
          <w:tab w:val="clear" w:pos="4252"/>
          <w:tab w:val="clear" w:pos="8504"/>
        </w:tabs>
        <w:spacing w:line="360" w:lineRule="auto"/>
        <w:ind w:firstLine="708"/>
        <w:jc w:val="both"/>
        <w:rPr>
          <w:rFonts w:ascii="Arial" w:hAnsi="Arial" w:cs="Arial"/>
          <w:sz w:val="24"/>
          <w:szCs w:val="24"/>
        </w:rPr>
      </w:pPr>
    </w:p>
    <w:p w:rsidR="00E42294" w:rsidRDefault="00E42294" w:rsidP="00E42294">
      <w:pPr>
        <w:pStyle w:val="Piedepgina"/>
        <w:tabs>
          <w:tab w:val="clear" w:pos="4252"/>
          <w:tab w:val="clear" w:pos="8504"/>
        </w:tabs>
        <w:spacing w:line="360" w:lineRule="auto"/>
        <w:ind w:firstLine="708"/>
        <w:jc w:val="both"/>
        <w:rPr>
          <w:rFonts w:ascii="Arial" w:hAnsi="Arial" w:cs="Arial"/>
          <w:b/>
          <w:sz w:val="24"/>
          <w:szCs w:val="24"/>
          <w:lang w:val="es-MX"/>
        </w:rPr>
      </w:pPr>
      <w:r w:rsidRPr="00092A2E">
        <w:rPr>
          <w:rFonts w:ascii="Arial" w:hAnsi="Arial" w:cs="Arial"/>
          <w:sz w:val="24"/>
          <w:szCs w:val="24"/>
        </w:rPr>
        <w:t>Las actividades a realizar con el nuevo esquema de operación y mantenimiento responsabilidad de los siete municipios que son Monterrey, San Pedro Garza García, San Nicolás de los Garza, Guadalupe, Santa Catarina, General Escobedo y Apodaca, será el mantenimiento preventivo y correctivo de los equipos de semaforización de los cruces centralizados que están ubicados dentro de su jurisdicción</w:t>
      </w:r>
      <w:r>
        <w:rPr>
          <w:rFonts w:ascii="Arial" w:hAnsi="Arial" w:cs="Arial"/>
          <w:sz w:val="24"/>
          <w:szCs w:val="24"/>
        </w:rPr>
        <w:t>.</w:t>
      </w:r>
    </w:p>
    <w:p w:rsidR="004E3A41" w:rsidRDefault="004E3A41" w:rsidP="00E42294">
      <w:pPr>
        <w:pStyle w:val="Piedepgina"/>
        <w:tabs>
          <w:tab w:val="clear" w:pos="4252"/>
          <w:tab w:val="clear" w:pos="8504"/>
        </w:tabs>
        <w:spacing w:line="360" w:lineRule="auto"/>
        <w:ind w:firstLine="708"/>
        <w:jc w:val="both"/>
        <w:rPr>
          <w:rFonts w:ascii="Arial" w:hAnsi="Arial" w:cs="Arial"/>
          <w:sz w:val="24"/>
          <w:szCs w:val="24"/>
        </w:rPr>
      </w:pPr>
    </w:p>
    <w:p w:rsidR="00E42294" w:rsidRDefault="00E42294" w:rsidP="00E42294">
      <w:pPr>
        <w:pStyle w:val="Piedepgina"/>
        <w:tabs>
          <w:tab w:val="clear" w:pos="4252"/>
          <w:tab w:val="clear" w:pos="8504"/>
        </w:tabs>
        <w:spacing w:line="360" w:lineRule="auto"/>
        <w:ind w:firstLine="708"/>
        <w:jc w:val="both"/>
        <w:rPr>
          <w:rFonts w:ascii="Arial" w:hAnsi="Arial" w:cs="Arial"/>
          <w:sz w:val="24"/>
          <w:szCs w:val="24"/>
        </w:rPr>
      </w:pPr>
      <w:r w:rsidRPr="00092A2E">
        <w:rPr>
          <w:rFonts w:ascii="Arial" w:hAnsi="Arial" w:cs="Arial"/>
          <w:sz w:val="24"/>
          <w:szCs w:val="24"/>
        </w:rPr>
        <w:t>Por otra parte, el mantenimiento preventivo y correctivo de la red de comunicación será responsabilidad del Fideicomiso para el Sistema Integral del Tránsito Metropolitano.</w:t>
      </w:r>
    </w:p>
    <w:p w:rsidR="004E3A41" w:rsidRDefault="004E3A41" w:rsidP="00E42294">
      <w:pPr>
        <w:pStyle w:val="Piedepgina"/>
        <w:tabs>
          <w:tab w:val="clear" w:pos="4252"/>
          <w:tab w:val="clear" w:pos="8504"/>
        </w:tabs>
        <w:spacing w:line="360" w:lineRule="auto"/>
        <w:ind w:firstLine="708"/>
        <w:jc w:val="both"/>
        <w:rPr>
          <w:rFonts w:ascii="Arial" w:hAnsi="Arial" w:cs="Arial"/>
          <w:sz w:val="24"/>
          <w:szCs w:val="24"/>
        </w:rPr>
      </w:pPr>
    </w:p>
    <w:p w:rsidR="00E42294" w:rsidRDefault="00E42294" w:rsidP="00E42294">
      <w:pPr>
        <w:pStyle w:val="Piedepgina"/>
        <w:tabs>
          <w:tab w:val="clear" w:pos="4252"/>
          <w:tab w:val="clear" w:pos="8504"/>
        </w:tabs>
        <w:spacing w:line="360" w:lineRule="auto"/>
        <w:ind w:firstLine="708"/>
        <w:jc w:val="both"/>
        <w:rPr>
          <w:rFonts w:ascii="Arial" w:hAnsi="Arial" w:cs="Arial"/>
          <w:b/>
          <w:sz w:val="24"/>
          <w:szCs w:val="24"/>
          <w:lang w:val="es-MX"/>
        </w:rPr>
      </w:pPr>
      <w:r w:rsidRPr="00092A2E">
        <w:rPr>
          <w:rFonts w:ascii="Arial" w:hAnsi="Arial" w:cs="Arial"/>
          <w:sz w:val="24"/>
          <w:szCs w:val="24"/>
        </w:rPr>
        <w:t>Lo anterior, fue aprobado en la reunión número CT-02/2011 del 25 de marzo de 2011,  según Acta de Sesión Ordinaria del Comité Técnico del Fideicomiso para el Sistema Integral del Tránsito Metropolitano</w:t>
      </w:r>
      <w:r>
        <w:rPr>
          <w:rFonts w:ascii="Arial" w:hAnsi="Arial" w:cs="Arial"/>
          <w:sz w:val="24"/>
          <w:szCs w:val="24"/>
        </w:rPr>
        <w:t>.</w:t>
      </w:r>
    </w:p>
    <w:p w:rsidR="00E42294" w:rsidRDefault="00E42294" w:rsidP="00E42294">
      <w:pPr>
        <w:pStyle w:val="Piedepgina"/>
        <w:tabs>
          <w:tab w:val="clear" w:pos="4252"/>
          <w:tab w:val="clear" w:pos="8504"/>
        </w:tabs>
        <w:spacing w:line="360" w:lineRule="auto"/>
        <w:jc w:val="both"/>
        <w:rPr>
          <w:rFonts w:ascii="Arial" w:hAnsi="Arial" w:cs="Arial"/>
          <w:b/>
          <w:sz w:val="24"/>
          <w:szCs w:val="24"/>
          <w:lang w:val="es-MX"/>
        </w:rPr>
      </w:pPr>
    </w:p>
    <w:p w:rsidR="00E42294" w:rsidRPr="003C7A5D" w:rsidRDefault="00E42294" w:rsidP="004E3A41">
      <w:pPr>
        <w:pStyle w:val="Piedepgina"/>
        <w:tabs>
          <w:tab w:val="clear" w:pos="4252"/>
          <w:tab w:val="clear" w:pos="8504"/>
        </w:tabs>
        <w:ind w:left="720"/>
        <w:jc w:val="both"/>
        <w:rPr>
          <w:rFonts w:ascii="Arial" w:hAnsi="Arial" w:cs="Arial"/>
          <w:b/>
          <w:sz w:val="24"/>
          <w:szCs w:val="24"/>
          <w:lang w:val="es-MX"/>
        </w:rPr>
      </w:pPr>
      <w:r w:rsidRPr="003C7A5D">
        <w:rPr>
          <w:rFonts w:ascii="Arial" w:hAnsi="Arial" w:cs="Arial"/>
          <w:b/>
          <w:sz w:val="24"/>
          <w:szCs w:val="24"/>
          <w:lang w:val="es-MX"/>
        </w:rPr>
        <w:t>Objetivos y alcances de la revisión practicada tanto a la gestión como al desempeño, incluyendo los criterios de selección y descripción de los procedimientos de auditoría aplicados</w:t>
      </w:r>
    </w:p>
    <w:p w:rsidR="00E42294" w:rsidRPr="003C7A5D" w:rsidRDefault="00E42294" w:rsidP="00E42294">
      <w:pPr>
        <w:pStyle w:val="Textoindependiente"/>
        <w:rPr>
          <w:rFonts w:ascii="Arial" w:hAnsi="Arial" w:cs="Arial"/>
          <w:b/>
          <w:sz w:val="24"/>
          <w:szCs w:val="24"/>
          <w:lang w:val="es-MX"/>
        </w:rPr>
      </w:pPr>
    </w:p>
    <w:p w:rsidR="00E42294" w:rsidRPr="003C7A5D" w:rsidRDefault="00E42294" w:rsidP="00E42294">
      <w:pPr>
        <w:pStyle w:val="Prrafodelista"/>
        <w:numPr>
          <w:ilvl w:val="0"/>
          <w:numId w:val="1"/>
        </w:numPr>
        <w:spacing w:after="0" w:line="240" w:lineRule="auto"/>
        <w:ind w:left="426" w:hanging="426"/>
        <w:contextualSpacing/>
        <w:jc w:val="both"/>
        <w:rPr>
          <w:rFonts w:ascii="Arial" w:hAnsi="Arial" w:cs="Arial"/>
          <w:b/>
          <w:bCs/>
          <w:lang w:eastAsia="es-ES"/>
        </w:rPr>
      </w:pPr>
      <w:r w:rsidRPr="003C7A5D">
        <w:rPr>
          <w:rFonts w:ascii="Arial" w:hAnsi="Arial" w:cs="Arial"/>
          <w:b/>
          <w:bCs/>
          <w:lang w:eastAsia="es-ES"/>
        </w:rPr>
        <w:t>Auditorías programadas por tipo o materia</w:t>
      </w:r>
    </w:p>
    <w:p w:rsidR="00E42294" w:rsidRPr="003C7A5D" w:rsidRDefault="00E42294" w:rsidP="00E42294">
      <w:pPr>
        <w:pStyle w:val="Prrafodelista"/>
        <w:ind w:left="0"/>
        <w:jc w:val="both"/>
        <w:rPr>
          <w:rFonts w:ascii="Arial" w:hAnsi="Arial" w:cs="Arial"/>
          <w:b/>
          <w:bCs/>
          <w:lang w:eastAsia="es-ES"/>
        </w:rPr>
      </w:pPr>
    </w:p>
    <w:p w:rsidR="00E42294" w:rsidRPr="00B67BEE" w:rsidRDefault="00E42294" w:rsidP="00E42294">
      <w:pPr>
        <w:spacing w:after="0" w:line="360" w:lineRule="auto"/>
        <w:ind w:firstLine="709"/>
        <w:jc w:val="both"/>
        <w:rPr>
          <w:rFonts w:ascii="Arial" w:eastAsia="Times New Roman" w:hAnsi="Arial" w:cs="Arial"/>
          <w:bCs/>
          <w:sz w:val="18"/>
          <w:lang w:eastAsia="es-ES"/>
        </w:rPr>
      </w:pPr>
      <w:r w:rsidRPr="00092A2E">
        <w:rPr>
          <w:rFonts w:ascii="Arial" w:hAnsi="Arial" w:cs="Arial"/>
          <w:bCs/>
          <w:iCs/>
          <w:sz w:val="24"/>
          <w:szCs w:val="24"/>
        </w:rPr>
        <w:t xml:space="preserve">Con base en los criterios generales y particulares para la planeación específica utilizada en la integración del </w:t>
      </w:r>
      <w:r w:rsidR="004E3A41">
        <w:rPr>
          <w:rFonts w:ascii="Arial" w:hAnsi="Arial" w:cs="Arial"/>
          <w:bCs/>
          <w:iCs/>
          <w:sz w:val="24"/>
          <w:szCs w:val="24"/>
        </w:rPr>
        <w:t>Programa Anual de Auditoría 2016</w:t>
      </w:r>
      <w:r w:rsidRPr="00092A2E">
        <w:rPr>
          <w:rFonts w:ascii="Arial" w:hAnsi="Arial" w:cs="Arial"/>
          <w:bCs/>
          <w:iCs/>
          <w:sz w:val="24"/>
          <w:szCs w:val="24"/>
        </w:rPr>
        <w:t xml:space="preserve"> para la Fiscalización de las Cuentas Públicas correspondientes al ejercicio </w:t>
      </w:r>
      <w:r w:rsidR="004E3A41">
        <w:rPr>
          <w:rFonts w:ascii="Arial" w:hAnsi="Arial" w:cs="Arial"/>
          <w:bCs/>
          <w:iCs/>
          <w:sz w:val="24"/>
          <w:szCs w:val="24"/>
        </w:rPr>
        <w:lastRenderedPageBreak/>
        <w:t>2015</w:t>
      </w:r>
      <w:r w:rsidRPr="00092A2E">
        <w:rPr>
          <w:rFonts w:ascii="Arial" w:hAnsi="Arial" w:cs="Arial"/>
          <w:bCs/>
          <w:iCs/>
          <w:sz w:val="24"/>
          <w:szCs w:val="24"/>
        </w:rPr>
        <w:t>, presentado ante ese H. Congreso del Estado, para su conocimiento, por conducto de la Com</w:t>
      </w:r>
      <w:r w:rsidR="004E3A41">
        <w:rPr>
          <w:rFonts w:ascii="Arial" w:hAnsi="Arial" w:cs="Arial"/>
          <w:bCs/>
          <w:iCs/>
          <w:sz w:val="24"/>
          <w:szCs w:val="24"/>
        </w:rPr>
        <w:t xml:space="preserve">isión de Vigilancia, en fecha 14 de junio del 2016 </w:t>
      </w:r>
      <w:r w:rsidRPr="00092A2E">
        <w:rPr>
          <w:rFonts w:ascii="Arial" w:hAnsi="Arial" w:cs="Arial"/>
          <w:bCs/>
          <w:iCs/>
          <w:sz w:val="24"/>
          <w:szCs w:val="24"/>
        </w:rPr>
        <w:t xml:space="preserve">y considerando la importancia, pertinencia y factibilidad de su realización, </w:t>
      </w:r>
      <w:r w:rsidRPr="00092A2E">
        <w:rPr>
          <w:rFonts w:ascii="Arial" w:hAnsi="Arial" w:cs="Arial"/>
          <w:bCs/>
          <w:sz w:val="24"/>
          <w:szCs w:val="24"/>
        </w:rPr>
        <w:t>se determinaron las siguientes auditorías a practicar al Ente Público en cuestión, por tipo o materia, a saber</w:t>
      </w:r>
      <w:r w:rsidRPr="003C7A5D">
        <w:rPr>
          <w:rFonts w:ascii="Arial" w:hAnsi="Arial" w:cs="Arial"/>
          <w:bCs/>
          <w:sz w:val="24"/>
          <w:szCs w:val="24"/>
        </w:rPr>
        <w:t>:</w:t>
      </w:r>
    </w:p>
    <w:p w:rsidR="00E42294" w:rsidRPr="00B67BEE" w:rsidRDefault="00E42294" w:rsidP="00E42294">
      <w:pPr>
        <w:spacing w:after="0"/>
        <w:jc w:val="both"/>
        <w:rPr>
          <w:rFonts w:ascii="Arial" w:eastAsia="Times New Roman" w:hAnsi="Arial" w:cs="Arial"/>
          <w:bCs/>
          <w:sz w:val="18"/>
          <w:lang w:eastAsia="es-ES"/>
        </w:rPr>
      </w:pPr>
    </w:p>
    <w:tbl>
      <w:tblPr>
        <w:tblW w:w="5000" w:type="pct"/>
        <w:jc w:val="center"/>
        <w:tblLayout w:type="fixed"/>
        <w:tblCellMar>
          <w:left w:w="70" w:type="dxa"/>
          <w:right w:w="70" w:type="dxa"/>
        </w:tblCellMar>
        <w:tblLook w:val="04A0" w:firstRow="1" w:lastRow="0" w:firstColumn="1" w:lastColumn="0" w:noHBand="0" w:noVBand="1"/>
      </w:tblPr>
      <w:tblGrid>
        <w:gridCol w:w="1854"/>
        <w:gridCol w:w="921"/>
        <w:gridCol w:w="908"/>
        <w:gridCol w:w="778"/>
        <w:gridCol w:w="908"/>
        <w:gridCol w:w="1419"/>
        <w:gridCol w:w="908"/>
        <w:gridCol w:w="603"/>
      </w:tblGrid>
      <w:tr w:rsidR="004E3A41" w:rsidRPr="00FA266A" w:rsidTr="00FA266A">
        <w:trPr>
          <w:trHeight w:val="300"/>
          <w:tblHeader/>
          <w:jc w:val="center"/>
        </w:trPr>
        <w:tc>
          <w:tcPr>
            <w:tcW w:w="1117" w:type="pct"/>
            <w:vMerge w:val="restart"/>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4E3A41" w:rsidRPr="00FA266A" w:rsidRDefault="004E3A41" w:rsidP="00B56CFB">
            <w:pPr>
              <w:ind w:hanging="284"/>
              <w:jc w:val="center"/>
              <w:rPr>
                <w:rFonts w:ascii="Arial" w:hAnsi="Arial" w:cs="Arial"/>
                <w:b/>
                <w:bCs/>
                <w:color w:val="000000"/>
                <w:sz w:val="14"/>
                <w:szCs w:val="14"/>
                <w:lang w:eastAsia="es-MX"/>
              </w:rPr>
            </w:pPr>
            <w:r w:rsidRPr="00FA266A">
              <w:rPr>
                <w:rFonts w:ascii="Arial" w:hAnsi="Arial" w:cs="Arial"/>
                <w:b/>
                <w:sz w:val="14"/>
                <w:szCs w:val="14"/>
              </w:rPr>
              <w:br w:type="page"/>
            </w:r>
            <w:r w:rsidRPr="00FA266A">
              <w:rPr>
                <w:rFonts w:ascii="Arial" w:hAnsi="Arial" w:cs="Arial"/>
                <w:b/>
                <w:bCs/>
                <w:color w:val="000000"/>
                <w:sz w:val="14"/>
                <w:szCs w:val="14"/>
                <w:lang w:eastAsia="es-MX"/>
              </w:rPr>
              <w:t>Entidad</w:t>
            </w:r>
          </w:p>
        </w:tc>
        <w:tc>
          <w:tcPr>
            <w:tcW w:w="3883" w:type="pct"/>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4E3A41" w:rsidRPr="00FA266A" w:rsidRDefault="004E3A41" w:rsidP="00B56CFB">
            <w:pPr>
              <w:jc w:val="center"/>
              <w:rPr>
                <w:rFonts w:ascii="Arial" w:hAnsi="Arial" w:cs="Arial"/>
                <w:b/>
                <w:bCs/>
                <w:color w:val="000000"/>
                <w:sz w:val="14"/>
                <w:szCs w:val="14"/>
                <w:lang w:eastAsia="es-MX"/>
              </w:rPr>
            </w:pPr>
            <w:r w:rsidRPr="00FA266A">
              <w:rPr>
                <w:rFonts w:ascii="Arial" w:hAnsi="Arial" w:cs="Arial"/>
                <w:b/>
                <w:bCs/>
                <w:color w:val="000000"/>
                <w:sz w:val="14"/>
                <w:szCs w:val="14"/>
                <w:lang w:eastAsia="es-MX"/>
              </w:rPr>
              <w:t>Tipos de auditoría a Cuenta Pública 2015</w:t>
            </w:r>
          </w:p>
        </w:tc>
      </w:tr>
      <w:tr w:rsidR="004E3A41" w:rsidRPr="00FA266A" w:rsidTr="00FA266A">
        <w:trPr>
          <w:trHeight w:val="375"/>
          <w:tblHeader/>
          <w:jc w:val="center"/>
        </w:trPr>
        <w:tc>
          <w:tcPr>
            <w:tcW w:w="1117" w:type="pct"/>
            <w:vMerge/>
            <w:tcBorders>
              <w:left w:val="single" w:sz="12" w:space="0" w:color="auto"/>
              <w:bottom w:val="single" w:sz="12" w:space="0" w:color="auto"/>
              <w:right w:val="single" w:sz="12" w:space="0" w:color="auto"/>
            </w:tcBorders>
            <w:shd w:val="clear" w:color="auto" w:fill="C9C9C9" w:themeFill="accent3" w:themeFillTint="99"/>
            <w:noWrap/>
            <w:vAlign w:val="center"/>
            <w:hideMark/>
          </w:tcPr>
          <w:p w:rsidR="004E3A41" w:rsidRPr="00FA266A" w:rsidRDefault="004E3A41" w:rsidP="00B56CFB">
            <w:pPr>
              <w:jc w:val="center"/>
              <w:rPr>
                <w:rFonts w:ascii="Arial" w:hAnsi="Arial" w:cs="Arial"/>
                <w:b/>
                <w:bCs/>
                <w:color w:val="000000"/>
                <w:sz w:val="14"/>
                <w:szCs w:val="14"/>
                <w:lang w:eastAsia="es-MX"/>
              </w:rPr>
            </w:pPr>
          </w:p>
        </w:tc>
        <w:tc>
          <w:tcPr>
            <w:tcW w:w="555"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4E3A41" w:rsidRPr="00FA266A" w:rsidRDefault="004E3A41" w:rsidP="00B56CFB">
            <w:pPr>
              <w:jc w:val="center"/>
              <w:rPr>
                <w:rFonts w:ascii="Arial" w:hAnsi="Arial" w:cs="Arial"/>
                <w:b/>
                <w:bCs/>
                <w:color w:val="000000"/>
                <w:sz w:val="14"/>
                <w:szCs w:val="14"/>
                <w:vertAlign w:val="superscript"/>
                <w:lang w:eastAsia="es-MX"/>
              </w:rPr>
            </w:pPr>
            <w:r w:rsidRPr="00FA266A">
              <w:rPr>
                <w:rFonts w:ascii="Arial" w:hAnsi="Arial" w:cs="Arial"/>
                <w:b/>
                <w:bCs/>
                <w:color w:val="000000"/>
                <w:sz w:val="14"/>
                <w:szCs w:val="14"/>
                <w:lang w:eastAsia="es-MX"/>
              </w:rPr>
              <w:t>Auditoría Financiera</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4E3A41" w:rsidRPr="00FA266A" w:rsidRDefault="004E3A41" w:rsidP="00B56CFB">
            <w:pPr>
              <w:jc w:val="center"/>
              <w:rPr>
                <w:rFonts w:ascii="Arial" w:hAnsi="Arial" w:cs="Arial"/>
                <w:b/>
                <w:bCs/>
                <w:color w:val="000000"/>
                <w:sz w:val="14"/>
                <w:szCs w:val="14"/>
                <w:vertAlign w:val="superscript"/>
                <w:lang w:eastAsia="es-MX"/>
              </w:rPr>
            </w:pPr>
            <w:r w:rsidRPr="00FA266A">
              <w:rPr>
                <w:rFonts w:ascii="Arial" w:hAnsi="Arial" w:cs="Arial"/>
                <w:b/>
                <w:bCs/>
                <w:color w:val="000000"/>
                <w:sz w:val="14"/>
                <w:szCs w:val="14"/>
                <w:lang w:eastAsia="es-MX"/>
              </w:rPr>
              <w:t>Auditoría Técnica a la Obra Pública</w:t>
            </w:r>
          </w:p>
        </w:tc>
        <w:tc>
          <w:tcPr>
            <w:tcW w:w="469"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4E3A41" w:rsidRPr="00FA266A" w:rsidRDefault="004E3A41" w:rsidP="00B56CFB">
            <w:pPr>
              <w:jc w:val="center"/>
              <w:rPr>
                <w:rFonts w:ascii="Arial" w:hAnsi="Arial" w:cs="Arial"/>
                <w:b/>
                <w:bCs/>
                <w:color w:val="000000"/>
                <w:sz w:val="14"/>
                <w:szCs w:val="14"/>
                <w:vertAlign w:val="superscript"/>
                <w:lang w:eastAsia="es-MX"/>
              </w:rPr>
            </w:pPr>
            <w:r w:rsidRPr="00FA266A">
              <w:rPr>
                <w:rFonts w:ascii="Arial" w:hAnsi="Arial" w:cs="Arial"/>
                <w:b/>
                <w:bCs/>
                <w:color w:val="000000"/>
                <w:sz w:val="14"/>
                <w:szCs w:val="14"/>
                <w:lang w:eastAsia="es-MX"/>
              </w:rPr>
              <w:t>Auditoría en Desarrollo Urbano</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4E3A41" w:rsidRPr="00FA266A" w:rsidRDefault="004E3A41" w:rsidP="00B56CFB">
            <w:pPr>
              <w:jc w:val="center"/>
              <w:rPr>
                <w:rFonts w:ascii="Arial" w:hAnsi="Arial" w:cs="Arial"/>
                <w:b/>
                <w:bCs/>
                <w:color w:val="000000"/>
                <w:sz w:val="14"/>
                <w:szCs w:val="14"/>
                <w:vertAlign w:val="superscript"/>
                <w:lang w:eastAsia="es-MX"/>
              </w:rPr>
            </w:pPr>
            <w:r w:rsidRPr="00FA266A">
              <w:rPr>
                <w:rFonts w:ascii="Arial" w:hAnsi="Arial" w:cs="Arial"/>
                <w:b/>
                <w:bCs/>
                <w:color w:val="000000"/>
                <w:sz w:val="14"/>
                <w:szCs w:val="14"/>
                <w:lang w:eastAsia="es-MX"/>
              </w:rPr>
              <w:t>Laboratorio de Obra Pública</w:t>
            </w:r>
          </w:p>
        </w:tc>
        <w:tc>
          <w:tcPr>
            <w:tcW w:w="855"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4E3A41" w:rsidRPr="00FA266A" w:rsidRDefault="004E3A41" w:rsidP="00B56CFB">
            <w:pPr>
              <w:jc w:val="center"/>
              <w:rPr>
                <w:rFonts w:ascii="Arial" w:hAnsi="Arial" w:cs="Arial"/>
                <w:b/>
                <w:bCs/>
                <w:color w:val="000000"/>
                <w:sz w:val="14"/>
                <w:szCs w:val="14"/>
                <w:vertAlign w:val="superscript"/>
                <w:lang w:eastAsia="es-MX"/>
              </w:rPr>
            </w:pPr>
            <w:r w:rsidRPr="00FA266A">
              <w:rPr>
                <w:rFonts w:ascii="Arial" w:hAnsi="Arial" w:cs="Arial"/>
                <w:b/>
                <w:bCs/>
                <w:color w:val="000000"/>
                <w:sz w:val="14"/>
                <w:szCs w:val="14"/>
                <w:lang w:eastAsia="es-MX"/>
              </w:rPr>
              <w:t>Auditoría de Evaluación al Desempeño</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4E3A41" w:rsidRPr="00FA266A" w:rsidRDefault="004E3A41" w:rsidP="00B56CFB">
            <w:pPr>
              <w:jc w:val="center"/>
              <w:rPr>
                <w:rFonts w:ascii="Arial" w:hAnsi="Arial" w:cs="Arial"/>
                <w:b/>
                <w:bCs/>
                <w:color w:val="000000"/>
                <w:sz w:val="14"/>
                <w:szCs w:val="14"/>
                <w:vertAlign w:val="superscript"/>
                <w:lang w:eastAsia="es-MX"/>
              </w:rPr>
            </w:pPr>
            <w:r w:rsidRPr="00FA266A">
              <w:rPr>
                <w:rFonts w:ascii="Arial" w:hAnsi="Arial" w:cs="Arial"/>
                <w:b/>
                <w:bCs/>
                <w:color w:val="000000"/>
                <w:sz w:val="14"/>
                <w:szCs w:val="14"/>
                <w:lang w:eastAsia="es-MX"/>
              </w:rPr>
              <w:t>Auditoría a Recursos Federales</w:t>
            </w:r>
          </w:p>
        </w:tc>
        <w:tc>
          <w:tcPr>
            <w:tcW w:w="362"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4E3A41" w:rsidRPr="00FA266A" w:rsidRDefault="004E3A41" w:rsidP="00B56CFB">
            <w:pPr>
              <w:jc w:val="center"/>
              <w:rPr>
                <w:rFonts w:ascii="Arial" w:hAnsi="Arial" w:cs="Arial"/>
                <w:b/>
                <w:bCs/>
                <w:color w:val="000000"/>
                <w:sz w:val="14"/>
                <w:szCs w:val="14"/>
                <w:lang w:eastAsia="es-MX"/>
              </w:rPr>
            </w:pPr>
            <w:r w:rsidRPr="00FA266A">
              <w:rPr>
                <w:rFonts w:ascii="Arial" w:hAnsi="Arial" w:cs="Arial"/>
                <w:b/>
                <w:bCs/>
                <w:color w:val="000000"/>
                <w:sz w:val="14"/>
                <w:szCs w:val="14"/>
                <w:lang w:eastAsia="es-MX"/>
              </w:rPr>
              <w:t>Total</w:t>
            </w:r>
          </w:p>
        </w:tc>
      </w:tr>
      <w:tr w:rsidR="004E3A41" w:rsidRPr="00FA266A" w:rsidTr="00FA266A">
        <w:trPr>
          <w:cantSplit/>
          <w:trHeight w:val="315"/>
          <w:jc w:val="center"/>
        </w:trPr>
        <w:tc>
          <w:tcPr>
            <w:tcW w:w="111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A41" w:rsidRPr="00FA266A" w:rsidRDefault="004E3A41" w:rsidP="00B56CFB">
            <w:pPr>
              <w:jc w:val="center"/>
              <w:rPr>
                <w:rFonts w:ascii="Arial" w:hAnsi="Arial" w:cs="Arial"/>
                <w:b/>
                <w:bCs/>
                <w:sz w:val="14"/>
                <w:szCs w:val="14"/>
                <w:lang w:eastAsia="es-MX"/>
              </w:rPr>
            </w:pPr>
            <w:r w:rsidRPr="00FA266A">
              <w:rPr>
                <w:rFonts w:ascii="Arial" w:hAnsi="Arial" w:cs="Arial"/>
                <w:sz w:val="14"/>
                <w:szCs w:val="14"/>
              </w:rPr>
              <w:t>Fideicomiso para el Sistema Integral del Tránsito Metropolitano</w:t>
            </w:r>
          </w:p>
        </w:tc>
        <w:tc>
          <w:tcPr>
            <w:tcW w:w="55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E3A41" w:rsidRPr="00FA266A" w:rsidRDefault="004E3A41" w:rsidP="00B56CFB">
            <w:pPr>
              <w:jc w:val="center"/>
              <w:rPr>
                <w:rFonts w:ascii="Arial" w:hAnsi="Arial" w:cs="Arial"/>
                <w:b/>
                <w:bCs/>
                <w:sz w:val="14"/>
                <w:szCs w:val="14"/>
                <w:lang w:eastAsia="es-MX"/>
              </w:rPr>
            </w:pPr>
            <w:r w:rsidRPr="00FA266A">
              <w:rPr>
                <w:rFonts w:ascii="Arial" w:hAnsi="Arial" w:cs="Arial"/>
                <w:b/>
                <w:bCs/>
                <w:sz w:val="14"/>
                <w:szCs w:val="14"/>
                <w:lang w:eastAsia="es-MX"/>
              </w:rPr>
              <w:t>1</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E3A41" w:rsidRPr="00FA266A" w:rsidRDefault="004E3A41" w:rsidP="00B56CFB">
            <w:pPr>
              <w:jc w:val="center"/>
              <w:rPr>
                <w:rFonts w:ascii="Arial" w:hAnsi="Arial" w:cs="Arial"/>
                <w:b/>
                <w:bCs/>
                <w:sz w:val="14"/>
                <w:szCs w:val="14"/>
                <w:lang w:eastAsia="es-MX"/>
              </w:rPr>
            </w:pPr>
            <w:r w:rsidRPr="00FA266A">
              <w:rPr>
                <w:rFonts w:ascii="Arial" w:hAnsi="Arial" w:cs="Arial"/>
                <w:b/>
                <w:bCs/>
                <w:sz w:val="14"/>
                <w:szCs w:val="14"/>
                <w:lang w:eastAsia="es-MX"/>
              </w:rPr>
              <w:t>-</w:t>
            </w:r>
          </w:p>
        </w:tc>
        <w:tc>
          <w:tcPr>
            <w:tcW w:w="469"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E3A41" w:rsidRPr="00FA266A" w:rsidRDefault="004E3A41" w:rsidP="00B56CFB">
            <w:pPr>
              <w:jc w:val="center"/>
              <w:rPr>
                <w:rFonts w:ascii="Arial" w:hAnsi="Arial" w:cs="Arial"/>
                <w:b/>
                <w:bCs/>
                <w:sz w:val="14"/>
                <w:szCs w:val="14"/>
                <w:lang w:eastAsia="es-MX"/>
              </w:rPr>
            </w:pPr>
            <w:r w:rsidRPr="00FA266A">
              <w:rPr>
                <w:rFonts w:ascii="Arial" w:hAnsi="Arial" w:cs="Arial"/>
                <w:b/>
                <w:bCs/>
                <w:sz w:val="14"/>
                <w:szCs w:val="14"/>
                <w:lang w:eastAsia="es-MX"/>
              </w:rPr>
              <w:t>-</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E3A41" w:rsidRPr="00FA266A" w:rsidRDefault="004E3A41" w:rsidP="00B56CFB">
            <w:pPr>
              <w:jc w:val="center"/>
              <w:rPr>
                <w:rFonts w:ascii="Arial" w:hAnsi="Arial" w:cs="Arial"/>
                <w:b/>
                <w:bCs/>
                <w:sz w:val="14"/>
                <w:szCs w:val="14"/>
                <w:lang w:eastAsia="es-MX"/>
              </w:rPr>
            </w:pPr>
            <w:r w:rsidRPr="00FA266A">
              <w:rPr>
                <w:rFonts w:ascii="Arial" w:hAnsi="Arial" w:cs="Arial"/>
                <w:b/>
                <w:bCs/>
                <w:sz w:val="14"/>
                <w:szCs w:val="14"/>
                <w:lang w:eastAsia="es-MX"/>
              </w:rPr>
              <w:t>-</w:t>
            </w:r>
          </w:p>
        </w:tc>
        <w:tc>
          <w:tcPr>
            <w:tcW w:w="85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E3A41" w:rsidRPr="00FA266A" w:rsidRDefault="004E3A41" w:rsidP="00B56CFB">
            <w:pPr>
              <w:jc w:val="center"/>
              <w:rPr>
                <w:rFonts w:ascii="Arial" w:hAnsi="Arial" w:cs="Arial"/>
                <w:b/>
                <w:bCs/>
                <w:sz w:val="14"/>
                <w:szCs w:val="14"/>
                <w:lang w:eastAsia="es-MX"/>
              </w:rPr>
            </w:pPr>
            <w:r w:rsidRPr="00FA266A">
              <w:rPr>
                <w:rFonts w:ascii="Arial" w:hAnsi="Arial" w:cs="Arial"/>
                <w:b/>
                <w:bCs/>
                <w:sz w:val="14"/>
                <w:szCs w:val="14"/>
                <w:lang w:eastAsia="es-MX"/>
              </w:rPr>
              <w:t>-</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E3A41" w:rsidRPr="00FA266A" w:rsidRDefault="004E3A41" w:rsidP="00B56CFB">
            <w:pPr>
              <w:jc w:val="center"/>
              <w:rPr>
                <w:rFonts w:ascii="Arial" w:hAnsi="Arial" w:cs="Arial"/>
                <w:b/>
                <w:bCs/>
                <w:sz w:val="14"/>
                <w:szCs w:val="14"/>
                <w:lang w:eastAsia="es-MX"/>
              </w:rPr>
            </w:pPr>
            <w:r w:rsidRPr="00FA266A">
              <w:rPr>
                <w:rFonts w:ascii="Arial" w:hAnsi="Arial" w:cs="Arial"/>
                <w:b/>
                <w:bCs/>
                <w:sz w:val="14"/>
                <w:szCs w:val="14"/>
                <w:lang w:eastAsia="es-MX"/>
              </w:rPr>
              <w:t>-</w:t>
            </w:r>
          </w:p>
        </w:tc>
        <w:tc>
          <w:tcPr>
            <w:tcW w:w="362"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E3A41" w:rsidRPr="00FA266A" w:rsidRDefault="004E3A41" w:rsidP="00B56CFB">
            <w:pPr>
              <w:jc w:val="center"/>
              <w:rPr>
                <w:rFonts w:ascii="Arial" w:hAnsi="Arial" w:cs="Arial"/>
                <w:b/>
                <w:bCs/>
                <w:sz w:val="14"/>
                <w:szCs w:val="14"/>
                <w:lang w:eastAsia="es-MX"/>
              </w:rPr>
            </w:pPr>
            <w:r w:rsidRPr="00FA266A">
              <w:rPr>
                <w:rFonts w:ascii="Arial" w:hAnsi="Arial" w:cs="Arial"/>
                <w:b/>
                <w:bCs/>
                <w:sz w:val="14"/>
                <w:szCs w:val="14"/>
                <w:lang w:eastAsia="es-MX"/>
              </w:rPr>
              <w:t>1</w:t>
            </w:r>
          </w:p>
        </w:tc>
      </w:tr>
    </w:tbl>
    <w:p w:rsidR="00E42294" w:rsidRPr="00B67BEE" w:rsidRDefault="00E42294" w:rsidP="00E42294">
      <w:pPr>
        <w:spacing w:after="0"/>
        <w:jc w:val="center"/>
        <w:rPr>
          <w:rFonts w:ascii="Arial" w:hAnsi="Arial" w:cs="Arial"/>
          <w:sz w:val="18"/>
          <w:vertAlign w:val="superscript"/>
        </w:rPr>
      </w:pPr>
    </w:p>
    <w:p w:rsidR="00E42294" w:rsidRPr="00B67BEE" w:rsidRDefault="00E42294" w:rsidP="00E42294">
      <w:pPr>
        <w:spacing w:before="34" w:after="0"/>
        <w:ind w:right="49"/>
        <w:jc w:val="center"/>
        <w:rPr>
          <w:rFonts w:ascii="Arial" w:eastAsia="Arial" w:hAnsi="Arial" w:cs="Arial"/>
          <w:bCs/>
          <w:smallCaps/>
          <w:sz w:val="16"/>
          <w:szCs w:val="20"/>
        </w:rPr>
      </w:pPr>
    </w:p>
    <w:p w:rsidR="00E42294" w:rsidRPr="00B67BEE" w:rsidRDefault="00E42294" w:rsidP="00E42294">
      <w:pPr>
        <w:pStyle w:val="Prrafodelista"/>
        <w:numPr>
          <w:ilvl w:val="0"/>
          <w:numId w:val="1"/>
        </w:numPr>
        <w:spacing w:after="0"/>
        <w:ind w:left="426" w:hanging="426"/>
        <w:contextualSpacing/>
        <w:jc w:val="both"/>
        <w:rPr>
          <w:rFonts w:ascii="Arial" w:eastAsia="Times New Roman" w:hAnsi="Arial" w:cs="Arial"/>
          <w:sz w:val="24"/>
          <w:lang w:eastAsia="es-ES"/>
        </w:rPr>
      </w:pPr>
      <w:r w:rsidRPr="00B67BEE">
        <w:rPr>
          <w:rFonts w:ascii="Arial" w:eastAsia="Times New Roman" w:hAnsi="Arial" w:cs="Arial"/>
          <w:b/>
          <w:bCs/>
          <w:sz w:val="24"/>
          <w:lang w:eastAsia="es-ES"/>
        </w:rPr>
        <w:t xml:space="preserve">Objetivos y alcances de la revisión practicada </w:t>
      </w:r>
    </w:p>
    <w:p w:rsidR="00E42294" w:rsidRPr="00B67BEE" w:rsidRDefault="00E42294" w:rsidP="00E42294">
      <w:pPr>
        <w:spacing w:after="0"/>
        <w:jc w:val="both"/>
        <w:rPr>
          <w:rFonts w:ascii="Arial" w:eastAsia="Times New Roman" w:hAnsi="Arial" w:cs="Arial"/>
          <w:sz w:val="24"/>
          <w:lang w:eastAsia="es-ES"/>
        </w:rPr>
      </w:pPr>
    </w:p>
    <w:p w:rsidR="00E42294" w:rsidRDefault="00E42294" w:rsidP="00E42294">
      <w:pPr>
        <w:spacing w:line="360" w:lineRule="auto"/>
        <w:ind w:firstLine="708"/>
        <w:jc w:val="both"/>
        <w:rPr>
          <w:rFonts w:ascii="Arial" w:hAnsi="Arial" w:cs="Arial"/>
          <w:sz w:val="24"/>
        </w:rPr>
      </w:pPr>
      <w:r w:rsidRPr="002B2585">
        <w:rPr>
          <w:rFonts w:ascii="Arial" w:hAnsi="Arial" w:cs="Arial"/>
          <w:sz w:val="24"/>
        </w:rPr>
        <w:t>En la implementación y ejecución del Programa Anual de Auditoría</w:t>
      </w:r>
      <w:r w:rsidR="00FA266A">
        <w:rPr>
          <w:rFonts w:ascii="Arial" w:hAnsi="Arial" w:cs="Arial"/>
          <w:sz w:val="24"/>
        </w:rPr>
        <w:t xml:space="preserve"> 2016</w:t>
      </w:r>
      <w:r w:rsidRPr="002B2585">
        <w:rPr>
          <w:rFonts w:ascii="Arial" w:hAnsi="Arial" w:cs="Arial"/>
          <w:sz w:val="24"/>
        </w:rPr>
        <w:t xml:space="preserve"> para la revisión y fiscalización de las Cuentas Públicas co</w:t>
      </w:r>
      <w:r w:rsidR="00FA266A">
        <w:rPr>
          <w:rFonts w:ascii="Arial" w:hAnsi="Arial" w:cs="Arial"/>
          <w:sz w:val="24"/>
        </w:rPr>
        <w:t>rrespondientes al ejercicio 2015</w:t>
      </w:r>
      <w:r w:rsidRPr="002B2585">
        <w:rPr>
          <w:rFonts w:ascii="Arial" w:hAnsi="Arial" w:cs="Arial"/>
          <w:sz w:val="24"/>
        </w:rPr>
        <w:t>, entre las cuales se encuentra el Ente Público auditado en cuestión, se observaron métodos y criterios objetivos, aplicando las mejores prácticas y procedimientos de auditoría</w:t>
      </w:r>
      <w:r>
        <w:rPr>
          <w:rFonts w:ascii="Arial" w:hAnsi="Arial" w:cs="Arial"/>
          <w:sz w:val="24"/>
        </w:rPr>
        <w:t>.</w:t>
      </w:r>
    </w:p>
    <w:p w:rsidR="00E42294" w:rsidRDefault="00E42294" w:rsidP="00E42294">
      <w:pPr>
        <w:spacing w:line="360" w:lineRule="auto"/>
        <w:ind w:firstLine="709"/>
        <w:contextualSpacing/>
        <w:jc w:val="both"/>
        <w:rPr>
          <w:rFonts w:ascii="Arial" w:hAnsi="Arial" w:cs="Arial"/>
          <w:sz w:val="24"/>
          <w:szCs w:val="24"/>
        </w:rPr>
      </w:pPr>
      <w:r>
        <w:rPr>
          <w:rFonts w:ascii="Arial" w:hAnsi="Arial" w:cs="Arial"/>
          <w:sz w:val="24"/>
        </w:rPr>
        <w:t>En ese sentido</w:t>
      </w:r>
      <w:r w:rsidRPr="00A67B01">
        <w:rPr>
          <w:rFonts w:ascii="Arial" w:hAnsi="Arial" w:cs="Arial"/>
          <w:sz w:val="24"/>
        </w:rPr>
        <w:t xml:space="preserve">, </w:t>
      </w:r>
      <w:r>
        <w:rPr>
          <w:rFonts w:ascii="Arial" w:hAnsi="Arial" w:cs="Arial"/>
          <w:sz w:val="24"/>
        </w:rPr>
        <w:t>en observancia de lo preceptuado en los artículos 18, 19, 31 y 32 de la Ley de Fiscalización Superior del Estado de Nuevo León</w:t>
      </w:r>
      <w:r w:rsidRPr="0048720F">
        <w:rPr>
          <w:rFonts w:ascii="Arial" w:hAnsi="Arial" w:cs="Arial"/>
          <w:sz w:val="24"/>
        </w:rPr>
        <w:t xml:space="preserve"> </w:t>
      </w:r>
      <w:r>
        <w:rPr>
          <w:rFonts w:ascii="Arial" w:hAnsi="Arial" w:cs="Arial"/>
          <w:sz w:val="24"/>
        </w:rPr>
        <w:t xml:space="preserve">y </w:t>
      </w:r>
      <w:r w:rsidRPr="000926B7">
        <w:rPr>
          <w:rFonts w:ascii="Arial" w:hAnsi="Arial" w:cs="Arial"/>
          <w:sz w:val="24"/>
        </w:rPr>
        <w:t>acorde en cada caso con el tipo o materia de auditoría practicada,</w:t>
      </w:r>
      <w:r w:rsidRPr="0048720F">
        <w:rPr>
          <w:rFonts w:ascii="Arial" w:hAnsi="Arial" w:cs="Arial"/>
          <w:sz w:val="24"/>
        </w:rPr>
        <w:t xml:space="preserve"> en los términos previamente anunciados,</w:t>
      </w:r>
      <w:r>
        <w:rPr>
          <w:rFonts w:ascii="Arial" w:hAnsi="Arial" w:cs="Arial"/>
          <w:sz w:val="24"/>
        </w:rPr>
        <w:t xml:space="preserve"> el objeto y alcances de la revisión y fiscalización, fue el siguiente</w:t>
      </w:r>
      <w:r>
        <w:rPr>
          <w:rFonts w:ascii="Arial" w:hAnsi="Arial" w:cs="Arial"/>
          <w:sz w:val="24"/>
          <w:szCs w:val="24"/>
        </w:rPr>
        <w:t>:</w:t>
      </w:r>
    </w:p>
    <w:p w:rsidR="00E42294" w:rsidRDefault="00E42294" w:rsidP="00E42294">
      <w:pPr>
        <w:spacing w:line="360" w:lineRule="auto"/>
        <w:contextualSpacing/>
        <w:jc w:val="both"/>
        <w:rPr>
          <w:rFonts w:ascii="Arial" w:hAnsi="Arial" w:cs="Arial"/>
          <w:sz w:val="24"/>
          <w:szCs w:val="24"/>
        </w:rPr>
      </w:pPr>
    </w:p>
    <w:p w:rsidR="00E42294" w:rsidRDefault="00E42294" w:rsidP="00E42294">
      <w:pPr>
        <w:numPr>
          <w:ilvl w:val="0"/>
          <w:numId w:val="5"/>
        </w:numPr>
        <w:spacing w:after="0" w:line="360" w:lineRule="auto"/>
        <w:ind w:left="993" w:hanging="284"/>
        <w:contextualSpacing/>
        <w:jc w:val="both"/>
        <w:rPr>
          <w:rFonts w:ascii="Arial" w:hAnsi="Arial" w:cs="Arial"/>
          <w:sz w:val="24"/>
          <w:szCs w:val="24"/>
        </w:rPr>
      </w:pPr>
      <w:r w:rsidRPr="00AD0A85">
        <w:rPr>
          <w:rFonts w:ascii="Arial" w:hAnsi="Arial" w:cs="Arial"/>
          <w:sz w:val="24"/>
          <w:szCs w:val="24"/>
        </w:rPr>
        <w:lastRenderedPageBreak/>
        <w:t>Para evaluar los resultados de la Gestión Financiera, se verificó:</w:t>
      </w:r>
    </w:p>
    <w:p w:rsidR="00FA266A" w:rsidRPr="00AD0A85" w:rsidRDefault="00FA266A" w:rsidP="00FA266A">
      <w:pPr>
        <w:spacing w:after="0" w:line="360" w:lineRule="auto"/>
        <w:ind w:left="993"/>
        <w:contextualSpacing/>
        <w:jc w:val="both"/>
        <w:rPr>
          <w:rFonts w:ascii="Arial" w:hAnsi="Arial" w:cs="Arial"/>
          <w:sz w:val="24"/>
          <w:szCs w:val="24"/>
        </w:rPr>
      </w:pPr>
    </w:p>
    <w:p w:rsidR="00E42294" w:rsidRDefault="00E42294" w:rsidP="00E42294">
      <w:pPr>
        <w:numPr>
          <w:ilvl w:val="1"/>
          <w:numId w:val="4"/>
        </w:numPr>
        <w:spacing w:after="0" w:line="360" w:lineRule="auto"/>
        <w:ind w:left="851"/>
        <w:jc w:val="both"/>
        <w:rPr>
          <w:rFonts w:ascii="Arial" w:hAnsi="Arial" w:cs="Arial"/>
          <w:sz w:val="24"/>
          <w:szCs w:val="24"/>
        </w:rPr>
      </w:pPr>
      <w:r w:rsidRPr="004C63A5">
        <w:rPr>
          <w:rFonts w:ascii="Arial" w:hAnsi="Arial" w:cs="Arial"/>
          <w:sz w:val="24"/>
          <w:szCs w:val="24"/>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w:t>
      </w:r>
      <w:r w:rsidRPr="002235DC">
        <w:rPr>
          <w:rFonts w:ascii="Arial" w:hAnsi="Arial" w:cs="Arial"/>
          <w:sz w:val="24"/>
          <w:szCs w:val="24"/>
        </w:rPr>
        <w:t>;</w:t>
      </w:r>
      <w:r>
        <w:rPr>
          <w:rFonts w:ascii="Arial" w:hAnsi="Arial" w:cs="Arial"/>
          <w:sz w:val="24"/>
          <w:szCs w:val="24"/>
        </w:rPr>
        <w:t xml:space="preserve"> </w:t>
      </w:r>
      <w:r w:rsidRPr="004C63A5">
        <w:rPr>
          <w:rFonts w:ascii="Arial" w:hAnsi="Arial" w:cs="Arial"/>
          <w:sz w:val="24"/>
          <w:szCs w:val="24"/>
        </w:rPr>
        <w:t>y</w:t>
      </w:r>
    </w:p>
    <w:p w:rsidR="00FA266A" w:rsidRPr="004C63A5" w:rsidRDefault="00FA266A" w:rsidP="00FA266A">
      <w:pPr>
        <w:spacing w:after="0" w:line="360" w:lineRule="auto"/>
        <w:ind w:left="851"/>
        <w:jc w:val="both"/>
        <w:rPr>
          <w:rFonts w:ascii="Arial" w:hAnsi="Arial" w:cs="Arial"/>
          <w:sz w:val="24"/>
          <w:szCs w:val="24"/>
        </w:rPr>
      </w:pPr>
    </w:p>
    <w:p w:rsidR="00E42294" w:rsidRDefault="00E42294" w:rsidP="00E42294">
      <w:pPr>
        <w:numPr>
          <w:ilvl w:val="1"/>
          <w:numId w:val="4"/>
        </w:numPr>
        <w:spacing w:after="0" w:line="360" w:lineRule="auto"/>
        <w:ind w:left="851"/>
        <w:jc w:val="both"/>
        <w:rPr>
          <w:rFonts w:ascii="Arial" w:hAnsi="Arial" w:cs="Arial"/>
          <w:sz w:val="24"/>
          <w:szCs w:val="24"/>
        </w:rPr>
      </w:pPr>
      <w:r w:rsidRPr="004C63A5">
        <w:rPr>
          <w:rFonts w:ascii="Arial" w:hAnsi="Arial" w:cs="Arial"/>
          <w:sz w:val="24"/>
          <w:szCs w:val="24"/>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r w:rsidRPr="00AD0A85">
        <w:rPr>
          <w:rFonts w:ascii="Arial" w:hAnsi="Arial" w:cs="Arial"/>
          <w:sz w:val="24"/>
          <w:szCs w:val="24"/>
        </w:rPr>
        <w:t>.</w:t>
      </w:r>
    </w:p>
    <w:p w:rsidR="00FA266A" w:rsidRPr="00AD0A85" w:rsidRDefault="00FA266A" w:rsidP="00FA266A">
      <w:pPr>
        <w:spacing w:after="0" w:line="360" w:lineRule="auto"/>
        <w:ind w:left="851"/>
        <w:jc w:val="both"/>
        <w:rPr>
          <w:rFonts w:ascii="Arial" w:hAnsi="Arial" w:cs="Arial"/>
          <w:sz w:val="24"/>
          <w:szCs w:val="24"/>
        </w:rPr>
      </w:pPr>
    </w:p>
    <w:p w:rsidR="00E42294" w:rsidRDefault="00E42294" w:rsidP="00E42294">
      <w:pPr>
        <w:numPr>
          <w:ilvl w:val="0"/>
          <w:numId w:val="5"/>
        </w:numPr>
        <w:spacing w:after="0" w:line="360" w:lineRule="auto"/>
        <w:ind w:left="567" w:hanging="425"/>
        <w:contextualSpacing/>
        <w:jc w:val="both"/>
        <w:rPr>
          <w:rFonts w:ascii="Arial" w:hAnsi="Arial" w:cs="Arial"/>
          <w:sz w:val="24"/>
          <w:szCs w:val="24"/>
        </w:rPr>
      </w:pPr>
      <w:r>
        <w:rPr>
          <w:rFonts w:ascii="Arial" w:hAnsi="Arial" w:cs="Arial"/>
          <w:sz w:val="24"/>
          <w:szCs w:val="24"/>
        </w:rPr>
        <w:t>Para c</w:t>
      </w:r>
      <w:r w:rsidRPr="004C63A5">
        <w:rPr>
          <w:rFonts w:ascii="Arial" w:hAnsi="Arial" w:cs="Arial"/>
          <w:sz w:val="24"/>
          <w:szCs w:val="24"/>
        </w:rPr>
        <w:t>omprobar si el ejercicio de las Leyes de Ingresos y</w:t>
      </w:r>
      <w:r>
        <w:rPr>
          <w:rFonts w:ascii="Arial" w:hAnsi="Arial" w:cs="Arial"/>
          <w:sz w:val="24"/>
          <w:szCs w:val="24"/>
        </w:rPr>
        <w:t xml:space="preserve"> </w:t>
      </w:r>
      <w:r w:rsidRPr="004C63A5">
        <w:rPr>
          <w:rFonts w:ascii="Arial" w:hAnsi="Arial" w:cs="Arial"/>
          <w:sz w:val="24"/>
          <w:szCs w:val="24"/>
        </w:rPr>
        <w:t xml:space="preserve">Egresos, y sus respectivos </w:t>
      </w:r>
      <w:r>
        <w:rPr>
          <w:rFonts w:ascii="Arial" w:hAnsi="Arial" w:cs="Arial"/>
          <w:sz w:val="24"/>
          <w:szCs w:val="24"/>
        </w:rPr>
        <w:t>p</w:t>
      </w:r>
      <w:r w:rsidRPr="004C63A5">
        <w:rPr>
          <w:rFonts w:ascii="Arial" w:hAnsi="Arial" w:cs="Arial"/>
          <w:sz w:val="24"/>
          <w:szCs w:val="24"/>
        </w:rPr>
        <w:t>resupuestos se ajusta</w:t>
      </w:r>
      <w:r>
        <w:rPr>
          <w:rFonts w:ascii="Arial" w:hAnsi="Arial" w:cs="Arial"/>
          <w:sz w:val="24"/>
          <w:szCs w:val="24"/>
        </w:rPr>
        <w:t>ron</w:t>
      </w:r>
      <w:r w:rsidRPr="004C63A5">
        <w:rPr>
          <w:rFonts w:ascii="Arial" w:hAnsi="Arial" w:cs="Arial"/>
          <w:sz w:val="24"/>
          <w:szCs w:val="24"/>
        </w:rPr>
        <w:t xml:space="preserve"> a los criterios señalados en los mismos</w:t>
      </w:r>
      <w:r>
        <w:rPr>
          <w:rFonts w:ascii="Arial" w:hAnsi="Arial" w:cs="Arial"/>
          <w:sz w:val="24"/>
          <w:szCs w:val="24"/>
        </w:rPr>
        <w:t>; se revisó</w:t>
      </w:r>
      <w:r w:rsidRPr="00AD0A85">
        <w:rPr>
          <w:rFonts w:ascii="Arial" w:hAnsi="Arial" w:cs="Arial"/>
          <w:sz w:val="24"/>
          <w:szCs w:val="24"/>
        </w:rPr>
        <w:t>:</w:t>
      </w:r>
    </w:p>
    <w:p w:rsidR="00FA266A" w:rsidRPr="00AD0A85" w:rsidRDefault="00FA266A" w:rsidP="00FA266A">
      <w:pPr>
        <w:spacing w:after="0" w:line="360" w:lineRule="auto"/>
        <w:ind w:left="567"/>
        <w:contextualSpacing/>
        <w:jc w:val="both"/>
        <w:rPr>
          <w:rFonts w:ascii="Arial" w:hAnsi="Arial" w:cs="Arial"/>
          <w:sz w:val="24"/>
          <w:szCs w:val="24"/>
        </w:rPr>
      </w:pPr>
    </w:p>
    <w:p w:rsidR="00E42294" w:rsidRDefault="00E42294" w:rsidP="00E42294">
      <w:pPr>
        <w:pStyle w:val="Prrafodelista"/>
        <w:numPr>
          <w:ilvl w:val="0"/>
          <w:numId w:val="8"/>
        </w:numPr>
        <w:spacing w:line="360" w:lineRule="auto"/>
        <w:jc w:val="both"/>
        <w:rPr>
          <w:rFonts w:ascii="Arial" w:hAnsi="Arial" w:cs="Arial"/>
          <w:sz w:val="24"/>
          <w:szCs w:val="24"/>
        </w:rPr>
      </w:pPr>
      <w:r w:rsidRPr="004C63A5">
        <w:rPr>
          <w:rFonts w:ascii="Arial" w:hAnsi="Arial" w:cs="Arial"/>
          <w:sz w:val="24"/>
          <w:szCs w:val="24"/>
        </w:rPr>
        <w:t>Si las cantidades correspondientes a los ingresos y a los egresos, se ajustaron o corresponden a los conceptos y a las partidas respectivas</w:t>
      </w:r>
      <w:r>
        <w:rPr>
          <w:rFonts w:ascii="Arial" w:hAnsi="Arial" w:cs="Arial"/>
          <w:sz w:val="24"/>
          <w:szCs w:val="24"/>
        </w:rPr>
        <w:t>,</w:t>
      </w:r>
    </w:p>
    <w:p w:rsidR="00E42294" w:rsidRPr="0048155B" w:rsidRDefault="00E42294" w:rsidP="00E42294">
      <w:pPr>
        <w:pStyle w:val="Prrafodelista"/>
        <w:numPr>
          <w:ilvl w:val="0"/>
          <w:numId w:val="8"/>
        </w:numPr>
        <w:spacing w:line="360" w:lineRule="auto"/>
        <w:jc w:val="both"/>
        <w:rPr>
          <w:rFonts w:ascii="Arial" w:hAnsi="Arial" w:cs="Arial"/>
          <w:sz w:val="24"/>
          <w:szCs w:val="24"/>
        </w:rPr>
      </w:pPr>
      <w:r w:rsidRPr="0048155B">
        <w:rPr>
          <w:rFonts w:ascii="Arial" w:hAnsi="Arial" w:cs="Arial"/>
          <w:sz w:val="24"/>
          <w:szCs w:val="24"/>
        </w:rPr>
        <w:lastRenderedPageBreak/>
        <w:t>Si los programas y su ejecución se ajustaron a los términos y montos aprobados en el presupuesto; y</w:t>
      </w:r>
    </w:p>
    <w:p w:rsidR="00E42294" w:rsidRPr="00665E9C" w:rsidRDefault="00E42294" w:rsidP="00E42294">
      <w:pPr>
        <w:pStyle w:val="Prrafodelista"/>
        <w:numPr>
          <w:ilvl w:val="0"/>
          <w:numId w:val="8"/>
        </w:numPr>
        <w:spacing w:line="360" w:lineRule="auto"/>
        <w:jc w:val="both"/>
        <w:rPr>
          <w:rFonts w:ascii="Arial" w:hAnsi="Arial" w:cs="Arial"/>
          <w:sz w:val="24"/>
          <w:szCs w:val="24"/>
        </w:rPr>
      </w:pPr>
      <w:r w:rsidRPr="0048155B">
        <w:rPr>
          <w:rFonts w:ascii="Arial" w:hAnsi="Arial" w:cs="Arial"/>
          <w:sz w:val="24"/>
          <w:szCs w:val="24"/>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r>
        <w:rPr>
          <w:rFonts w:ascii="Arial" w:hAnsi="Arial" w:cs="Arial"/>
          <w:sz w:val="24"/>
          <w:szCs w:val="24"/>
        </w:rPr>
        <w:t>.</w:t>
      </w:r>
    </w:p>
    <w:p w:rsidR="00E42294" w:rsidRPr="0048155B" w:rsidRDefault="00E42294" w:rsidP="00E42294">
      <w:pPr>
        <w:numPr>
          <w:ilvl w:val="0"/>
          <w:numId w:val="5"/>
        </w:numPr>
        <w:spacing w:after="0" w:line="360" w:lineRule="auto"/>
        <w:ind w:left="567" w:hanging="425"/>
        <w:contextualSpacing/>
        <w:jc w:val="both"/>
        <w:rPr>
          <w:rFonts w:ascii="Arial" w:hAnsi="Arial" w:cs="Arial"/>
          <w:sz w:val="24"/>
          <w:szCs w:val="24"/>
        </w:rPr>
      </w:pPr>
      <w:r w:rsidRPr="0048155B">
        <w:rPr>
          <w:rFonts w:ascii="Arial" w:hAnsi="Arial" w:cs="Arial"/>
          <w:sz w:val="24"/>
          <w:szCs w:val="24"/>
        </w:rPr>
        <w:t>Se realizaron pruebas de auditoría a fin de evaluar el cumplimiento de las leyes, los reglamentos y la normatividad aplicables en la materia de la gestión financiera, así como de los planes de desarrollo y los programas operativos anuales.</w:t>
      </w:r>
    </w:p>
    <w:p w:rsidR="00E42294" w:rsidRPr="0048155B" w:rsidRDefault="00E42294" w:rsidP="00E42294">
      <w:pPr>
        <w:spacing w:line="360" w:lineRule="auto"/>
        <w:ind w:left="567"/>
        <w:contextualSpacing/>
        <w:jc w:val="both"/>
        <w:rPr>
          <w:rFonts w:ascii="Arial" w:hAnsi="Arial" w:cs="Arial"/>
          <w:sz w:val="24"/>
          <w:szCs w:val="24"/>
        </w:rPr>
      </w:pPr>
    </w:p>
    <w:p w:rsidR="00E42294" w:rsidRPr="0048155B" w:rsidRDefault="00E42294" w:rsidP="00E42294">
      <w:pPr>
        <w:numPr>
          <w:ilvl w:val="0"/>
          <w:numId w:val="5"/>
        </w:numPr>
        <w:spacing w:after="0" w:line="360" w:lineRule="auto"/>
        <w:ind w:left="567" w:hanging="567"/>
        <w:contextualSpacing/>
        <w:jc w:val="both"/>
        <w:rPr>
          <w:rFonts w:ascii="Arial" w:hAnsi="Arial" w:cs="Arial"/>
          <w:sz w:val="24"/>
          <w:szCs w:val="24"/>
        </w:rPr>
      </w:pPr>
      <w:r w:rsidRPr="0048155B">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r w:rsidRPr="0048155B">
        <w:rPr>
          <w:rFonts w:ascii="Arial" w:hAnsi="Arial" w:cs="Arial"/>
          <w:sz w:val="24"/>
          <w:szCs w:val="24"/>
        </w:rPr>
        <w:t>.</w:t>
      </w:r>
    </w:p>
    <w:p w:rsidR="00E42294" w:rsidRPr="00AD0A85" w:rsidRDefault="00E42294" w:rsidP="00E42294">
      <w:pPr>
        <w:spacing w:line="360" w:lineRule="auto"/>
        <w:contextualSpacing/>
        <w:jc w:val="both"/>
        <w:rPr>
          <w:rFonts w:ascii="Arial" w:hAnsi="Arial" w:cs="Arial"/>
          <w:sz w:val="24"/>
          <w:szCs w:val="24"/>
        </w:rPr>
      </w:pPr>
    </w:p>
    <w:p w:rsidR="00E42294" w:rsidRPr="0048155B" w:rsidRDefault="00E42294" w:rsidP="00E42294">
      <w:pPr>
        <w:pStyle w:val="Prrafodelista"/>
        <w:numPr>
          <w:ilvl w:val="0"/>
          <w:numId w:val="1"/>
        </w:numPr>
        <w:spacing w:line="360" w:lineRule="auto"/>
        <w:jc w:val="both"/>
        <w:rPr>
          <w:rFonts w:ascii="Arial" w:hAnsi="Arial" w:cs="Arial"/>
          <w:bCs/>
          <w:iCs/>
          <w:sz w:val="24"/>
          <w:szCs w:val="24"/>
        </w:rPr>
      </w:pPr>
      <w:r w:rsidRPr="0048155B">
        <w:rPr>
          <w:rFonts w:ascii="Arial" w:hAnsi="Arial" w:cs="Arial"/>
          <w:b/>
          <w:bCs/>
        </w:rPr>
        <w:t>Criterios de selección y descripción de los procedimientos de auditoría aplicados</w:t>
      </w:r>
    </w:p>
    <w:p w:rsidR="00E42294" w:rsidRPr="0048155B" w:rsidRDefault="00E42294" w:rsidP="00E42294">
      <w:pPr>
        <w:spacing w:line="360" w:lineRule="auto"/>
        <w:ind w:firstLine="708"/>
        <w:jc w:val="both"/>
        <w:rPr>
          <w:rFonts w:ascii="Arial" w:hAnsi="Arial" w:cs="Arial"/>
          <w:bCs/>
          <w:iCs/>
          <w:sz w:val="24"/>
        </w:rPr>
      </w:pPr>
      <w:r>
        <w:rPr>
          <w:rFonts w:ascii="Arial" w:hAnsi="Arial" w:cs="Arial"/>
          <w:bCs/>
          <w:iCs/>
          <w:sz w:val="24"/>
        </w:rPr>
        <w:t xml:space="preserve">Las </w:t>
      </w:r>
      <w:r w:rsidRPr="0059021A">
        <w:rPr>
          <w:rFonts w:ascii="Arial" w:hAnsi="Arial" w:cs="Arial"/>
          <w:bCs/>
          <w:iCs/>
          <w:sz w:val="24"/>
        </w:rPr>
        <w:t>auditoría</w:t>
      </w:r>
      <w:r>
        <w:rPr>
          <w:rFonts w:ascii="Arial" w:hAnsi="Arial" w:cs="Arial"/>
          <w:bCs/>
          <w:iCs/>
          <w:sz w:val="24"/>
        </w:rPr>
        <w:t xml:space="preserve">s practicadas </w:t>
      </w:r>
      <w:r w:rsidRPr="0059021A">
        <w:rPr>
          <w:rFonts w:ascii="Arial" w:hAnsi="Arial" w:cs="Arial"/>
          <w:bCs/>
          <w:iCs/>
          <w:sz w:val="24"/>
        </w:rPr>
        <w:t>se seleccion</w:t>
      </w:r>
      <w:r>
        <w:rPr>
          <w:rFonts w:ascii="Arial" w:hAnsi="Arial" w:cs="Arial"/>
          <w:bCs/>
          <w:iCs/>
          <w:sz w:val="24"/>
        </w:rPr>
        <w:t>aron</w:t>
      </w:r>
      <w:r w:rsidRPr="0059021A">
        <w:rPr>
          <w:rFonts w:ascii="Arial" w:hAnsi="Arial" w:cs="Arial"/>
          <w:bCs/>
          <w:iCs/>
          <w:sz w:val="24"/>
        </w:rPr>
        <w:t xml:space="preserve"> con base en los criterios establecidos para la planeación específica utilizada en la integración </w:t>
      </w:r>
      <w:r>
        <w:rPr>
          <w:rFonts w:ascii="Arial" w:hAnsi="Arial" w:cs="Arial"/>
          <w:bCs/>
          <w:iCs/>
          <w:sz w:val="24"/>
        </w:rPr>
        <w:t>del Programa Anual de Auditoría</w:t>
      </w:r>
      <w:r w:rsidRPr="0059021A">
        <w:rPr>
          <w:rFonts w:ascii="Arial" w:hAnsi="Arial" w:cs="Arial"/>
          <w:bCs/>
          <w:iCs/>
          <w:sz w:val="24"/>
        </w:rPr>
        <w:t xml:space="preserve"> </w:t>
      </w:r>
      <w:r w:rsidR="00FA266A">
        <w:rPr>
          <w:rFonts w:ascii="Arial" w:hAnsi="Arial" w:cs="Arial"/>
          <w:bCs/>
          <w:iCs/>
          <w:sz w:val="24"/>
        </w:rPr>
        <w:t>2016</w:t>
      </w:r>
      <w:r>
        <w:rPr>
          <w:rFonts w:ascii="Arial" w:hAnsi="Arial" w:cs="Arial"/>
          <w:bCs/>
          <w:iCs/>
          <w:sz w:val="24"/>
        </w:rPr>
        <w:t xml:space="preserve"> </w:t>
      </w:r>
      <w:r w:rsidRPr="0059021A">
        <w:rPr>
          <w:rFonts w:ascii="Arial" w:hAnsi="Arial" w:cs="Arial"/>
          <w:bCs/>
          <w:iCs/>
          <w:sz w:val="24"/>
        </w:rPr>
        <w:t>para la fiscalización de la</w:t>
      </w:r>
      <w:r>
        <w:rPr>
          <w:rFonts w:ascii="Arial" w:hAnsi="Arial" w:cs="Arial"/>
          <w:bCs/>
          <w:iCs/>
          <w:sz w:val="24"/>
        </w:rPr>
        <w:t>s</w:t>
      </w:r>
      <w:r w:rsidRPr="0059021A">
        <w:rPr>
          <w:rFonts w:ascii="Arial" w:hAnsi="Arial" w:cs="Arial"/>
          <w:bCs/>
          <w:iCs/>
          <w:sz w:val="24"/>
        </w:rPr>
        <w:t xml:space="preserve"> </w:t>
      </w:r>
      <w:r>
        <w:rPr>
          <w:rFonts w:ascii="Arial" w:hAnsi="Arial" w:cs="Arial"/>
          <w:bCs/>
          <w:iCs/>
          <w:sz w:val="24"/>
        </w:rPr>
        <w:t>C</w:t>
      </w:r>
      <w:r w:rsidRPr="0059021A">
        <w:rPr>
          <w:rFonts w:ascii="Arial" w:hAnsi="Arial" w:cs="Arial"/>
          <w:bCs/>
          <w:iCs/>
          <w:sz w:val="24"/>
        </w:rPr>
        <w:t>uenta</w:t>
      </w:r>
      <w:r>
        <w:rPr>
          <w:rFonts w:ascii="Arial" w:hAnsi="Arial" w:cs="Arial"/>
          <w:bCs/>
          <w:iCs/>
          <w:sz w:val="24"/>
        </w:rPr>
        <w:t>s</w:t>
      </w:r>
      <w:r w:rsidRPr="0059021A">
        <w:rPr>
          <w:rFonts w:ascii="Arial" w:hAnsi="Arial" w:cs="Arial"/>
          <w:bCs/>
          <w:iCs/>
          <w:sz w:val="24"/>
        </w:rPr>
        <w:t xml:space="preserve"> </w:t>
      </w:r>
      <w:r>
        <w:rPr>
          <w:rFonts w:ascii="Arial" w:hAnsi="Arial" w:cs="Arial"/>
          <w:bCs/>
          <w:iCs/>
          <w:sz w:val="24"/>
        </w:rPr>
        <w:t>P</w:t>
      </w:r>
      <w:r w:rsidRPr="0059021A">
        <w:rPr>
          <w:rFonts w:ascii="Arial" w:hAnsi="Arial" w:cs="Arial"/>
          <w:bCs/>
          <w:iCs/>
          <w:sz w:val="24"/>
        </w:rPr>
        <w:t>ública</w:t>
      </w:r>
      <w:r>
        <w:rPr>
          <w:rFonts w:ascii="Arial" w:hAnsi="Arial" w:cs="Arial"/>
          <w:bCs/>
          <w:iCs/>
          <w:sz w:val="24"/>
        </w:rPr>
        <w:t>s correspondientes</w:t>
      </w:r>
      <w:r w:rsidR="00FA266A">
        <w:rPr>
          <w:rFonts w:ascii="Arial" w:hAnsi="Arial" w:cs="Arial"/>
          <w:bCs/>
          <w:iCs/>
          <w:sz w:val="24"/>
        </w:rPr>
        <w:t xml:space="preserve"> al ejercicio 2015</w:t>
      </w:r>
      <w:r w:rsidRPr="0059021A">
        <w:rPr>
          <w:rFonts w:ascii="Arial" w:hAnsi="Arial" w:cs="Arial"/>
          <w:bCs/>
          <w:iCs/>
          <w:sz w:val="24"/>
        </w:rPr>
        <w:t>, considerando la importancia, pertinencia y factibilidad de su realización</w:t>
      </w:r>
      <w:r w:rsidRPr="0048155B">
        <w:rPr>
          <w:rFonts w:ascii="Arial" w:hAnsi="Arial" w:cs="Arial"/>
          <w:bCs/>
          <w:iCs/>
          <w:sz w:val="24"/>
        </w:rPr>
        <w:t>.</w:t>
      </w:r>
    </w:p>
    <w:p w:rsidR="00E42294" w:rsidRPr="0048155B" w:rsidRDefault="00E42294" w:rsidP="00E42294">
      <w:pPr>
        <w:spacing w:line="360" w:lineRule="auto"/>
        <w:ind w:firstLine="708"/>
        <w:jc w:val="both"/>
        <w:rPr>
          <w:rFonts w:ascii="Arial" w:hAnsi="Arial" w:cs="Arial"/>
          <w:bCs/>
          <w:iCs/>
          <w:sz w:val="24"/>
        </w:rPr>
      </w:pPr>
      <w:bookmarkStart w:id="0" w:name="_Toc140992160"/>
      <w:r w:rsidRPr="00981408">
        <w:rPr>
          <w:rFonts w:ascii="Arial" w:hAnsi="Arial" w:cs="Arial"/>
          <w:bCs/>
          <w:iCs/>
          <w:sz w:val="24"/>
        </w:rPr>
        <w:lastRenderedPageBreak/>
        <w:t xml:space="preserve">El universo seleccionado para la revisión </w:t>
      </w:r>
      <w:r>
        <w:rPr>
          <w:rFonts w:ascii="Arial" w:hAnsi="Arial" w:cs="Arial"/>
          <w:bCs/>
          <w:iCs/>
          <w:sz w:val="24"/>
        </w:rPr>
        <w:t>fue</w:t>
      </w:r>
      <w:r w:rsidRPr="00981408">
        <w:rPr>
          <w:rFonts w:ascii="Arial" w:hAnsi="Arial" w:cs="Arial"/>
          <w:bCs/>
          <w:iCs/>
          <w:sz w:val="24"/>
        </w:rPr>
        <w:t xml:space="preserve"> el </w:t>
      </w:r>
      <w:r w:rsidRPr="00073F36">
        <w:rPr>
          <w:rFonts w:ascii="Arial" w:hAnsi="Arial" w:cs="Arial"/>
          <w:bCs/>
          <w:iCs/>
          <w:sz w:val="24"/>
        </w:rPr>
        <w:t>conjunto de operaciones, registros o movimientos de</w:t>
      </w:r>
      <w:r>
        <w:rPr>
          <w:rFonts w:ascii="Arial" w:hAnsi="Arial" w:cs="Arial"/>
          <w:bCs/>
          <w:iCs/>
          <w:sz w:val="24"/>
        </w:rPr>
        <w:t xml:space="preserve"> entre los cuales</w:t>
      </w:r>
      <w:r w:rsidRPr="00073F36">
        <w:rPr>
          <w:rFonts w:ascii="Arial" w:hAnsi="Arial" w:cs="Arial"/>
          <w:bCs/>
          <w:iCs/>
          <w:sz w:val="24"/>
        </w:rPr>
        <w:t>, se seleccion</w:t>
      </w:r>
      <w:r>
        <w:rPr>
          <w:rFonts w:ascii="Arial" w:hAnsi="Arial" w:cs="Arial"/>
          <w:bCs/>
          <w:iCs/>
          <w:sz w:val="24"/>
        </w:rPr>
        <w:t>aron</w:t>
      </w:r>
      <w:r w:rsidRPr="00073F36">
        <w:rPr>
          <w:rFonts w:ascii="Arial" w:hAnsi="Arial" w:cs="Arial"/>
          <w:bCs/>
          <w:iCs/>
          <w:sz w:val="24"/>
        </w:rPr>
        <w:t xml:space="preserve"> muestra</w:t>
      </w:r>
      <w:r>
        <w:rPr>
          <w:rFonts w:ascii="Arial" w:hAnsi="Arial" w:cs="Arial"/>
          <w:bCs/>
          <w:iCs/>
          <w:sz w:val="24"/>
        </w:rPr>
        <w:t>s</w:t>
      </w:r>
      <w:r w:rsidRPr="00073F36">
        <w:rPr>
          <w:rFonts w:ascii="Arial" w:hAnsi="Arial" w:cs="Arial"/>
          <w:bCs/>
          <w:iCs/>
          <w:sz w:val="24"/>
        </w:rPr>
        <w:t xml:space="preserve"> para aplicarle</w:t>
      </w:r>
      <w:r>
        <w:rPr>
          <w:rFonts w:ascii="Arial" w:hAnsi="Arial" w:cs="Arial"/>
          <w:bCs/>
          <w:iCs/>
          <w:sz w:val="24"/>
        </w:rPr>
        <w:t>s</w:t>
      </w:r>
      <w:r w:rsidRPr="00073F36">
        <w:rPr>
          <w:rFonts w:ascii="Arial" w:hAnsi="Arial" w:cs="Arial"/>
          <w:bCs/>
          <w:iCs/>
          <w:sz w:val="24"/>
        </w:rPr>
        <w:t xml:space="preserve"> procedimientos o pruebas de </w:t>
      </w:r>
      <w:r w:rsidRPr="002B2585">
        <w:rPr>
          <w:rFonts w:ascii="Arial" w:hAnsi="Arial" w:cs="Arial"/>
          <w:bCs/>
          <w:iCs/>
          <w:sz w:val="24"/>
        </w:rPr>
        <w:t xml:space="preserve">auditoría, partiendo esencialmente, del presupuesto asignado al Ente Público, y ejercido en los capítulos, conceptos, partidas, proyectos de inversión, programas presupuestarios y fondos, así </w:t>
      </w:r>
      <w:r>
        <w:rPr>
          <w:rFonts w:ascii="Arial" w:hAnsi="Arial" w:cs="Arial"/>
          <w:bCs/>
          <w:iCs/>
          <w:sz w:val="24"/>
        </w:rPr>
        <w:t xml:space="preserve">como los </w:t>
      </w:r>
      <w:r w:rsidRPr="00073F36">
        <w:rPr>
          <w:rFonts w:ascii="Arial" w:hAnsi="Arial" w:cs="Arial"/>
          <w:bCs/>
          <w:iCs/>
          <w:sz w:val="24"/>
        </w:rPr>
        <w:t>conceptos de ingreso</w:t>
      </w:r>
      <w:r>
        <w:rPr>
          <w:rFonts w:ascii="Arial" w:hAnsi="Arial" w:cs="Arial"/>
          <w:bCs/>
          <w:iCs/>
          <w:sz w:val="24"/>
        </w:rPr>
        <w:t xml:space="preserve">, en su caso, y en general </w:t>
      </w:r>
      <w:r w:rsidRPr="00073F36">
        <w:rPr>
          <w:rFonts w:ascii="Arial" w:hAnsi="Arial" w:cs="Arial"/>
          <w:bCs/>
          <w:iCs/>
          <w:sz w:val="24"/>
        </w:rPr>
        <w:t xml:space="preserve">cualquier otro concepto </w:t>
      </w:r>
      <w:r>
        <w:rPr>
          <w:rFonts w:ascii="Arial" w:hAnsi="Arial" w:cs="Arial"/>
          <w:bCs/>
          <w:iCs/>
          <w:sz w:val="24"/>
        </w:rPr>
        <w:t xml:space="preserve">que se estimó pertinente incluir en el alcance de </w:t>
      </w:r>
      <w:r w:rsidRPr="00073F36">
        <w:rPr>
          <w:rFonts w:ascii="Arial" w:hAnsi="Arial" w:cs="Arial"/>
          <w:bCs/>
          <w:iCs/>
          <w:sz w:val="24"/>
        </w:rPr>
        <w:t>la revisión</w:t>
      </w:r>
      <w:r w:rsidRPr="0048155B">
        <w:rPr>
          <w:rFonts w:ascii="Arial" w:hAnsi="Arial" w:cs="Arial"/>
          <w:bCs/>
          <w:iCs/>
          <w:sz w:val="24"/>
        </w:rPr>
        <w:t>.</w:t>
      </w:r>
    </w:p>
    <w:bookmarkEnd w:id="0"/>
    <w:p w:rsidR="00E42294" w:rsidRPr="0048155B" w:rsidRDefault="00E42294" w:rsidP="00E42294">
      <w:pPr>
        <w:spacing w:line="360" w:lineRule="auto"/>
        <w:ind w:firstLine="708"/>
        <w:jc w:val="both"/>
        <w:rPr>
          <w:rFonts w:ascii="Arial" w:hAnsi="Arial" w:cs="Arial"/>
          <w:bCs/>
          <w:iCs/>
          <w:sz w:val="24"/>
        </w:rPr>
      </w:pPr>
      <w:r w:rsidRPr="00981408">
        <w:rPr>
          <w:rFonts w:ascii="Arial" w:hAnsi="Arial" w:cs="Arial"/>
          <w:bCs/>
          <w:iCs/>
          <w:sz w:val="24"/>
        </w:rPr>
        <w:t>La muestra auditada</w:t>
      </w:r>
      <w:r>
        <w:rPr>
          <w:rFonts w:ascii="Arial" w:hAnsi="Arial" w:cs="Arial"/>
          <w:b/>
          <w:bCs/>
          <w:iCs/>
          <w:sz w:val="24"/>
        </w:rPr>
        <w:t xml:space="preserve"> </w:t>
      </w:r>
      <w:r w:rsidRPr="00981408">
        <w:rPr>
          <w:rFonts w:ascii="Arial" w:hAnsi="Arial" w:cs="Arial"/>
          <w:bCs/>
          <w:iCs/>
          <w:sz w:val="24"/>
        </w:rPr>
        <w:t>consist</w:t>
      </w:r>
      <w:r>
        <w:rPr>
          <w:rFonts w:ascii="Arial" w:hAnsi="Arial" w:cs="Arial"/>
          <w:bCs/>
          <w:iCs/>
          <w:sz w:val="24"/>
        </w:rPr>
        <w:t xml:space="preserve">ió </w:t>
      </w:r>
      <w:r w:rsidRPr="00981408">
        <w:rPr>
          <w:rFonts w:ascii="Arial" w:hAnsi="Arial" w:cs="Arial"/>
          <w:bCs/>
          <w:iCs/>
          <w:sz w:val="24"/>
        </w:rPr>
        <w:t>en</w:t>
      </w:r>
      <w:r>
        <w:rPr>
          <w:rFonts w:ascii="Arial" w:hAnsi="Arial" w:cs="Arial"/>
          <w:b/>
          <w:bCs/>
          <w:iCs/>
          <w:sz w:val="24"/>
        </w:rPr>
        <w:t xml:space="preserve"> </w:t>
      </w:r>
      <w:r w:rsidRPr="00073F36">
        <w:rPr>
          <w:rFonts w:ascii="Arial" w:hAnsi="Arial" w:cs="Arial"/>
          <w:bCs/>
          <w:iCs/>
          <w:sz w:val="24"/>
        </w:rPr>
        <w:t>las operaciones, registros o movimientos fiscalizados a través de procedimientos o pruebas de auditoría, cuyos resultados permit</w:t>
      </w:r>
      <w:r>
        <w:rPr>
          <w:rFonts w:ascii="Arial" w:hAnsi="Arial" w:cs="Arial"/>
          <w:bCs/>
          <w:iCs/>
          <w:sz w:val="24"/>
        </w:rPr>
        <w:t xml:space="preserve">ieron la emisión, debidamente </w:t>
      </w:r>
      <w:r w:rsidRPr="00073F36">
        <w:rPr>
          <w:rFonts w:ascii="Arial" w:hAnsi="Arial" w:cs="Arial"/>
          <w:bCs/>
          <w:iCs/>
          <w:sz w:val="24"/>
        </w:rPr>
        <w:t>soporta</w:t>
      </w:r>
      <w:r>
        <w:rPr>
          <w:rFonts w:ascii="Arial" w:hAnsi="Arial" w:cs="Arial"/>
          <w:bCs/>
          <w:iCs/>
          <w:sz w:val="24"/>
        </w:rPr>
        <w:t>da</w:t>
      </w:r>
      <w:r w:rsidRPr="00073F36">
        <w:rPr>
          <w:rFonts w:ascii="Arial" w:hAnsi="Arial" w:cs="Arial"/>
          <w:bCs/>
          <w:iCs/>
          <w:sz w:val="24"/>
        </w:rPr>
        <w:t xml:space="preserve"> y fundamenta</w:t>
      </w:r>
      <w:r>
        <w:rPr>
          <w:rFonts w:ascii="Arial" w:hAnsi="Arial" w:cs="Arial"/>
          <w:bCs/>
          <w:iCs/>
          <w:sz w:val="24"/>
        </w:rPr>
        <w:t>da</w:t>
      </w:r>
      <w:r w:rsidRPr="00073F36">
        <w:rPr>
          <w:rFonts w:ascii="Arial" w:hAnsi="Arial" w:cs="Arial"/>
          <w:bCs/>
          <w:iCs/>
          <w:sz w:val="24"/>
        </w:rPr>
        <w:t xml:space="preserve"> </w:t>
      </w:r>
      <w:r>
        <w:rPr>
          <w:rFonts w:ascii="Arial" w:hAnsi="Arial" w:cs="Arial"/>
          <w:bCs/>
          <w:iCs/>
          <w:sz w:val="24"/>
        </w:rPr>
        <w:t>d</w:t>
      </w:r>
      <w:r w:rsidRPr="00073F36">
        <w:rPr>
          <w:rFonts w:ascii="Arial" w:hAnsi="Arial" w:cs="Arial"/>
          <w:bCs/>
          <w:iCs/>
          <w:sz w:val="24"/>
        </w:rPr>
        <w:t>el dictamen</w:t>
      </w:r>
      <w:r>
        <w:rPr>
          <w:rFonts w:ascii="Arial" w:hAnsi="Arial" w:cs="Arial"/>
          <w:bCs/>
          <w:iCs/>
          <w:sz w:val="24"/>
        </w:rPr>
        <w:t xml:space="preserve"> de la revisión. Asimismo, </w:t>
      </w:r>
      <w:bookmarkStart w:id="1" w:name="_Toc140992162"/>
      <w:r>
        <w:rPr>
          <w:rFonts w:ascii="Arial" w:hAnsi="Arial" w:cs="Arial"/>
          <w:bCs/>
          <w:iCs/>
          <w:sz w:val="24"/>
        </w:rPr>
        <w:t>l</w:t>
      </w:r>
      <w:r w:rsidRPr="00981408">
        <w:rPr>
          <w:rFonts w:ascii="Arial" w:hAnsi="Arial" w:cs="Arial"/>
          <w:bCs/>
          <w:iCs/>
          <w:sz w:val="24"/>
        </w:rPr>
        <w:t>as áreas revisadas</w:t>
      </w:r>
      <w:r>
        <w:rPr>
          <w:rFonts w:ascii="Arial" w:hAnsi="Arial" w:cs="Arial"/>
          <w:bCs/>
          <w:iCs/>
          <w:sz w:val="24"/>
        </w:rPr>
        <w:t xml:space="preserve">, fueron esencialmente </w:t>
      </w:r>
      <w:bookmarkEnd w:id="1"/>
      <w:r w:rsidRPr="00073F36">
        <w:rPr>
          <w:rFonts w:ascii="Arial" w:hAnsi="Arial" w:cs="Arial"/>
          <w:bCs/>
          <w:iCs/>
          <w:sz w:val="24"/>
        </w:rPr>
        <w:t>las unidades administrativas de la entidad fiscalizada responsables de la ejecución de las operaciones, actividades o programas objeto de la revisión</w:t>
      </w:r>
      <w:r w:rsidRPr="0048155B">
        <w:rPr>
          <w:rFonts w:ascii="Arial" w:hAnsi="Arial" w:cs="Arial"/>
          <w:bCs/>
          <w:iCs/>
          <w:sz w:val="24"/>
        </w:rPr>
        <w:t>.</w:t>
      </w:r>
    </w:p>
    <w:p w:rsidR="00FA266A" w:rsidRDefault="00E42294" w:rsidP="00FA266A">
      <w:pPr>
        <w:spacing w:line="360" w:lineRule="auto"/>
        <w:ind w:firstLine="708"/>
        <w:jc w:val="both"/>
        <w:rPr>
          <w:rFonts w:ascii="Arial" w:hAnsi="Arial" w:cs="Arial"/>
          <w:bCs/>
          <w:iCs/>
          <w:sz w:val="24"/>
          <w:szCs w:val="24"/>
        </w:rPr>
      </w:pPr>
      <w:r w:rsidRPr="002B2585">
        <w:rPr>
          <w:rFonts w:ascii="Arial" w:hAnsi="Arial" w:cs="Arial"/>
          <w:bCs/>
          <w:iCs/>
          <w:sz w:val="24"/>
        </w:rPr>
        <w:t xml:space="preserve">Con base en lo anterior, en forma específica en el Informe del Resultado, se señalan las </w:t>
      </w:r>
      <w:r w:rsidRPr="00DE5D3F">
        <w:rPr>
          <w:rFonts w:ascii="Arial" w:hAnsi="Arial" w:cs="Arial"/>
          <w:bCs/>
          <w:iCs/>
          <w:sz w:val="24"/>
        </w:rPr>
        <w:t>operaciones, registros o movimientos fiscalizados, las técnicas y pruebas de auditoría aplicadas, y en su caso, el resultado de las mismas</w:t>
      </w:r>
      <w:r w:rsidRPr="00073F36">
        <w:rPr>
          <w:rFonts w:ascii="Arial" w:hAnsi="Arial" w:cs="Arial"/>
          <w:bCs/>
          <w:iCs/>
          <w:sz w:val="24"/>
        </w:rPr>
        <w:t>, mediante las cuales se obt</w:t>
      </w:r>
      <w:r>
        <w:rPr>
          <w:rFonts w:ascii="Arial" w:hAnsi="Arial" w:cs="Arial"/>
          <w:bCs/>
          <w:iCs/>
          <w:sz w:val="24"/>
        </w:rPr>
        <w:t>uvo</w:t>
      </w:r>
      <w:r w:rsidRPr="00073F36">
        <w:rPr>
          <w:rFonts w:ascii="Arial" w:hAnsi="Arial" w:cs="Arial"/>
          <w:bCs/>
          <w:iCs/>
          <w:sz w:val="24"/>
        </w:rPr>
        <w:t xml:space="preserve"> evidencia suficiente, competente, relevante y pertinente acerca del objeto auditado</w:t>
      </w:r>
      <w:r>
        <w:rPr>
          <w:rFonts w:ascii="Arial" w:hAnsi="Arial" w:cs="Arial"/>
          <w:bCs/>
          <w:iCs/>
          <w:sz w:val="24"/>
        </w:rPr>
        <w:t xml:space="preserve"> y </w:t>
      </w:r>
      <w:r w:rsidRPr="00073F36">
        <w:rPr>
          <w:rFonts w:ascii="Arial" w:hAnsi="Arial" w:cs="Arial"/>
          <w:bCs/>
          <w:iCs/>
          <w:sz w:val="24"/>
        </w:rPr>
        <w:t>con base en la cual se determina</w:t>
      </w:r>
      <w:r>
        <w:rPr>
          <w:rFonts w:ascii="Arial" w:hAnsi="Arial" w:cs="Arial"/>
          <w:bCs/>
          <w:iCs/>
          <w:sz w:val="24"/>
        </w:rPr>
        <w:t>ron</w:t>
      </w:r>
      <w:r w:rsidRPr="00073F36">
        <w:rPr>
          <w:rFonts w:ascii="Arial" w:hAnsi="Arial" w:cs="Arial"/>
          <w:bCs/>
          <w:iCs/>
          <w:sz w:val="24"/>
        </w:rPr>
        <w:t xml:space="preserve"> los resultados y el dictamen correspondiente</w:t>
      </w:r>
      <w:r w:rsidRPr="0048155B">
        <w:rPr>
          <w:rFonts w:ascii="Arial" w:hAnsi="Arial" w:cs="Arial"/>
          <w:bCs/>
          <w:iCs/>
          <w:sz w:val="24"/>
          <w:szCs w:val="24"/>
        </w:rPr>
        <w:t>.</w:t>
      </w:r>
    </w:p>
    <w:p w:rsidR="00FA266A" w:rsidRDefault="00FA266A" w:rsidP="00FA266A">
      <w:pPr>
        <w:spacing w:line="360" w:lineRule="auto"/>
        <w:ind w:firstLine="708"/>
        <w:jc w:val="both"/>
        <w:rPr>
          <w:rFonts w:ascii="Arial" w:hAnsi="Arial" w:cs="Arial"/>
          <w:bCs/>
          <w:iCs/>
          <w:sz w:val="24"/>
          <w:szCs w:val="24"/>
        </w:rPr>
      </w:pPr>
    </w:p>
    <w:p w:rsidR="00E42294" w:rsidRPr="00FA266A" w:rsidRDefault="00E42294" w:rsidP="00FA266A">
      <w:pPr>
        <w:spacing w:line="360" w:lineRule="auto"/>
        <w:ind w:firstLine="708"/>
        <w:jc w:val="both"/>
        <w:rPr>
          <w:rFonts w:ascii="Arial" w:hAnsi="Arial" w:cs="Arial"/>
          <w:bCs/>
          <w:iCs/>
          <w:sz w:val="24"/>
        </w:rPr>
      </w:pPr>
      <w:r w:rsidRPr="003C7A5D">
        <w:rPr>
          <w:rFonts w:ascii="Arial" w:hAnsi="Arial" w:cs="Arial"/>
          <w:b/>
          <w:sz w:val="24"/>
          <w:szCs w:val="24"/>
          <w:lang w:val="es-MX"/>
        </w:rPr>
        <w:t>Descripción de los elementos revisados y resultados obtenidos en la revisión</w:t>
      </w:r>
    </w:p>
    <w:p w:rsidR="00E42294" w:rsidRPr="003C7A5D" w:rsidRDefault="00E42294" w:rsidP="00E42294">
      <w:pPr>
        <w:pStyle w:val="Textoindependiente"/>
        <w:rPr>
          <w:rFonts w:ascii="Arial" w:hAnsi="Arial" w:cs="Arial"/>
          <w:b/>
          <w:sz w:val="24"/>
          <w:szCs w:val="24"/>
          <w:lang w:val="es-MX"/>
        </w:rPr>
      </w:pPr>
    </w:p>
    <w:p w:rsidR="00E42294" w:rsidRPr="003C7A5D" w:rsidRDefault="00E42294" w:rsidP="00E42294">
      <w:pPr>
        <w:pStyle w:val="Textoindependiente"/>
        <w:numPr>
          <w:ilvl w:val="0"/>
          <w:numId w:val="6"/>
        </w:numPr>
        <w:suppressAutoHyphens w:val="0"/>
        <w:ind w:left="360"/>
        <w:rPr>
          <w:rFonts w:ascii="Arial" w:hAnsi="Arial" w:cs="Arial"/>
          <w:b/>
          <w:sz w:val="24"/>
          <w:szCs w:val="24"/>
          <w:lang w:val="es-MX"/>
        </w:rPr>
      </w:pPr>
      <w:r w:rsidRPr="003C7A5D">
        <w:rPr>
          <w:rFonts w:ascii="Arial" w:hAnsi="Arial" w:cs="Arial"/>
          <w:b/>
          <w:sz w:val="24"/>
          <w:szCs w:val="24"/>
          <w:lang w:val="es-MX"/>
        </w:rPr>
        <w:t>La evaluación de la gestión financiera y del gasto público</w:t>
      </w:r>
    </w:p>
    <w:p w:rsidR="00E42294" w:rsidRPr="003C7A5D" w:rsidRDefault="00E42294" w:rsidP="00E42294">
      <w:pPr>
        <w:pStyle w:val="Textoindependiente"/>
        <w:rPr>
          <w:rFonts w:ascii="Arial" w:hAnsi="Arial" w:cs="Arial"/>
          <w:sz w:val="24"/>
          <w:szCs w:val="24"/>
          <w:lang w:val="es-MX"/>
        </w:rPr>
      </w:pPr>
    </w:p>
    <w:p w:rsidR="00E42294" w:rsidRPr="002235DC" w:rsidRDefault="00E42294" w:rsidP="00E42294">
      <w:pPr>
        <w:spacing w:line="360" w:lineRule="auto"/>
        <w:ind w:firstLine="708"/>
        <w:jc w:val="both"/>
        <w:rPr>
          <w:rFonts w:ascii="Arial" w:hAnsi="Arial" w:cs="Arial"/>
          <w:sz w:val="24"/>
          <w:szCs w:val="24"/>
          <w:lang w:val="es-MX"/>
        </w:rPr>
      </w:pPr>
      <w:r w:rsidRPr="002A28B9">
        <w:rPr>
          <w:rFonts w:ascii="Arial" w:hAnsi="Arial" w:cs="Arial"/>
          <w:sz w:val="24"/>
          <w:szCs w:val="24"/>
          <w:lang w:val="es-MX"/>
        </w:rPr>
        <w:t xml:space="preserve">Para tal efecto se consideraron los </w:t>
      </w:r>
      <w:r>
        <w:rPr>
          <w:rFonts w:ascii="Arial" w:hAnsi="Arial" w:cs="Arial"/>
          <w:sz w:val="24"/>
          <w:szCs w:val="24"/>
          <w:lang w:val="es-MX"/>
        </w:rPr>
        <w:t>Estados Financieros</w:t>
      </w:r>
      <w:r w:rsidRPr="002A28B9">
        <w:rPr>
          <w:rFonts w:ascii="Arial" w:hAnsi="Arial" w:cs="Arial"/>
          <w:sz w:val="24"/>
          <w:szCs w:val="24"/>
          <w:lang w:val="es-MX"/>
        </w:rPr>
        <w:t xml:space="preserve"> adjuntos, y su presupuesto por el período del 1 de enero al 31 de diciembre de </w:t>
      </w:r>
      <w:r w:rsidR="00FA266A">
        <w:rPr>
          <w:rFonts w:ascii="Arial" w:hAnsi="Arial" w:cs="Arial"/>
          <w:sz w:val="24"/>
          <w:szCs w:val="24"/>
          <w:lang w:val="es-MX"/>
        </w:rPr>
        <w:t>2015</w:t>
      </w:r>
      <w:r w:rsidRPr="002A28B9">
        <w:rPr>
          <w:rFonts w:ascii="Arial" w:hAnsi="Arial" w:cs="Arial"/>
          <w:sz w:val="24"/>
          <w:szCs w:val="24"/>
          <w:lang w:val="es-MX"/>
        </w:rPr>
        <w:t xml:space="preserve">, que </w:t>
      </w:r>
      <w:r w:rsidRPr="001E1A5D">
        <w:rPr>
          <w:rFonts w:ascii="Arial" w:hAnsi="Arial" w:cs="Arial"/>
          <w:sz w:val="24"/>
          <w:szCs w:val="24"/>
          <w:lang w:val="es-MX"/>
        </w:rPr>
        <w:t>el</w:t>
      </w:r>
      <w:r>
        <w:rPr>
          <w:rFonts w:ascii="Arial" w:hAnsi="Arial" w:cs="Arial"/>
          <w:sz w:val="24"/>
          <w:szCs w:val="24"/>
          <w:lang w:val="es-MX"/>
        </w:rPr>
        <w:t xml:space="preserve"> </w:t>
      </w:r>
      <w:r w:rsidRPr="001F5937">
        <w:rPr>
          <w:rFonts w:ascii="Arial" w:hAnsi="Arial" w:cs="Arial"/>
          <w:b/>
          <w:sz w:val="24"/>
          <w:szCs w:val="24"/>
        </w:rPr>
        <w:t>Fideicomiso para el Sistema Integral del Tránsito Metropolitano</w:t>
      </w:r>
      <w:r w:rsidRPr="004D747C">
        <w:rPr>
          <w:rFonts w:ascii="Arial" w:hAnsi="Arial" w:cs="Arial"/>
          <w:sz w:val="24"/>
          <w:szCs w:val="24"/>
        </w:rPr>
        <w:t xml:space="preserve"> </w:t>
      </w:r>
      <w:r w:rsidRPr="002A28B9">
        <w:rPr>
          <w:rFonts w:ascii="Arial" w:hAnsi="Arial" w:cs="Arial"/>
          <w:sz w:val="24"/>
          <w:szCs w:val="24"/>
          <w:lang w:val="es-MX"/>
        </w:rPr>
        <w:t xml:space="preserve">presentó </w:t>
      </w:r>
      <w:r w:rsidRPr="009F3AF9">
        <w:rPr>
          <w:rFonts w:ascii="Arial" w:hAnsi="Arial" w:cs="Arial"/>
          <w:sz w:val="24"/>
          <w:szCs w:val="24"/>
          <w:lang w:val="es-MX"/>
        </w:rPr>
        <w:t xml:space="preserve">como parte de la información que integra la </w:t>
      </w:r>
      <w:r>
        <w:rPr>
          <w:rFonts w:ascii="Arial" w:hAnsi="Arial" w:cs="Arial"/>
          <w:sz w:val="24"/>
          <w:szCs w:val="24"/>
          <w:lang w:val="es-MX"/>
        </w:rPr>
        <w:t>Cuenta Pública</w:t>
      </w:r>
      <w:r w:rsidRPr="002235DC">
        <w:rPr>
          <w:rFonts w:ascii="Arial" w:hAnsi="Arial" w:cs="Arial"/>
          <w:sz w:val="24"/>
          <w:szCs w:val="24"/>
          <w:lang w:val="es-MX"/>
        </w:rPr>
        <w:t>.</w:t>
      </w:r>
    </w:p>
    <w:p w:rsidR="00E42294" w:rsidRPr="002235DC" w:rsidRDefault="00E42294" w:rsidP="00E42294">
      <w:pPr>
        <w:spacing w:line="360" w:lineRule="auto"/>
        <w:ind w:firstLine="708"/>
        <w:jc w:val="both"/>
        <w:rPr>
          <w:rFonts w:ascii="Arial" w:hAnsi="Arial" w:cs="Arial"/>
          <w:sz w:val="24"/>
          <w:szCs w:val="24"/>
          <w:lang w:val="es-MX"/>
        </w:rPr>
      </w:pPr>
      <w:r w:rsidRPr="00F8404D">
        <w:rPr>
          <w:rFonts w:ascii="Arial" w:hAnsi="Arial" w:cs="Arial"/>
          <w:sz w:val="24"/>
          <w:szCs w:val="24"/>
          <w:lang w:val="es-MX"/>
        </w:rPr>
        <w:t>Para el desarrollo de la revisión de la información antes mencionada, est</w:t>
      </w:r>
      <w:r>
        <w:rPr>
          <w:rFonts w:ascii="Arial" w:hAnsi="Arial" w:cs="Arial"/>
          <w:sz w:val="24"/>
          <w:szCs w:val="24"/>
          <w:lang w:val="es-MX"/>
        </w:rPr>
        <w:t>a</w:t>
      </w:r>
      <w:r w:rsidRPr="00F8404D">
        <w:rPr>
          <w:rFonts w:ascii="Arial" w:hAnsi="Arial" w:cs="Arial"/>
          <w:sz w:val="24"/>
          <w:szCs w:val="24"/>
          <w:lang w:val="es-MX"/>
        </w:rPr>
        <w:t xml:space="preserve"> Auditoría Superior del Estado, aplicó una serie de procedimientos enfocados a asegurarse de la razonabilidad de las </w:t>
      </w:r>
      <w:r w:rsidRPr="009F3AF9">
        <w:rPr>
          <w:rFonts w:ascii="Arial" w:hAnsi="Arial" w:cs="Arial"/>
          <w:sz w:val="24"/>
          <w:szCs w:val="24"/>
          <w:lang w:val="es-MX"/>
        </w:rPr>
        <w:t>cifras presentadas que forman parte de la gestión financiera y gasto público, y que su presentación y registro estuvo conforme a la normatividad</w:t>
      </w:r>
      <w:r w:rsidRPr="002A28B9">
        <w:rPr>
          <w:rFonts w:ascii="Arial" w:hAnsi="Arial" w:cs="Arial"/>
          <w:sz w:val="24"/>
          <w:szCs w:val="24"/>
          <w:lang w:val="es-MX"/>
        </w:rPr>
        <w:t xml:space="preserve"> aplicable y que se apegaron al cumplimiento de las Leyes, Decretos, Reglamentos y demás disposiciones aplicables y al cumplimiento de los objetivos y metas establecidas en los programas</w:t>
      </w:r>
      <w:r w:rsidRPr="002235DC">
        <w:rPr>
          <w:rFonts w:ascii="Arial" w:hAnsi="Arial" w:cs="Arial"/>
          <w:sz w:val="24"/>
          <w:szCs w:val="24"/>
          <w:lang w:val="es-MX"/>
        </w:rPr>
        <w:t>.</w:t>
      </w:r>
    </w:p>
    <w:p w:rsidR="00FA266A" w:rsidRDefault="00E42294" w:rsidP="00E42294">
      <w:pPr>
        <w:spacing w:line="360" w:lineRule="auto"/>
        <w:ind w:firstLine="708"/>
        <w:jc w:val="both"/>
        <w:rPr>
          <w:rFonts w:ascii="Arial" w:hAnsi="Arial" w:cs="Arial"/>
          <w:sz w:val="24"/>
          <w:szCs w:val="24"/>
        </w:rPr>
      </w:pPr>
      <w:r w:rsidRPr="006717FA">
        <w:rPr>
          <w:rFonts w:ascii="Arial" w:hAnsi="Arial" w:cs="Arial"/>
          <w:sz w:val="24"/>
          <w:szCs w:val="24"/>
          <w:lang w:val="es-MX"/>
        </w:rPr>
        <w:t xml:space="preserve">Los </w:t>
      </w:r>
      <w:r>
        <w:rPr>
          <w:rFonts w:ascii="Arial" w:hAnsi="Arial" w:cs="Arial"/>
          <w:sz w:val="24"/>
          <w:szCs w:val="24"/>
          <w:lang w:val="es-MX"/>
        </w:rPr>
        <w:t>Estados Financieros</w:t>
      </w:r>
      <w:r w:rsidRPr="006717FA">
        <w:rPr>
          <w:rFonts w:ascii="Arial" w:hAnsi="Arial" w:cs="Arial"/>
          <w:sz w:val="24"/>
          <w:szCs w:val="24"/>
          <w:lang w:val="es-MX"/>
        </w:rPr>
        <w:t xml:space="preserve"> presentados en pesos </w:t>
      </w:r>
      <w:r w:rsidRPr="001E1A5D">
        <w:rPr>
          <w:rFonts w:ascii="Arial" w:hAnsi="Arial" w:cs="Arial"/>
          <w:sz w:val="24"/>
          <w:szCs w:val="24"/>
          <w:lang w:val="es-MX"/>
        </w:rPr>
        <w:t xml:space="preserve">del </w:t>
      </w:r>
      <w:r w:rsidRPr="004D747C">
        <w:rPr>
          <w:rFonts w:ascii="Arial" w:hAnsi="Arial" w:cs="Arial"/>
          <w:sz w:val="24"/>
          <w:szCs w:val="24"/>
        </w:rPr>
        <w:t>Fideicomiso</w:t>
      </w:r>
      <w:r>
        <w:rPr>
          <w:rFonts w:ascii="Arial" w:hAnsi="Arial" w:cs="Arial"/>
          <w:sz w:val="24"/>
          <w:szCs w:val="24"/>
        </w:rPr>
        <w:t xml:space="preserve"> para el</w:t>
      </w:r>
      <w:r w:rsidRPr="004D747C">
        <w:rPr>
          <w:rFonts w:ascii="Arial" w:hAnsi="Arial" w:cs="Arial"/>
          <w:sz w:val="24"/>
          <w:szCs w:val="24"/>
        </w:rPr>
        <w:t xml:space="preserve"> </w:t>
      </w:r>
      <w:r w:rsidRPr="001F5937">
        <w:rPr>
          <w:rFonts w:ascii="Arial" w:hAnsi="Arial" w:cs="Arial"/>
          <w:b/>
          <w:sz w:val="24"/>
          <w:szCs w:val="24"/>
        </w:rPr>
        <w:t>Sistema Integral del Tránsito Metropolitano</w:t>
      </w:r>
      <w:r w:rsidRPr="004D747C">
        <w:rPr>
          <w:rFonts w:ascii="Arial" w:hAnsi="Arial" w:cs="Arial"/>
          <w:sz w:val="24"/>
          <w:szCs w:val="24"/>
        </w:rPr>
        <w:t xml:space="preserve"> </w:t>
      </w:r>
      <w:r w:rsidRPr="006717FA">
        <w:rPr>
          <w:rFonts w:ascii="Arial" w:hAnsi="Arial" w:cs="Arial"/>
          <w:sz w:val="24"/>
          <w:szCs w:val="24"/>
          <w:lang w:val="es-MX"/>
        </w:rPr>
        <w:t xml:space="preserve">al 31 de diciembre de </w:t>
      </w:r>
      <w:r w:rsidR="00FA266A">
        <w:rPr>
          <w:rFonts w:ascii="Arial" w:hAnsi="Arial" w:cs="Arial"/>
          <w:sz w:val="24"/>
          <w:szCs w:val="24"/>
          <w:lang w:val="es-MX"/>
        </w:rPr>
        <w:t>2015</w:t>
      </w:r>
      <w:r w:rsidRPr="006717FA">
        <w:rPr>
          <w:rFonts w:ascii="Arial" w:hAnsi="Arial" w:cs="Arial"/>
          <w:sz w:val="24"/>
          <w:szCs w:val="24"/>
          <w:lang w:val="es-MX"/>
        </w:rPr>
        <w:t xml:space="preserve">, que se mencionan en la </w:t>
      </w:r>
      <w:r>
        <w:rPr>
          <w:rFonts w:ascii="Arial" w:hAnsi="Arial" w:cs="Arial"/>
          <w:sz w:val="24"/>
          <w:szCs w:val="24"/>
          <w:lang w:val="es-MX"/>
        </w:rPr>
        <w:t>Cuenta Pública</w:t>
      </w:r>
      <w:r w:rsidRPr="006717FA">
        <w:rPr>
          <w:rFonts w:ascii="Arial" w:hAnsi="Arial" w:cs="Arial"/>
          <w:sz w:val="24"/>
          <w:szCs w:val="24"/>
          <w:lang w:val="es-MX"/>
        </w:rPr>
        <w:t>, son los que se muestran a continuación</w:t>
      </w:r>
      <w:r w:rsidRPr="00AD0A85">
        <w:rPr>
          <w:rFonts w:ascii="Arial" w:hAnsi="Arial" w:cs="Arial"/>
          <w:sz w:val="24"/>
          <w:szCs w:val="24"/>
        </w:rPr>
        <w:t>:</w:t>
      </w:r>
    </w:p>
    <w:p w:rsidR="00FA266A" w:rsidRPr="00AD0A85" w:rsidRDefault="00FA266A" w:rsidP="00FA266A">
      <w:pPr>
        <w:spacing w:line="360" w:lineRule="auto"/>
        <w:ind w:firstLine="708"/>
        <w:jc w:val="center"/>
        <w:rPr>
          <w:rFonts w:ascii="Arial" w:hAnsi="Arial" w:cs="Arial"/>
          <w:sz w:val="24"/>
          <w:szCs w:val="24"/>
        </w:rPr>
      </w:pPr>
      <w:r w:rsidRPr="00FA266A">
        <w:rPr>
          <w:rFonts w:ascii="Arial" w:hAnsi="Arial" w:cs="Arial"/>
          <w:noProof/>
          <w:sz w:val="24"/>
          <w:szCs w:val="24"/>
          <w:lang w:val="es-MX" w:eastAsia="es-MX"/>
        </w:rPr>
        <w:drawing>
          <wp:inline distT="0" distB="0" distL="0" distR="0">
            <wp:extent cx="2733544" cy="8451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4403" cy="851634"/>
                    </a:xfrm>
                    <a:prstGeom prst="rect">
                      <a:avLst/>
                    </a:prstGeom>
                    <a:noFill/>
                    <a:ln>
                      <a:noFill/>
                    </a:ln>
                  </pic:spPr>
                </pic:pic>
              </a:graphicData>
            </a:graphic>
          </wp:inline>
        </w:drawing>
      </w:r>
    </w:p>
    <w:p w:rsidR="00E42294" w:rsidRDefault="00E42294" w:rsidP="00E42294">
      <w:pPr>
        <w:jc w:val="both"/>
        <w:rPr>
          <w:rFonts w:ascii="Arial" w:hAnsi="Arial" w:cs="Arial"/>
          <w:sz w:val="24"/>
          <w:szCs w:val="24"/>
          <w:lang w:val="es-MX"/>
        </w:rPr>
      </w:pPr>
    </w:p>
    <w:p w:rsidR="00FA266A" w:rsidRDefault="00FA266A" w:rsidP="00E42294">
      <w:pPr>
        <w:jc w:val="both"/>
        <w:rPr>
          <w:rFonts w:ascii="Arial" w:hAnsi="Arial" w:cs="Arial"/>
          <w:sz w:val="24"/>
          <w:szCs w:val="24"/>
          <w:lang w:val="es-MX"/>
        </w:rPr>
      </w:pPr>
    </w:p>
    <w:p w:rsidR="00FA266A" w:rsidRDefault="00FA266A" w:rsidP="00E42294">
      <w:pPr>
        <w:jc w:val="both"/>
        <w:rPr>
          <w:rFonts w:ascii="Arial" w:hAnsi="Arial" w:cs="Arial"/>
          <w:sz w:val="24"/>
          <w:szCs w:val="24"/>
          <w:lang w:val="es-MX"/>
        </w:rPr>
      </w:pPr>
    </w:p>
    <w:p w:rsidR="00FA266A" w:rsidRDefault="00FA266A" w:rsidP="00E42294">
      <w:pPr>
        <w:jc w:val="both"/>
        <w:rPr>
          <w:rFonts w:ascii="Arial" w:hAnsi="Arial" w:cs="Arial"/>
          <w:sz w:val="24"/>
          <w:szCs w:val="24"/>
          <w:lang w:val="es-MX"/>
        </w:rPr>
      </w:pPr>
      <w:r w:rsidRPr="00FA266A">
        <w:rPr>
          <w:rFonts w:ascii="Arial" w:hAnsi="Arial" w:cs="Arial"/>
          <w:noProof/>
          <w:sz w:val="24"/>
          <w:szCs w:val="24"/>
          <w:lang w:val="es-MX" w:eastAsia="es-MX"/>
        </w:rPr>
        <w:lastRenderedPageBreak/>
        <w:drawing>
          <wp:inline distT="0" distB="0" distL="0" distR="0">
            <wp:extent cx="5288915" cy="5509911"/>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915" cy="5509911"/>
                    </a:xfrm>
                    <a:prstGeom prst="rect">
                      <a:avLst/>
                    </a:prstGeom>
                    <a:noFill/>
                    <a:ln>
                      <a:noFill/>
                    </a:ln>
                  </pic:spPr>
                </pic:pic>
              </a:graphicData>
            </a:graphic>
          </wp:inline>
        </w:drawing>
      </w:r>
    </w:p>
    <w:p w:rsidR="00E42294" w:rsidRDefault="00E42294" w:rsidP="00E42294">
      <w:pPr>
        <w:jc w:val="both"/>
        <w:rPr>
          <w:rFonts w:ascii="Arial" w:hAnsi="Arial" w:cs="Arial"/>
          <w:sz w:val="24"/>
          <w:szCs w:val="24"/>
          <w:lang w:val="es-MX"/>
        </w:rPr>
      </w:pPr>
    </w:p>
    <w:p w:rsidR="00E42294" w:rsidRDefault="00E42294" w:rsidP="00E42294">
      <w:pPr>
        <w:ind w:firstLine="708"/>
        <w:jc w:val="both"/>
        <w:rPr>
          <w:rFonts w:ascii="Arial" w:hAnsi="Arial" w:cs="Arial"/>
          <w:sz w:val="24"/>
          <w:szCs w:val="24"/>
          <w:lang w:val="es-MX"/>
        </w:rPr>
      </w:pPr>
    </w:p>
    <w:p w:rsidR="00E42294" w:rsidRDefault="00E42294" w:rsidP="00E42294">
      <w:pPr>
        <w:jc w:val="both"/>
        <w:rPr>
          <w:rFonts w:ascii="Arial" w:hAnsi="Arial" w:cs="Arial"/>
          <w:sz w:val="24"/>
          <w:szCs w:val="24"/>
          <w:lang w:val="es-MX"/>
        </w:rPr>
      </w:pPr>
    </w:p>
    <w:p w:rsidR="00FA266A" w:rsidRDefault="00FA266A" w:rsidP="00FA266A">
      <w:pPr>
        <w:jc w:val="both"/>
        <w:rPr>
          <w:rFonts w:ascii="Arial" w:hAnsi="Arial" w:cs="Arial"/>
          <w:sz w:val="24"/>
          <w:szCs w:val="24"/>
          <w:lang w:val="es-MX"/>
        </w:rPr>
      </w:pPr>
      <w:r w:rsidRPr="00FA266A">
        <w:rPr>
          <w:rFonts w:ascii="Arial" w:hAnsi="Arial" w:cs="Arial"/>
          <w:noProof/>
          <w:sz w:val="24"/>
          <w:szCs w:val="24"/>
          <w:lang w:val="es-MX" w:eastAsia="es-MX"/>
        </w:rPr>
        <w:lastRenderedPageBreak/>
        <w:drawing>
          <wp:inline distT="0" distB="0" distL="0" distR="0">
            <wp:extent cx="5288915" cy="5640469"/>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915" cy="5640469"/>
                    </a:xfrm>
                    <a:prstGeom prst="rect">
                      <a:avLst/>
                    </a:prstGeom>
                    <a:noFill/>
                    <a:ln>
                      <a:noFill/>
                    </a:ln>
                  </pic:spPr>
                </pic:pic>
              </a:graphicData>
            </a:graphic>
          </wp:inline>
        </w:drawing>
      </w:r>
    </w:p>
    <w:p w:rsidR="00FA266A" w:rsidRDefault="00FA266A" w:rsidP="00E42294">
      <w:pPr>
        <w:ind w:firstLine="708"/>
        <w:jc w:val="both"/>
        <w:rPr>
          <w:rFonts w:ascii="Arial" w:hAnsi="Arial" w:cs="Arial"/>
          <w:sz w:val="24"/>
          <w:szCs w:val="24"/>
          <w:lang w:val="es-MX"/>
        </w:rPr>
      </w:pPr>
      <w:r w:rsidRPr="00FA266A">
        <w:rPr>
          <w:rFonts w:ascii="Arial" w:hAnsi="Arial" w:cs="Arial"/>
          <w:noProof/>
          <w:sz w:val="24"/>
          <w:szCs w:val="24"/>
          <w:lang w:val="es-MX" w:eastAsia="es-MX"/>
        </w:rPr>
        <w:lastRenderedPageBreak/>
        <w:drawing>
          <wp:inline distT="0" distB="0" distL="0" distR="0">
            <wp:extent cx="3148642" cy="11296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895" cy="1138725"/>
                    </a:xfrm>
                    <a:prstGeom prst="rect">
                      <a:avLst/>
                    </a:prstGeom>
                    <a:noFill/>
                    <a:ln>
                      <a:noFill/>
                    </a:ln>
                  </pic:spPr>
                </pic:pic>
              </a:graphicData>
            </a:graphic>
          </wp:inline>
        </w:drawing>
      </w:r>
    </w:p>
    <w:p w:rsidR="00E42294" w:rsidRPr="003C7A5D" w:rsidRDefault="00E42294" w:rsidP="00E42294">
      <w:pPr>
        <w:ind w:firstLine="708"/>
        <w:jc w:val="both"/>
        <w:rPr>
          <w:rFonts w:ascii="Arial" w:hAnsi="Arial" w:cs="Arial"/>
          <w:sz w:val="24"/>
          <w:szCs w:val="24"/>
        </w:rPr>
      </w:pPr>
    </w:p>
    <w:p w:rsidR="00E42294" w:rsidRPr="00A73D28" w:rsidRDefault="00E42294" w:rsidP="00E42294">
      <w:pPr>
        <w:pStyle w:val="Textoindependiente"/>
        <w:numPr>
          <w:ilvl w:val="0"/>
          <w:numId w:val="6"/>
        </w:numPr>
        <w:suppressAutoHyphens w:val="0"/>
        <w:ind w:left="426" w:hanging="426"/>
        <w:rPr>
          <w:rFonts w:ascii="Arial" w:hAnsi="Arial" w:cs="Arial"/>
          <w:b/>
          <w:sz w:val="24"/>
          <w:szCs w:val="24"/>
          <w:lang w:val="es-MX"/>
        </w:rPr>
      </w:pPr>
      <w:r w:rsidRPr="00A73D28">
        <w:rPr>
          <w:rFonts w:ascii="Arial" w:hAnsi="Arial" w:cs="Arial"/>
          <w:b/>
          <w:sz w:val="24"/>
          <w:szCs w:val="24"/>
          <w:lang w:val="es-MX"/>
        </w:rPr>
        <w:t>Cumplimiento de la Ley General de Contabilidad Gubernamental y de las disposiciones contenidas en los ordenamientos y normativa correspondientes</w:t>
      </w:r>
    </w:p>
    <w:p w:rsidR="00E42294" w:rsidRPr="00A73D28" w:rsidRDefault="00E42294" w:rsidP="00E42294">
      <w:pPr>
        <w:pStyle w:val="Textoindependiente"/>
        <w:rPr>
          <w:rFonts w:ascii="Arial" w:hAnsi="Arial" w:cs="Arial"/>
          <w:sz w:val="2"/>
          <w:szCs w:val="2"/>
          <w:lang w:val="es-MX"/>
        </w:rPr>
      </w:pPr>
    </w:p>
    <w:p w:rsidR="00E42294" w:rsidRPr="00A73D28" w:rsidRDefault="00E42294" w:rsidP="00E42294">
      <w:pPr>
        <w:jc w:val="both"/>
        <w:rPr>
          <w:rFonts w:ascii="Arial" w:hAnsi="Arial" w:cs="Arial"/>
          <w:sz w:val="24"/>
          <w:szCs w:val="24"/>
          <w:lang w:val="es-MX"/>
        </w:rPr>
      </w:pPr>
    </w:p>
    <w:p w:rsidR="00E42294" w:rsidRDefault="00E42294" w:rsidP="00E42294">
      <w:pPr>
        <w:spacing w:line="360" w:lineRule="auto"/>
        <w:ind w:firstLine="709"/>
        <w:jc w:val="both"/>
        <w:rPr>
          <w:rFonts w:ascii="Arial" w:hAnsi="Arial" w:cs="Arial"/>
          <w:sz w:val="24"/>
          <w:szCs w:val="24"/>
          <w:lang w:val="es-MX"/>
        </w:rPr>
      </w:pPr>
      <w:r w:rsidRPr="005420F3">
        <w:rPr>
          <w:rFonts w:ascii="Arial" w:hAnsi="Arial" w:cs="Arial"/>
          <w:sz w:val="24"/>
          <w:szCs w:val="24"/>
          <w:lang w:val="es-MX"/>
        </w:rPr>
        <w:t xml:space="preserve">Con posterioridad a la verificación realizada por esta Auditoría Superior del Estado, con relación a </w:t>
      </w:r>
      <w:r w:rsidRPr="002B2585">
        <w:rPr>
          <w:rFonts w:ascii="Arial" w:hAnsi="Arial" w:cs="Arial"/>
          <w:sz w:val="24"/>
          <w:szCs w:val="24"/>
          <w:lang w:val="es-MX"/>
        </w:rPr>
        <w:t xml:space="preserve">los Estados Financieros que se incluyen en la Cuenta Pública, </w:t>
      </w:r>
      <w:r w:rsidRPr="002B2585">
        <w:rPr>
          <w:rFonts w:ascii="Arial" w:hAnsi="Arial" w:cs="Arial"/>
          <w:bCs/>
          <w:sz w:val="24"/>
          <w:szCs w:val="24"/>
          <w:lang w:val="es-MX"/>
        </w:rPr>
        <w:t>se concluye</w:t>
      </w:r>
      <w:r w:rsidRPr="002B2585">
        <w:rPr>
          <w:rFonts w:ascii="Arial" w:hAnsi="Arial" w:cs="Arial"/>
          <w:sz w:val="24"/>
          <w:szCs w:val="24"/>
          <w:lang w:val="es-MX"/>
        </w:rPr>
        <w:t xml:space="preserve"> que su presentación, está de acuerdo con la Ley General de Contabilidad Gubernamental, normatividad aplicable a este tipo de Ente Público y que se apegó al cumpl</w:t>
      </w:r>
      <w:r>
        <w:rPr>
          <w:rFonts w:ascii="Arial" w:hAnsi="Arial" w:cs="Arial"/>
          <w:sz w:val="24"/>
          <w:szCs w:val="24"/>
          <w:lang w:val="es-MX"/>
        </w:rPr>
        <w:t>imiento de la Ley de Egresos para el</w:t>
      </w:r>
      <w:r w:rsidRPr="002B2585">
        <w:rPr>
          <w:rFonts w:ascii="Arial" w:hAnsi="Arial" w:cs="Arial"/>
          <w:sz w:val="24"/>
          <w:szCs w:val="24"/>
          <w:lang w:val="es-MX"/>
        </w:rPr>
        <w:t xml:space="preserve"> Estado de Nuevo </w:t>
      </w:r>
      <w:r>
        <w:rPr>
          <w:rFonts w:ascii="Arial" w:hAnsi="Arial" w:cs="Arial"/>
          <w:sz w:val="24"/>
          <w:szCs w:val="24"/>
          <w:lang w:val="es-MX"/>
        </w:rPr>
        <w:t>León y demás o</w:t>
      </w:r>
      <w:r w:rsidRPr="00204922">
        <w:rPr>
          <w:rFonts w:ascii="Arial" w:hAnsi="Arial" w:cs="Arial"/>
          <w:sz w:val="24"/>
          <w:szCs w:val="24"/>
          <w:lang w:val="es-MX"/>
        </w:rPr>
        <w:t>rdenamientos aplicables en la materia</w:t>
      </w:r>
      <w:r>
        <w:rPr>
          <w:rFonts w:ascii="Arial" w:hAnsi="Arial" w:cs="Arial"/>
          <w:sz w:val="24"/>
          <w:szCs w:val="24"/>
          <w:lang w:val="es-MX"/>
        </w:rPr>
        <w:t>.</w:t>
      </w:r>
    </w:p>
    <w:p w:rsidR="00E42294" w:rsidRPr="002B0DF8" w:rsidRDefault="00E42294" w:rsidP="00E42294">
      <w:pPr>
        <w:spacing w:line="360" w:lineRule="auto"/>
        <w:ind w:firstLine="709"/>
        <w:jc w:val="both"/>
        <w:rPr>
          <w:rFonts w:ascii="Arial" w:hAnsi="Arial" w:cs="Arial"/>
          <w:color w:val="000000" w:themeColor="text1"/>
          <w:sz w:val="24"/>
          <w:szCs w:val="24"/>
        </w:rPr>
      </w:pPr>
      <w:r w:rsidRPr="002B0DF8">
        <w:rPr>
          <w:rFonts w:ascii="Arial" w:hAnsi="Arial" w:cs="Arial"/>
          <w:color w:val="000000" w:themeColor="text1"/>
          <w:sz w:val="24"/>
          <w:szCs w:val="24"/>
        </w:rPr>
        <w:t xml:space="preserve"> </w:t>
      </w:r>
    </w:p>
    <w:p w:rsidR="00E42294" w:rsidRPr="00A73D28" w:rsidRDefault="00E42294" w:rsidP="00E42294">
      <w:pPr>
        <w:pStyle w:val="Textoindependiente"/>
        <w:numPr>
          <w:ilvl w:val="0"/>
          <w:numId w:val="6"/>
        </w:numPr>
        <w:suppressAutoHyphens w:val="0"/>
        <w:ind w:left="360"/>
        <w:rPr>
          <w:rFonts w:ascii="Arial" w:hAnsi="Arial" w:cs="Arial"/>
          <w:b/>
          <w:sz w:val="24"/>
          <w:szCs w:val="24"/>
          <w:lang w:val="es-MX"/>
        </w:rPr>
      </w:pPr>
      <w:r w:rsidRPr="00A73D28">
        <w:rPr>
          <w:rFonts w:ascii="Arial" w:hAnsi="Arial" w:cs="Arial"/>
          <w:b/>
          <w:sz w:val="24"/>
          <w:szCs w:val="24"/>
          <w:lang w:val="es-MX"/>
        </w:rPr>
        <w:t>La evaluación del avance o cumplimiento de los programas y subprogramas aprobados</w:t>
      </w:r>
      <w:r>
        <w:rPr>
          <w:rFonts w:ascii="Arial" w:hAnsi="Arial" w:cs="Arial"/>
          <w:b/>
          <w:sz w:val="24"/>
          <w:szCs w:val="24"/>
          <w:lang w:val="es-MX"/>
        </w:rPr>
        <w:t>.</w:t>
      </w:r>
    </w:p>
    <w:p w:rsidR="00E42294" w:rsidRDefault="00E42294" w:rsidP="00E42294">
      <w:pPr>
        <w:pStyle w:val="Textoindependiente"/>
        <w:rPr>
          <w:rFonts w:ascii="Arial" w:hAnsi="Arial" w:cs="Arial"/>
          <w:sz w:val="24"/>
          <w:szCs w:val="24"/>
          <w:lang w:val="es-MX"/>
        </w:rPr>
      </w:pPr>
    </w:p>
    <w:p w:rsidR="00E42294" w:rsidRDefault="00E42294" w:rsidP="00E42294">
      <w:pPr>
        <w:pStyle w:val="Textoindependiente"/>
        <w:spacing w:line="360" w:lineRule="auto"/>
        <w:ind w:firstLine="708"/>
        <w:rPr>
          <w:rFonts w:ascii="Arial" w:hAnsi="Arial" w:cs="Arial"/>
          <w:sz w:val="24"/>
          <w:szCs w:val="24"/>
          <w:lang w:val="es-MX"/>
        </w:rPr>
      </w:pPr>
      <w:r w:rsidRPr="002235DC">
        <w:rPr>
          <w:rFonts w:ascii="Arial" w:hAnsi="Arial" w:cs="Arial"/>
          <w:sz w:val="24"/>
          <w:szCs w:val="24"/>
          <w:lang w:val="es-MX"/>
        </w:rPr>
        <w:t>Los indicadores de gestión determinados por la administración del Ente Público son los siguientes</w:t>
      </w:r>
      <w:r>
        <w:rPr>
          <w:rFonts w:ascii="Arial" w:hAnsi="Arial" w:cs="Arial"/>
          <w:sz w:val="24"/>
          <w:szCs w:val="24"/>
          <w:lang w:val="es-MX"/>
        </w:rPr>
        <w:t>:</w:t>
      </w:r>
    </w:p>
    <w:p w:rsidR="00FA266A" w:rsidRDefault="00FA266A" w:rsidP="00E42294">
      <w:pPr>
        <w:pStyle w:val="Textoindependiente"/>
        <w:spacing w:line="360" w:lineRule="auto"/>
        <w:ind w:firstLine="708"/>
        <w:rPr>
          <w:rFonts w:ascii="Arial" w:hAnsi="Arial" w:cs="Arial"/>
          <w:sz w:val="24"/>
          <w:szCs w:val="24"/>
          <w:lang w:val="es-MX"/>
        </w:rPr>
      </w:pPr>
    </w:p>
    <w:p w:rsidR="00FA266A" w:rsidRDefault="00FA266A" w:rsidP="00E42294">
      <w:pPr>
        <w:pStyle w:val="Textoindependiente"/>
        <w:spacing w:line="360" w:lineRule="auto"/>
        <w:ind w:firstLine="708"/>
        <w:rPr>
          <w:rFonts w:ascii="Arial" w:hAnsi="Arial" w:cs="Arial"/>
          <w:sz w:val="24"/>
          <w:szCs w:val="24"/>
          <w:lang w:val="es-MX"/>
        </w:rPr>
      </w:pPr>
      <w:r w:rsidRPr="00FA266A">
        <w:rPr>
          <w:rFonts w:ascii="Arial" w:hAnsi="Arial" w:cs="Arial"/>
          <w:noProof/>
          <w:sz w:val="24"/>
          <w:szCs w:val="24"/>
          <w:lang w:val="es-MX" w:eastAsia="es-MX"/>
        </w:rPr>
        <w:lastRenderedPageBreak/>
        <w:drawing>
          <wp:inline distT="0" distB="0" distL="0" distR="0">
            <wp:extent cx="5288915" cy="2623888"/>
            <wp:effectExtent l="0" t="0" r="6985"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8915" cy="2623888"/>
                    </a:xfrm>
                    <a:prstGeom prst="rect">
                      <a:avLst/>
                    </a:prstGeom>
                    <a:noFill/>
                    <a:ln>
                      <a:noFill/>
                    </a:ln>
                  </pic:spPr>
                </pic:pic>
              </a:graphicData>
            </a:graphic>
          </wp:inline>
        </w:drawing>
      </w:r>
    </w:p>
    <w:p w:rsidR="00FA266A" w:rsidRDefault="00FA266A" w:rsidP="00FA266A">
      <w:pPr>
        <w:pStyle w:val="Prrafodelista"/>
        <w:contextualSpacing/>
        <w:jc w:val="both"/>
        <w:rPr>
          <w:rFonts w:ascii="Arial" w:eastAsia="Times New Roman" w:hAnsi="Arial" w:cs="Arial"/>
          <w:sz w:val="24"/>
          <w:szCs w:val="24"/>
          <w:lang w:val="es-MX" w:eastAsia="ar-SA"/>
        </w:rPr>
      </w:pPr>
    </w:p>
    <w:p w:rsidR="00E42294" w:rsidRPr="00A32881" w:rsidRDefault="00E42294" w:rsidP="00FA266A">
      <w:pPr>
        <w:pStyle w:val="Prrafodelista"/>
        <w:contextualSpacing/>
        <w:jc w:val="both"/>
        <w:rPr>
          <w:rFonts w:ascii="Arial" w:hAnsi="Arial" w:cs="Arial"/>
          <w:sz w:val="24"/>
        </w:rPr>
      </w:pPr>
      <w:r w:rsidRPr="00A32881">
        <w:rPr>
          <w:rFonts w:ascii="Arial" w:eastAsia="Times New Roman" w:hAnsi="Arial" w:cs="Arial"/>
          <w:b/>
          <w:bCs/>
          <w:color w:val="000000"/>
          <w:sz w:val="24"/>
          <w:szCs w:val="24"/>
          <w:lang w:eastAsia="es-MX"/>
        </w:rPr>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eastAsia="Times New Roman" w:hAnsi="Arial" w:cs="Arial"/>
          <w:b/>
          <w:bCs/>
          <w:color w:val="000000"/>
          <w:sz w:val="24"/>
          <w:szCs w:val="24"/>
          <w:lang w:eastAsia="es-MX"/>
        </w:rPr>
        <w:t>.</w:t>
      </w:r>
    </w:p>
    <w:p w:rsidR="00E42294" w:rsidRDefault="00E42294" w:rsidP="00E42294">
      <w:pPr>
        <w:contextualSpacing/>
        <w:jc w:val="both"/>
        <w:rPr>
          <w:rFonts w:ascii="Arial" w:hAnsi="Arial" w:cs="Arial"/>
          <w:b/>
          <w:sz w:val="24"/>
        </w:rPr>
      </w:pPr>
    </w:p>
    <w:p w:rsidR="00E42294" w:rsidRPr="00A903BE" w:rsidRDefault="00E42294" w:rsidP="00E42294">
      <w:pPr>
        <w:contextualSpacing/>
        <w:jc w:val="both"/>
        <w:rPr>
          <w:rFonts w:ascii="Arial" w:hAnsi="Arial" w:cs="Arial"/>
          <w:b/>
          <w:sz w:val="24"/>
          <w:szCs w:val="24"/>
        </w:rPr>
      </w:pPr>
      <w:r w:rsidRPr="00A903BE">
        <w:rPr>
          <w:rFonts w:ascii="Arial" w:hAnsi="Arial" w:cs="Arial"/>
          <w:b/>
          <w:sz w:val="24"/>
          <w:szCs w:val="24"/>
        </w:rPr>
        <w:t>GESTIÓN FINANCIERA</w:t>
      </w:r>
    </w:p>
    <w:p w:rsidR="00FA266A" w:rsidRDefault="00FA266A" w:rsidP="00E42294">
      <w:pPr>
        <w:contextualSpacing/>
        <w:jc w:val="both"/>
        <w:rPr>
          <w:rFonts w:ascii="Arial" w:hAnsi="Arial" w:cs="Arial"/>
          <w:b/>
          <w:sz w:val="24"/>
          <w:szCs w:val="24"/>
          <w:u w:val="single"/>
        </w:rPr>
      </w:pPr>
    </w:p>
    <w:p w:rsidR="00E42294" w:rsidRPr="00A903BE" w:rsidRDefault="00E42294" w:rsidP="00E42294">
      <w:pPr>
        <w:contextualSpacing/>
        <w:jc w:val="both"/>
        <w:rPr>
          <w:rFonts w:ascii="Arial" w:hAnsi="Arial" w:cs="Arial"/>
          <w:b/>
          <w:sz w:val="24"/>
          <w:szCs w:val="24"/>
          <w:u w:val="single"/>
        </w:rPr>
      </w:pPr>
      <w:r w:rsidRPr="00A903BE">
        <w:rPr>
          <w:rFonts w:ascii="Arial" w:hAnsi="Arial" w:cs="Arial"/>
          <w:b/>
          <w:sz w:val="24"/>
          <w:szCs w:val="24"/>
          <w:u w:val="single"/>
        </w:rPr>
        <w:t>Ley General de Contabilidad Gubernamental</w:t>
      </w:r>
    </w:p>
    <w:p w:rsidR="00E42294" w:rsidRPr="00A903BE" w:rsidRDefault="00E42294" w:rsidP="00E42294">
      <w:pPr>
        <w:contextualSpacing/>
        <w:jc w:val="both"/>
        <w:rPr>
          <w:rFonts w:ascii="Arial" w:hAnsi="Arial" w:cs="Arial"/>
          <w:b/>
          <w:sz w:val="24"/>
          <w:szCs w:val="24"/>
          <w:u w:val="single"/>
        </w:rPr>
      </w:pPr>
    </w:p>
    <w:p w:rsidR="00FA266A" w:rsidRPr="00FA266A" w:rsidRDefault="00E42294" w:rsidP="00FA266A">
      <w:pPr>
        <w:spacing w:line="360" w:lineRule="auto"/>
        <w:contextualSpacing/>
        <w:jc w:val="both"/>
        <w:rPr>
          <w:rFonts w:ascii="Arial" w:eastAsia="Times New Roman" w:hAnsi="Arial" w:cs="Arial"/>
          <w:sz w:val="24"/>
          <w:szCs w:val="24"/>
          <w:lang w:eastAsia="es-MX"/>
        </w:rPr>
      </w:pPr>
      <w:r w:rsidRPr="00A903BE">
        <w:rPr>
          <w:rFonts w:ascii="Arial" w:hAnsi="Arial" w:cs="Arial"/>
          <w:sz w:val="24"/>
          <w:szCs w:val="24"/>
        </w:rPr>
        <w:t>1.</w:t>
      </w:r>
      <w:r w:rsidR="00FA266A">
        <w:rPr>
          <w:rFonts w:ascii="Arial" w:hAnsi="Arial" w:cs="Arial"/>
          <w:sz w:val="24"/>
          <w:szCs w:val="24"/>
        </w:rPr>
        <w:t xml:space="preserve"> </w:t>
      </w:r>
      <w:r w:rsidRPr="00A903BE">
        <w:rPr>
          <w:rFonts w:ascii="Arial" w:eastAsia="Times New Roman" w:hAnsi="Arial" w:cs="Arial"/>
          <w:sz w:val="24"/>
          <w:szCs w:val="24"/>
          <w:lang w:eastAsia="es-MX"/>
        </w:rPr>
        <w:t xml:space="preserve"> </w:t>
      </w:r>
      <w:r w:rsidR="00FA266A" w:rsidRPr="00FA266A">
        <w:rPr>
          <w:rFonts w:ascii="Arial" w:eastAsia="Times New Roman" w:hAnsi="Arial" w:cs="Arial"/>
          <w:sz w:val="24"/>
          <w:szCs w:val="24"/>
          <w:lang w:eastAsia="es-MX"/>
        </w:rPr>
        <w:t>Se revisó la observancia de la Ley General de Contabilidad Gubernamental (LGCG) y la normatividad emitida por el Consejo Nacional de Armonización Contable (</w:t>
      </w:r>
      <w:proofErr w:type="spellStart"/>
      <w:r w:rsidR="00FA266A" w:rsidRPr="00FA266A">
        <w:rPr>
          <w:rFonts w:ascii="Arial" w:eastAsia="Times New Roman" w:hAnsi="Arial" w:cs="Arial"/>
          <w:sz w:val="24"/>
          <w:szCs w:val="24"/>
          <w:lang w:eastAsia="es-MX"/>
        </w:rPr>
        <w:t>Conac</w:t>
      </w:r>
      <w:proofErr w:type="spellEnd"/>
      <w:r w:rsidR="00FA266A" w:rsidRPr="00FA266A">
        <w:rPr>
          <w:rFonts w:ascii="Arial" w:eastAsia="Times New Roman" w:hAnsi="Arial" w:cs="Arial"/>
          <w:sz w:val="24"/>
          <w:szCs w:val="24"/>
          <w:lang w:eastAsia="es-MX"/>
        </w:rPr>
        <w:t>), advirtiéndose incumplimientos por parte del Ente Público, a las obligaciones que diversos preceptos de la referida Ley le imponen, acorde con lo que se enuncia a continuación:</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I.</w:t>
      </w:r>
      <w:r>
        <w:rPr>
          <w:rFonts w:ascii="Arial" w:eastAsia="Times New Roman" w:hAnsi="Arial" w:cs="Arial"/>
          <w:sz w:val="24"/>
          <w:szCs w:val="24"/>
          <w:lang w:eastAsia="es-MX"/>
        </w:rPr>
        <w:t xml:space="preserve"> </w:t>
      </w:r>
      <w:r w:rsidRPr="00FA266A">
        <w:rPr>
          <w:rFonts w:ascii="Arial" w:eastAsia="Times New Roman" w:hAnsi="Arial" w:cs="Arial"/>
          <w:sz w:val="24"/>
          <w:szCs w:val="24"/>
          <w:lang w:eastAsia="es-MX"/>
        </w:rPr>
        <w:t>Registros contables</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a) </w:t>
      </w:r>
      <w:r w:rsidRPr="00FA266A">
        <w:rPr>
          <w:rFonts w:ascii="Arial" w:eastAsia="Times New Roman" w:hAnsi="Arial" w:cs="Arial"/>
          <w:sz w:val="24"/>
          <w:szCs w:val="24"/>
          <w:lang w:eastAsia="es-MX"/>
        </w:rPr>
        <w:t xml:space="preserve">Establecer una lista de cuentas alineadas al plan de cuentas emitido por el </w:t>
      </w:r>
      <w:proofErr w:type="spellStart"/>
      <w:r w:rsidRPr="00FA266A">
        <w:rPr>
          <w:rFonts w:ascii="Arial" w:eastAsia="Times New Roman" w:hAnsi="Arial" w:cs="Arial"/>
          <w:sz w:val="24"/>
          <w:szCs w:val="24"/>
          <w:lang w:eastAsia="es-MX"/>
        </w:rPr>
        <w:t>Conac</w:t>
      </w:r>
      <w:proofErr w:type="spellEnd"/>
      <w:r w:rsidRPr="00FA266A">
        <w:rPr>
          <w:rFonts w:ascii="Arial" w:eastAsia="Times New Roman" w:hAnsi="Arial" w:cs="Arial"/>
          <w:sz w:val="24"/>
          <w:szCs w:val="24"/>
          <w:lang w:eastAsia="es-MX"/>
        </w:rPr>
        <w:t xml:space="preserve"> (artículo 37).</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 </w:t>
      </w:r>
      <w:r w:rsidRPr="00FA266A">
        <w:rPr>
          <w:rFonts w:ascii="Arial" w:eastAsia="Times New Roman" w:hAnsi="Arial" w:cs="Arial"/>
          <w:sz w:val="24"/>
          <w:szCs w:val="24"/>
          <w:lang w:eastAsia="es-MX"/>
        </w:rPr>
        <w:t>Contar con manuales de contabilidad (artículo 20).</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 </w:t>
      </w:r>
      <w:r w:rsidRPr="00FA266A">
        <w:rPr>
          <w:rFonts w:ascii="Arial" w:eastAsia="Times New Roman" w:hAnsi="Arial" w:cs="Arial"/>
          <w:sz w:val="24"/>
          <w:szCs w:val="24"/>
          <w:lang w:eastAsia="es-MX"/>
        </w:rPr>
        <w:t>Registrar en cuentas específicas de activo los bienes muebles e inmuebles (artículos 23 y 24 conforme a las Reglas específicas de registro y valoración del patrimonio).</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 </w:t>
      </w:r>
      <w:r w:rsidRPr="00FA266A">
        <w:rPr>
          <w:rFonts w:ascii="Arial" w:eastAsia="Times New Roman" w:hAnsi="Arial" w:cs="Arial"/>
          <w:sz w:val="24"/>
          <w:szCs w:val="24"/>
          <w:lang w:eastAsia="es-MX"/>
        </w:rPr>
        <w:t>Realizar los registros contables con base acumulativa, el gasto conforme a su fecha de realización y el ingreso cuando exista jurídicamente el derecho de cobro (artículo 34, conforme a Normas y metodología para la determinación de los momentos contables de los ingresos y Normas y metodología para la determinación de los momentos contables de los egresos).</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 </w:t>
      </w:r>
      <w:r w:rsidRPr="00FA266A">
        <w:rPr>
          <w:rFonts w:ascii="Arial" w:eastAsia="Times New Roman" w:hAnsi="Arial" w:cs="Arial"/>
          <w:sz w:val="24"/>
          <w:szCs w:val="24"/>
          <w:lang w:eastAsia="es-MX"/>
        </w:rPr>
        <w:t>Mantener un registro histórico de sus operaciones en los libros diario, mayor e inventarios y balances (artículo 35 y cuarto transitorio del decreto por el que se expide la LGCG publicado en el Diario Oficial de la Federación el 31 de diciembre de 2008, conforme a los Lineamientos mínimos relativos al diseño e integración del registro en los libros diario, mayor e inventarios y balances, registro electrónico).</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f) </w:t>
      </w:r>
      <w:r w:rsidRPr="00FA266A">
        <w:rPr>
          <w:rFonts w:ascii="Arial" w:eastAsia="Times New Roman" w:hAnsi="Arial" w:cs="Arial"/>
          <w:sz w:val="24"/>
          <w:szCs w:val="24"/>
          <w:lang w:eastAsia="es-MX"/>
        </w:rPr>
        <w:t>Constituir provisiones, revisarlas y ajustarlas periódicamente para mantener su vigencia (artículo 39).</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g) </w:t>
      </w:r>
      <w:r w:rsidRPr="00FA266A">
        <w:rPr>
          <w:rFonts w:ascii="Arial" w:eastAsia="Times New Roman" w:hAnsi="Arial" w:cs="Arial"/>
          <w:sz w:val="24"/>
          <w:szCs w:val="24"/>
          <w:lang w:eastAsia="es-MX"/>
        </w:rPr>
        <w:t>Disponer de las matrices de conversión con las características señaladas en los artículos 40 y 41, (artículo cuarto transitorio del decreto por el que se expide la LGCG publicado en el Diario Oficial de la Federación el 31 de diciembre de 2008).</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II.</w:t>
      </w:r>
      <w:r>
        <w:rPr>
          <w:rFonts w:ascii="Arial" w:eastAsia="Times New Roman" w:hAnsi="Arial" w:cs="Arial"/>
          <w:sz w:val="24"/>
          <w:szCs w:val="24"/>
          <w:lang w:eastAsia="es-MX"/>
        </w:rPr>
        <w:t xml:space="preserve"> </w:t>
      </w:r>
      <w:r w:rsidRPr="00FA266A">
        <w:rPr>
          <w:rFonts w:ascii="Arial" w:eastAsia="Times New Roman" w:hAnsi="Arial" w:cs="Arial"/>
          <w:sz w:val="24"/>
          <w:szCs w:val="24"/>
          <w:lang w:eastAsia="es-MX"/>
        </w:rPr>
        <w:t>Registros presupuestarios</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w:t>
      </w:r>
      <w:r w:rsidRPr="00FA266A">
        <w:rPr>
          <w:rFonts w:ascii="Arial" w:eastAsia="Times New Roman" w:hAnsi="Arial" w:cs="Arial"/>
          <w:sz w:val="24"/>
          <w:szCs w:val="24"/>
          <w:lang w:eastAsia="es-MX"/>
        </w:rPr>
        <w:t>Disponer de clasificadores presupuestarios armonizados, que permitan su interrelación automática (artículo 41, conforme a los clasificadores).</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a.1. Clasificador por rubro de ingresos.</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a.2. Clasificador por objeto del gasto.</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a.3. Clasificador por tipo del gasto.</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a.4. Clasificación funcional del gasto.</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a.5. Clasificación programática.</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a.6. Clasificación administrativa.</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a.7. Clasificador por fuente de financiamiento.</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 </w:t>
      </w:r>
      <w:r w:rsidRPr="00FA266A">
        <w:rPr>
          <w:rFonts w:ascii="Arial" w:eastAsia="Times New Roman" w:hAnsi="Arial" w:cs="Arial"/>
          <w:sz w:val="24"/>
          <w:szCs w:val="24"/>
          <w:lang w:eastAsia="es-MX"/>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c) </w:t>
      </w:r>
      <w:r w:rsidRPr="00FA266A">
        <w:rPr>
          <w:rFonts w:ascii="Arial" w:eastAsia="Times New Roman" w:hAnsi="Arial" w:cs="Arial"/>
          <w:sz w:val="24"/>
          <w:szCs w:val="24"/>
          <w:lang w:eastAsia="es-MX"/>
        </w:rPr>
        <w:t>Exhibir en los registros auxiliares los avances presupuestarios y contables (artículo 36).</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 </w:t>
      </w:r>
      <w:r w:rsidRPr="00FA266A">
        <w:rPr>
          <w:rFonts w:ascii="Arial" w:eastAsia="Times New Roman" w:hAnsi="Arial" w:cs="Arial"/>
          <w:sz w:val="24"/>
          <w:szCs w:val="24"/>
          <w:lang w:eastAsia="es-MX"/>
        </w:rPr>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 </w:t>
      </w:r>
      <w:r w:rsidRPr="00FA266A">
        <w:rPr>
          <w:rFonts w:ascii="Arial" w:eastAsia="Times New Roman" w:hAnsi="Arial" w:cs="Arial"/>
          <w:sz w:val="24"/>
          <w:szCs w:val="24"/>
          <w:lang w:eastAsia="es-MX"/>
        </w:rPr>
        <w:t>El sistema interrelaciona de manera automática los clasificadores presupuestarios y lista de cuenta (artículos 19, fracción III y IV y 41, conforme al Acuerdo por el que se determina la norma de información financiera para precisar los alcances del Acuerdo 1 aprobado por el Consejo Nacional de Armonización Contable, en reunión del 3 de mayo de 2013 y publicado el 16 de mayo de 2013).</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f) </w:t>
      </w:r>
      <w:r w:rsidRPr="00FA266A">
        <w:rPr>
          <w:rFonts w:ascii="Arial" w:eastAsia="Times New Roman" w:hAnsi="Arial" w:cs="Arial"/>
          <w:sz w:val="24"/>
          <w:szCs w:val="24"/>
          <w:lang w:eastAsia="es-MX"/>
        </w:rPr>
        <w:t>Generar estados financieros en tiempo real (artículo 19, fracción V, VI y Sexto transitorio, conforme al Acuerdo por el que se determina la norma de información financiera para precisar los alcances del Acuerdo 1 aprobado por el Consejo Nacional de Armonización Contable, en reunión del 3 de mayo de 2013 y publicado el 16 de mayo de 2013).</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III.</w:t>
      </w:r>
      <w:r>
        <w:rPr>
          <w:rFonts w:ascii="Arial" w:eastAsia="Times New Roman" w:hAnsi="Arial" w:cs="Arial"/>
          <w:sz w:val="24"/>
          <w:szCs w:val="24"/>
          <w:lang w:eastAsia="es-MX"/>
        </w:rPr>
        <w:t xml:space="preserve"> </w:t>
      </w:r>
      <w:r w:rsidRPr="00FA266A">
        <w:rPr>
          <w:rFonts w:ascii="Arial" w:eastAsia="Times New Roman" w:hAnsi="Arial" w:cs="Arial"/>
          <w:sz w:val="24"/>
          <w:szCs w:val="24"/>
          <w:lang w:eastAsia="es-MX"/>
        </w:rPr>
        <w:t>Registros administrativos</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a) </w:t>
      </w:r>
      <w:r w:rsidRPr="00FA266A">
        <w:rPr>
          <w:rFonts w:ascii="Arial" w:eastAsia="Times New Roman" w:hAnsi="Arial" w:cs="Arial"/>
          <w:sz w:val="24"/>
          <w:szCs w:val="24"/>
          <w:lang w:eastAsia="es-MX"/>
        </w:rPr>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 </w:t>
      </w:r>
      <w:r w:rsidRPr="00FA266A">
        <w:rPr>
          <w:rFonts w:ascii="Arial" w:eastAsia="Times New Roman" w:hAnsi="Arial" w:cs="Arial"/>
          <w:sz w:val="24"/>
          <w:szCs w:val="24"/>
          <w:lang w:eastAsia="es-MX"/>
        </w:rPr>
        <w:t>Respaldar la contabilización de las operaciones presupuestarias y contables con la documentación original que compruebe y justifique los registros que se efectúen (artículo 42).</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 </w:t>
      </w:r>
      <w:r w:rsidRPr="00FA266A">
        <w:rPr>
          <w:rFonts w:ascii="Arial" w:eastAsia="Times New Roman" w:hAnsi="Arial" w:cs="Arial"/>
          <w:sz w:val="24"/>
          <w:szCs w:val="24"/>
          <w:lang w:eastAsia="es-MX"/>
        </w:rPr>
        <w:t>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permita la interrelación automática con el clasificador por objeto del gasto y la lista de cuentas).</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IV.</w:t>
      </w:r>
      <w:r>
        <w:rPr>
          <w:rFonts w:ascii="Arial" w:eastAsia="Times New Roman" w:hAnsi="Arial" w:cs="Arial"/>
          <w:sz w:val="24"/>
          <w:szCs w:val="24"/>
          <w:lang w:eastAsia="es-MX"/>
        </w:rPr>
        <w:t xml:space="preserve"> </w:t>
      </w:r>
      <w:r w:rsidRPr="00FA266A">
        <w:rPr>
          <w:rFonts w:ascii="Arial" w:eastAsia="Times New Roman" w:hAnsi="Arial" w:cs="Arial"/>
          <w:sz w:val="24"/>
          <w:szCs w:val="24"/>
          <w:lang w:eastAsia="es-MX"/>
        </w:rPr>
        <w:t>Cuenta pública</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ente público y características de sus notas y el Manual de contabilidad gubernamental, la cual debe contener:</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a) </w:t>
      </w:r>
      <w:r w:rsidRPr="00FA266A">
        <w:rPr>
          <w:rFonts w:ascii="Arial" w:eastAsia="Times New Roman" w:hAnsi="Arial" w:cs="Arial"/>
          <w:sz w:val="24"/>
          <w:szCs w:val="24"/>
          <w:lang w:eastAsia="es-MX"/>
        </w:rPr>
        <w:t>Información contable</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a.1. Informe sobre pasivos contingentes.</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 </w:t>
      </w:r>
      <w:r w:rsidRPr="00FA266A">
        <w:rPr>
          <w:rFonts w:ascii="Arial" w:eastAsia="Times New Roman" w:hAnsi="Arial" w:cs="Arial"/>
          <w:sz w:val="24"/>
          <w:szCs w:val="24"/>
          <w:lang w:eastAsia="es-MX"/>
        </w:rPr>
        <w:t>Información presupuestaria</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b.1. Estado analítico de ingresos del que se derivará la presentación en clasificación económica por fuente de financiamiento y concepto, incluyendo los ingresos excedentes generados.</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b.2. Estado analítico del ejercicio del presupuesto de egresos en clasificación por objeto del gasto.</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b.3. Estado analítico del ejercicio del presupuesto de egresos en clasificación económica (por tipo de gasto).</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b.4. Estado analítico del ejercicio del presupuesto de egresos en clasificación funcional.</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b.5. Estado analítico del ejercicio del presupuesto de egresos en clasificación administrativa.</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 </w:t>
      </w:r>
      <w:r w:rsidRPr="00FA266A">
        <w:rPr>
          <w:rFonts w:ascii="Arial" w:eastAsia="Times New Roman" w:hAnsi="Arial" w:cs="Arial"/>
          <w:sz w:val="24"/>
          <w:szCs w:val="24"/>
          <w:lang w:eastAsia="es-MX"/>
        </w:rPr>
        <w:t>Información programática</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c.1. Gasto por categoría programática</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c.2. Programas y proyectos de inversión</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c.3. Indicadores de resultados.</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 </w:t>
      </w:r>
      <w:r w:rsidRPr="00FA266A">
        <w:rPr>
          <w:rFonts w:ascii="Arial" w:eastAsia="Times New Roman" w:hAnsi="Arial" w:cs="Arial"/>
          <w:sz w:val="24"/>
          <w:szCs w:val="24"/>
          <w:lang w:eastAsia="es-MX"/>
        </w:rPr>
        <w:t>Anexos (Información adicional)</w:t>
      </w:r>
    </w:p>
    <w:p w:rsidR="00FA266A" w:rsidRP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d.1. Relación de los bienes que componen su patrimonio (artículo 23, último párrafo).</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d.2. La información financiera, presupuestaria, programática y contable, es la base para la elaboración de la cuenta pública (artículo 52, párrafo primero).</w:t>
      </w: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d.3. Se relaciona la información presupuestaria y programática con los objetivos y prioridades de la planeación del desarrollo, que forme parte de la cuenta pública, así como los resultados de la evaluación del desempeño (artículo 54, párrafo primero).</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sz w:val="24"/>
          <w:szCs w:val="24"/>
          <w:lang w:eastAsia="es-MX"/>
        </w:rPr>
      </w:pPr>
      <w:r w:rsidRPr="00FA266A">
        <w:rPr>
          <w:rFonts w:ascii="Arial" w:eastAsia="Times New Roman" w:hAnsi="Arial" w:cs="Arial"/>
          <w:sz w:val="24"/>
          <w:szCs w:val="24"/>
          <w:lang w:eastAsia="es-MX"/>
        </w:rPr>
        <w:t>V.</w:t>
      </w:r>
      <w:r>
        <w:rPr>
          <w:rFonts w:ascii="Arial" w:eastAsia="Times New Roman" w:hAnsi="Arial" w:cs="Arial"/>
          <w:sz w:val="24"/>
          <w:szCs w:val="24"/>
          <w:lang w:eastAsia="es-MX"/>
        </w:rPr>
        <w:t xml:space="preserve"> </w:t>
      </w:r>
      <w:r w:rsidRPr="00FA266A">
        <w:rPr>
          <w:rFonts w:ascii="Arial" w:eastAsia="Times New Roman" w:hAnsi="Arial" w:cs="Arial"/>
          <w:sz w:val="24"/>
          <w:szCs w:val="24"/>
          <w:lang w:eastAsia="es-MX"/>
        </w:rPr>
        <w:t>Transparencia</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w:t>
      </w:r>
      <w:r w:rsidRPr="00FA266A">
        <w:rPr>
          <w:rFonts w:ascii="Arial" w:eastAsia="Times New Roman" w:hAnsi="Arial" w:cs="Arial"/>
          <w:sz w:val="24"/>
          <w:szCs w:val="24"/>
          <w:lang w:eastAsia="es-MX"/>
        </w:rPr>
        <w:t>Publicar el inventario de los bienes (artículo 27, conforme al Acuerdo por el que se determina la norma para establecer la estructura del formato de la relación de bienes que componen el patrimonio del ente público).</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Pr="00FA266A" w:rsidRDefault="00FA266A" w:rsidP="00FA266A">
      <w:pPr>
        <w:spacing w:line="360" w:lineRule="auto"/>
        <w:contextualSpacing/>
        <w:jc w:val="both"/>
        <w:rPr>
          <w:rFonts w:ascii="Arial" w:eastAsia="Times New Roman" w:hAnsi="Arial" w:cs="Arial"/>
          <w:b/>
          <w:sz w:val="24"/>
          <w:szCs w:val="24"/>
          <w:lang w:eastAsia="es-MX"/>
        </w:rPr>
      </w:pPr>
      <w:r w:rsidRPr="00FA266A">
        <w:rPr>
          <w:rFonts w:ascii="Arial" w:eastAsia="Times New Roman" w:hAnsi="Arial" w:cs="Arial"/>
          <w:b/>
          <w:sz w:val="24"/>
          <w:szCs w:val="24"/>
          <w:lang w:eastAsia="es-MX"/>
        </w:rPr>
        <w:t>Análisis de la Auditoría Superior del Estado</w:t>
      </w:r>
    </w:p>
    <w:p w:rsidR="00FA266A" w:rsidRDefault="00FA266A" w:rsidP="00FA266A">
      <w:pPr>
        <w:spacing w:line="360" w:lineRule="auto"/>
        <w:contextualSpacing/>
        <w:jc w:val="both"/>
        <w:rPr>
          <w:rFonts w:ascii="Arial" w:eastAsia="Times New Roman" w:hAnsi="Arial" w:cs="Arial"/>
          <w:sz w:val="24"/>
          <w:szCs w:val="24"/>
          <w:lang w:eastAsia="es-MX"/>
        </w:rPr>
      </w:pPr>
    </w:p>
    <w:p w:rsidR="00FA266A" w:rsidRDefault="00FA266A" w:rsidP="00FA266A">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La Auditoría analizó la</w:t>
      </w:r>
      <w:r w:rsidRPr="00FA266A">
        <w:rPr>
          <w:rFonts w:ascii="Arial" w:eastAsia="Times New Roman" w:hAnsi="Arial" w:cs="Arial"/>
          <w:sz w:val="24"/>
          <w:szCs w:val="24"/>
          <w:lang w:eastAsia="es-MX"/>
        </w:rPr>
        <w:t xml:space="preserve"> respuesta y documentación proporcionada por el Ente Público,</w:t>
      </w:r>
      <w:r>
        <w:rPr>
          <w:rFonts w:ascii="Arial" w:eastAsia="Times New Roman" w:hAnsi="Arial" w:cs="Arial"/>
          <w:sz w:val="24"/>
          <w:szCs w:val="24"/>
          <w:lang w:eastAsia="es-MX"/>
        </w:rPr>
        <w:t xml:space="preserve"> y determinó que esta observación se solventó</w:t>
      </w:r>
      <w:r w:rsidRPr="00FA266A">
        <w:rPr>
          <w:rFonts w:ascii="Arial" w:eastAsia="Times New Roman" w:hAnsi="Arial" w:cs="Arial"/>
          <w:sz w:val="24"/>
          <w:szCs w:val="24"/>
          <w:lang w:eastAsia="es-MX"/>
        </w:rPr>
        <w:t xml:space="preserve"> parcialmente toda vez que</w:t>
      </w:r>
      <w:r>
        <w:rPr>
          <w:rFonts w:ascii="Arial" w:eastAsia="Times New Roman" w:hAnsi="Arial" w:cs="Arial"/>
          <w:sz w:val="24"/>
          <w:szCs w:val="24"/>
          <w:lang w:eastAsia="es-MX"/>
        </w:rPr>
        <w:t xml:space="preserve"> el ente público</w:t>
      </w:r>
      <w:r w:rsidRPr="00FA266A">
        <w:rPr>
          <w:rFonts w:ascii="Arial" w:eastAsia="Times New Roman" w:hAnsi="Arial" w:cs="Arial"/>
          <w:sz w:val="24"/>
          <w:szCs w:val="24"/>
          <w:lang w:eastAsia="es-MX"/>
        </w:rPr>
        <w:t xml:space="preserve"> se encontrab</w:t>
      </w:r>
      <w:r>
        <w:rPr>
          <w:rFonts w:ascii="Arial" w:eastAsia="Times New Roman" w:hAnsi="Arial" w:cs="Arial"/>
          <w:sz w:val="24"/>
          <w:szCs w:val="24"/>
          <w:lang w:eastAsia="es-MX"/>
        </w:rPr>
        <w:t>a</w:t>
      </w:r>
      <w:r w:rsidRPr="00FA266A">
        <w:rPr>
          <w:rFonts w:ascii="Arial" w:eastAsia="Times New Roman" w:hAnsi="Arial" w:cs="Arial"/>
          <w:sz w:val="24"/>
          <w:szCs w:val="24"/>
          <w:lang w:eastAsia="es-MX"/>
        </w:rPr>
        <w:t xml:space="preserve"> en proceso de implementación de medidas correctivas, sin embargo, no ha</w:t>
      </w:r>
      <w:r w:rsidR="006B4B75">
        <w:rPr>
          <w:rFonts w:ascii="Arial" w:eastAsia="Times New Roman" w:hAnsi="Arial" w:cs="Arial"/>
          <w:sz w:val="24"/>
          <w:szCs w:val="24"/>
          <w:lang w:eastAsia="es-MX"/>
        </w:rPr>
        <w:t>bía</w:t>
      </w:r>
      <w:r w:rsidRPr="00FA266A">
        <w:rPr>
          <w:rFonts w:ascii="Arial" w:eastAsia="Times New Roman" w:hAnsi="Arial" w:cs="Arial"/>
          <w:sz w:val="24"/>
          <w:szCs w:val="24"/>
          <w:lang w:eastAsia="es-MX"/>
        </w:rPr>
        <w:t xml:space="preserve"> cumplido con la totalidad de las disposiciones señaladas en la Ley General de Contabilidad Gubernamental y la normativa emitida por el Consejo Nacional de Armonización Contable.</w:t>
      </w:r>
    </w:p>
    <w:p w:rsidR="00B7076B" w:rsidRDefault="00B7076B" w:rsidP="00FA266A">
      <w:pPr>
        <w:spacing w:line="360" w:lineRule="auto"/>
        <w:contextualSpacing/>
        <w:jc w:val="both"/>
        <w:rPr>
          <w:rFonts w:ascii="Arial" w:eastAsia="Times New Roman" w:hAnsi="Arial" w:cs="Arial"/>
          <w:sz w:val="24"/>
          <w:szCs w:val="24"/>
          <w:lang w:eastAsia="es-MX"/>
        </w:rPr>
      </w:pPr>
    </w:p>
    <w:p w:rsidR="00B7076B" w:rsidRPr="00B7076B" w:rsidRDefault="00B7076B" w:rsidP="00B7076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Así mismo la Auditoría señaló</w:t>
      </w:r>
      <w:r w:rsidRPr="00B7076B">
        <w:rPr>
          <w:rFonts w:ascii="Arial" w:eastAsia="Times New Roman" w:hAnsi="Arial" w:cs="Arial"/>
          <w:sz w:val="24"/>
          <w:szCs w:val="24"/>
          <w:lang w:eastAsia="es-MX"/>
        </w:rPr>
        <w:t xml:space="preserve"> lo siguiente:</w:t>
      </w:r>
    </w:p>
    <w:p w:rsidR="00B7076B" w:rsidRDefault="00B7076B" w:rsidP="00B7076B">
      <w:pPr>
        <w:spacing w:line="360" w:lineRule="auto"/>
        <w:contextualSpacing/>
        <w:jc w:val="both"/>
        <w:rPr>
          <w:rFonts w:ascii="Arial" w:eastAsia="Times New Roman" w:hAnsi="Arial" w:cs="Arial"/>
          <w:sz w:val="24"/>
          <w:szCs w:val="24"/>
          <w:lang w:eastAsia="es-MX"/>
        </w:rPr>
      </w:pPr>
    </w:p>
    <w:p w:rsidR="00B7076B" w:rsidRPr="00B7076B" w:rsidRDefault="00B7076B" w:rsidP="00B7076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w:t>
      </w:r>
      <w:r w:rsidRPr="00B7076B">
        <w:rPr>
          <w:rFonts w:ascii="Arial" w:eastAsia="Times New Roman" w:hAnsi="Arial" w:cs="Arial"/>
          <w:sz w:val="24"/>
          <w:szCs w:val="24"/>
          <w:lang w:eastAsia="es-MX"/>
        </w:rPr>
        <w:t>El manual de contabilidad gubernamental señalado en su respuesta no corresponde al específico y adecuado al Ente Público.</w:t>
      </w:r>
    </w:p>
    <w:p w:rsidR="00B7076B" w:rsidRPr="00B7076B" w:rsidRDefault="00B7076B" w:rsidP="00B7076B">
      <w:pPr>
        <w:spacing w:line="360" w:lineRule="auto"/>
        <w:contextualSpacing/>
        <w:jc w:val="both"/>
        <w:rPr>
          <w:rFonts w:ascii="Arial" w:eastAsia="Times New Roman" w:hAnsi="Arial" w:cs="Arial"/>
          <w:sz w:val="24"/>
          <w:szCs w:val="24"/>
          <w:lang w:eastAsia="es-MX"/>
        </w:rPr>
      </w:pPr>
    </w:p>
    <w:p w:rsidR="00B7076B" w:rsidRPr="00B7076B" w:rsidRDefault="00B7076B" w:rsidP="00B7076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 </w:t>
      </w:r>
      <w:r w:rsidRPr="00B7076B">
        <w:rPr>
          <w:rFonts w:ascii="Arial" w:eastAsia="Times New Roman" w:hAnsi="Arial" w:cs="Arial"/>
          <w:sz w:val="24"/>
          <w:szCs w:val="24"/>
          <w:lang w:eastAsia="es-MX"/>
        </w:rPr>
        <w:t>Del libro mayor anexo, este no</w:t>
      </w:r>
      <w:r>
        <w:rPr>
          <w:rFonts w:ascii="Arial" w:eastAsia="Times New Roman" w:hAnsi="Arial" w:cs="Arial"/>
          <w:sz w:val="24"/>
          <w:szCs w:val="24"/>
          <w:lang w:eastAsia="es-MX"/>
        </w:rPr>
        <w:t xml:space="preserve"> se contaba</w:t>
      </w:r>
      <w:r w:rsidRPr="00B7076B">
        <w:rPr>
          <w:rFonts w:ascii="Arial" w:eastAsia="Times New Roman" w:hAnsi="Arial" w:cs="Arial"/>
          <w:sz w:val="24"/>
          <w:szCs w:val="24"/>
          <w:lang w:eastAsia="es-MX"/>
        </w:rPr>
        <w:t xml:space="preserve"> con las especificaciones que emiten los Lineamientos mínimos relativos al diseño e integración del registro en los libros diario, mayor e inventarios y balances.</w:t>
      </w:r>
    </w:p>
    <w:p w:rsidR="00B7076B" w:rsidRPr="00B7076B" w:rsidRDefault="00B7076B" w:rsidP="00B7076B">
      <w:pPr>
        <w:spacing w:line="360" w:lineRule="auto"/>
        <w:contextualSpacing/>
        <w:jc w:val="both"/>
        <w:rPr>
          <w:rFonts w:ascii="Arial" w:eastAsia="Times New Roman" w:hAnsi="Arial" w:cs="Arial"/>
          <w:sz w:val="24"/>
          <w:szCs w:val="24"/>
          <w:lang w:eastAsia="es-MX"/>
        </w:rPr>
      </w:pPr>
    </w:p>
    <w:p w:rsidR="00B7076B" w:rsidRPr="00B7076B" w:rsidRDefault="00B7076B" w:rsidP="00B7076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 </w:t>
      </w:r>
      <w:r w:rsidRPr="00B7076B">
        <w:rPr>
          <w:rFonts w:ascii="Arial" w:eastAsia="Times New Roman" w:hAnsi="Arial" w:cs="Arial"/>
          <w:sz w:val="24"/>
          <w:szCs w:val="24"/>
          <w:lang w:eastAsia="es-MX"/>
        </w:rPr>
        <w:t xml:space="preserve">Las matrices de conversión presentadas en el archivo </w:t>
      </w:r>
      <w:r>
        <w:rPr>
          <w:rFonts w:ascii="Arial" w:eastAsia="Times New Roman" w:hAnsi="Arial" w:cs="Arial"/>
          <w:sz w:val="24"/>
          <w:szCs w:val="24"/>
          <w:lang w:eastAsia="es-MX"/>
        </w:rPr>
        <w:t>anexo a esta respuesta, no estaban</w:t>
      </w:r>
      <w:r w:rsidRPr="00B7076B">
        <w:rPr>
          <w:rFonts w:ascii="Arial" w:eastAsia="Times New Roman" w:hAnsi="Arial" w:cs="Arial"/>
          <w:sz w:val="24"/>
          <w:szCs w:val="24"/>
          <w:lang w:eastAsia="es-MX"/>
        </w:rPr>
        <w:t xml:space="preserve"> adecuadas al catálogo de cuentas del Ente Público.</w:t>
      </w:r>
    </w:p>
    <w:p w:rsidR="00B7076B" w:rsidRPr="00B7076B" w:rsidRDefault="00B7076B" w:rsidP="00B7076B">
      <w:pPr>
        <w:spacing w:line="360" w:lineRule="auto"/>
        <w:contextualSpacing/>
        <w:jc w:val="both"/>
        <w:rPr>
          <w:rFonts w:ascii="Arial" w:eastAsia="Times New Roman" w:hAnsi="Arial" w:cs="Arial"/>
          <w:sz w:val="24"/>
          <w:szCs w:val="24"/>
          <w:lang w:eastAsia="es-MX"/>
        </w:rPr>
      </w:pPr>
    </w:p>
    <w:p w:rsidR="00B7076B" w:rsidRPr="00B7076B" w:rsidRDefault="00B7076B" w:rsidP="00B7076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 </w:t>
      </w:r>
      <w:r w:rsidRPr="00B7076B">
        <w:rPr>
          <w:rFonts w:ascii="Arial" w:eastAsia="Times New Roman" w:hAnsi="Arial" w:cs="Arial"/>
          <w:sz w:val="24"/>
          <w:szCs w:val="24"/>
          <w:lang w:eastAsia="es-MX"/>
        </w:rPr>
        <w:t xml:space="preserve">En relación a la información presupuestaria y programática presentada en la Cuenta Pública 2015 durante </w:t>
      </w:r>
      <w:r>
        <w:rPr>
          <w:rFonts w:ascii="Arial" w:eastAsia="Times New Roman" w:hAnsi="Arial" w:cs="Arial"/>
          <w:sz w:val="24"/>
          <w:szCs w:val="24"/>
          <w:lang w:eastAsia="es-MX"/>
        </w:rPr>
        <w:t>el ejercicio auditado, no cumplió</w:t>
      </w:r>
      <w:r w:rsidRPr="00B7076B">
        <w:rPr>
          <w:rFonts w:ascii="Arial" w:eastAsia="Times New Roman" w:hAnsi="Arial" w:cs="Arial"/>
          <w:sz w:val="24"/>
          <w:szCs w:val="24"/>
          <w:lang w:eastAsia="es-MX"/>
        </w:rPr>
        <w:t xml:space="preserve"> con las Normas y Metodología para la Emisión de la Información Financiera y Estructura de los Estados Financieros Básicos del Ente Público y Características de sus Notas y el Manual de Contabilidad Gubernamental.</w:t>
      </w:r>
    </w:p>
    <w:p w:rsidR="00B7076B" w:rsidRPr="00B7076B" w:rsidRDefault="00B7076B" w:rsidP="00B7076B">
      <w:pPr>
        <w:spacing w:line="360" w:lineRule="auto"/>
        <w:contextualSpacing/>
        <w:jc w:val="both"/>
        <w:rPr>
          <w:rFonts w:ascii="Arial" w:eastAsia="Times New Roman" w:hAnsi="Arial" w:cs="Arial"/>
          <w:sz w:val="24"/>
          <w:szCs w:val="24"/>
          <w:lang w:eastAsia="es-MX"/>
        </w:rPr>
      </w:pPr>
    </w:p>
    <w:p w:rsidR="00B7076B" w:rsidRPr="00B7076B" w:rsidRDefault="00B7076B" w:rsidP="00B7076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 </w:t>
      </w:r>
      <w:r w:rsidRPr="00B7076B">
        <w:rPr>
          <w:rFonts w:ascii="Arial" w:eastAsia="Times New Roman" w:hAnsi="Arial" w:cs="Arial"/>
          <w:sz w:val="24"/>
          <w:szCs w:val="24"/>
          <w:lang w:eastAsia="es-MX"/>
        </w:rPr>
        <w:t>El inventario presentado por el Ente Público no cuenta con montos que nos permitan conciliar con el registro contable.</w:t>
      </w:r>
    </w:p>
    <w:p w:rsidR="00B7076B" w:rsidRPr="00B7076B" w:rsidRDefault="00B7076B" w:rsidP="00B7076B">
      <w:pPr>
        <w:spacing w:line="360" w:lineRule="auto"/>
        <w:contextualSpacing/>
        <w:jc w:val="both"/>
        <w:rPr>
          <w:rFonts w:ascii="Arial" w:eastAsia="Times New Roman" w:hAnsi="Arial" w:cs="Arial"/>
          <w:sz w:val="24"/>
          <w:szCs w:val="24"/>
          <w:lang w:eastAsia="es-MX"/>
        </w:rPr>
      </w:pPr>
    </w:p>
    <w:p w:rsidR="00B7076B" w:rsidRPr="00B7076B" w:rsidRDefault="00B7076B" w:rsidP="00B7076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f) </w:t>
      </w:r>
      <w:r w:rsidRPr="00B7076B">
        <w:rPr>
          <w:rFonts w:ascii="Arial" w:eastAsia="Times New Roman" w:hAnsi="Arial" w:cs="Arial"/>
          <w:sz w:val="24"/>
          <w:szCs w:val="24"/>
          <w:lang w:eastAsia="es-MX"/>
        </w:rPr>
        <w:t xml:space="preserve">Durante el ejercicio 2015, los registros contables fueron realizados en el sistema </w:t>
      </w:r>
      <w:proofErr w:type="spellStart"/>
      <w:r w:rsidRPr="00B7076B">
        <w:rPr>
          <w:rFonts w:ascii="Arial" w:eastAsia="Times New Roman" w:hAnsi="Arial" w:cs="Arial"/>
          <w:sz w:val="24"/>
          <w:szCs w:val="24"/>
          <w:lang w:eastAsia="es-MX"/>
        </w:rPr>
        <w:t>Contpaq</w:t>
      </w:r>
      <w:proofErr w:type="spellEnd"/>
      <w:r w:rsidRPr="00B7076B">
        <w:rPr>
          <w:rFonts w:ascii="Arial" w:eastAsia="Times New Roman" w:hAnsi="Arial" w:cs="Arial"/>
          <w:sz w:val="24"/>
          <w:szCs w:val="24"/>
          <w:lang w:eastAsia="es-MX"/>
        </w:rPr>
        <w:t>.</w:t>
      </w:r>
    </w:p>
    <w:p w:rsidR="00B7076B" w:rsidRPr="00B7076B" w:rsidRDefault="00B7076B" w:rsidP="00B7076B">
      <w:pPr>
        <w:spacing w:line="360" w:lineRule="auto"/>
        <w:contextualSpacing/>
        <w:jc w:val="both"/>
        <w:rPr>
          <w:rFonts w:ascii="Arial" w:eastAsia="Times New Roman" w:hAnsi="Arial" w:cs="Arial"/>
          <w:sz w:val="24"/>
          <w:szCs w:val="24"/>
          <w:lang w:eastAsia="es-MX"/>
        </w:rPr>
      </w:pPr>
    </w:p>
    <w:p w:rsidR="00B7076B" w:rsidRPr="00B7076B" w:rsidRDefault="00B7076B" w:rsidP="00B7076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g) </w:t>
      </w:r>
      <w:r w:rsidRPr="00B7076B">
        <w:rPr>
          <w:rFonts w:ascii="Arial" w:eastAsia="Times New Roman" w:hAnsi="Arial" w:cs="Arial"/>
          <w:sz w:val="24"/>
          <w:szCs w:val="24"/>
          <w:lang w:eastAsia="es-MX"/>
        </w:rPr>
        <w:t xml:space="preserve">Las pólizas impresas con su documentación comprobatoria utilizadas durante la fiscalización, corresponden a las impresas del sistema </w:t>
      </w:r>
      <w:proofErr w:type="spellStart"/>
      <w:r w:rsidRPr="00B7076B">
        <w:rPr>
          <w:rFonts w:ascii="Arial" w:eastAsia="Times New Roman" w:hAnsi="Arial" w:cs="Arial"/>
          <w:sz w:val="24"/>
          <w:szCs w:val="24"/>
          <w:lang w:eastAsia="es-MX"/>
        </w:rPr>
        <w:t>Contpaq</w:t>
      </w:r>
      <w:proofErr w:type="spellEnd"/>
      <w:r w:rsidRPr="00B7076B">
        <w:rPr>
          <w:rFonts w:ascii="Arial" w:eastAsia="Times New Roman" w:hAnsi="Arial" w:cs="Arial"/>
          <w:sz w:val="24"/>
          <w:szCs w:val="24"/>
          <w:lang w:eastAsia="es-MX"/>
        </w:rPr>
        <w:t xml:space="preserve"> (las impresas del sistema contable Saacg.net no se encontraban en su totalidad agregadas a estas).</w:t>
      </w:r>
    </w:p>
    <w:p w:rsidR="00B7076B" w:rsidRPr="00FA266A" w:rsidRDefault="00B7076B" w:rsidP="00FA266A">
      <w:pPr>
        <w:spacing w:line="360" w:lineRule="auto"/>
        <w:contextualSpacing/>
        <w:jc w:val="both"/>
        <w:rPr>
          <w:rFonts w:ascii="Arial" w:eastAsia="Times New Roman" w:hAnsi="Arial" w:cs="Arial"/>
          <w:sz w:val="24"/>
          <w:szCs w:val="24"/>
          <w:lang w:eastAsia="es-MX"/>
        </w:rPr>
      </w:pPr>
    </w:p>
    <w:p w:rsidR="006B4B75" w:rsidRPr="006B4B75" w:rsidRDefault="006B4B75" w:rsidP="006B4B75">
      <w:pPr>
        <w:spacing w:line="360" w:lineRule="auto"/>
        <w:contextualSpacing/>
        <w:jc w:val="both"/>
        <w:rPr>
          <w:rFonts w:ascii="Arial" w:eastAsia="Times New Roman" w:hAnsi="Arial" w:cs="Arial"/>
          <w:b/>
          <w:sz w:val="24"/>
          <w:szCs w:val="24"/>
          <w:lang w:eastAsia="es-MX"/>
        </w:rPr>
      </w:pPr>
      <w:r w:rsidRPr="006B4B75">
        <w:rPr>
          <w:rFonts w:ascii="Arial" w:eastAsia="Times New Roman" w:hAnsi="Arial" w:cs="Arial"/>
          <w:b/>
          <w:sz w:val="24"/>
          <w:szCs w:val="24"/>
          <w:lang w:eastAsia="es-MX"/>
        </w:rPr>
        <w:t>Acción(es) o recomendación(es) emitida(s)</w:t>
      </w:r>
    </w:p>
    <w:p w:rsidR="006B4B75" w:rsidRPr="006B4B75" w:rsidRDefault="006B4B75" w:rsidP="006B4B75">
      <w:pPr>
        <w:spacing w:line="360" w:lineRule="auto"/>
        <w:contextualSpacing/>
        <w:jc w:val="both"/>
        <w:rPr>
          <w:rFonts w:ascii="Arial" w:eastAsia="Times New Roman" w:hAnsi="Arial" w:cs="Arial"/>
          <w:i/>
          <w:sz w:val="24"/>
          <w:szCs w:val="24"/>
          <w:lang w:eastAsia="es-MX"/>
        </w:rPr>
      </w:pPr>
      <w:r w:rsidRPr="006B4B75">
        <w:rPr>
          <w:rFonts w:ascii="Arial" w:eastAsia="Times New Roman" w:hAnsi="Arial" w:cs="Arial"/>
          <w:i/>
          <w:sz w:val="24"/>
          <w:szCs w:val="24"/>
          <w:lang w:eastAsia="es-MX"/>
        </w:rPr>
        <w:t>Recomendaciones en Relación a la Gestión o Control Interno.</w:t>
      </w:r>
    </w:p>
    <w:p w:rsidR="006B4B75" w:rsidRDefault="006B4B75" w:rsidP="00FA266A">
      <w:pPr>
        <w:spacing w:line="360" w:lineRule="auto"/>
        <w:contextualSpacing/>
        <w:jc w:val="both"/>
        <w:rPr>
          <w:rFonts w:ascii="Arial" w:eastAsia="Times New Roman" w:hAnsi="Arial" w:cs="Arial"/>
          <w:sz w:val="24"/>
          <w:szCs w:val="24"/>
          <w:lang w:eastAsia="es-MX"/>
        </w:rPr>
      </w:pPr>
    </w:p>
    <w:p w:rsidR="00DC563B" w:rsidRPr="00DC563B" w:rsidRDefault="00DC563B" w:rsidP="00DC563B">
      <w:pPr>
        <w:spacing w:line="360" w:lineRule="auto"/>
        <w:contextualSpacing/>
        <w:jc w:val="both"/>
        <w:rPr>
          <w:rFonts w:ascii="Arial" w:eastAsia="Times New Roman" w:hAnsi="Arial" w:cs="Arial"/>
          <w:b/>
          <w:sz w:val="24"/>
          <w:szCs w:val="24"/>
          <w:u w:val="single"/>
          <w:lang w:eastAsia="es-MX"/>
        </w:rPr>
      </w:pPr>
      <w:r w:rsidRPr="00DC563B">
        <w:rPr>
          <w:rFonts w:ascii="Arial" w:eastAsia="Times New Roman" w:hAnsi="Arial" w:cs="Arial"/>
          <w:b/>
          <w:sz w:val="24"/>
          <w:szCs w:val="24"/>
          <w:u w:val="single"/>
          <w:lang w:eastAsia="es-MX"/>
        </w:rPr>
        <w:t>ACTIVO</w:t>
      </w:r>
    </w:p>
    <w:p w:rsidR="00DC563B" w:rsidRPr="00DC563B" w:rsidRDefault="00DC563B" w:rsidP="00DC563B">
      <w:pPr>
        <w:spacing w:line="360" w:lineRule="auto"/>
        <w:contextualSpacing/>
        <w:jc w:val="both"/>
        <w:rPr>
          <w:rFonts w:ascii="Arial" w:eastAsia="Times New Roman" w:hAnsi="Arial" w:cs="Arial"/>
          <w:b/>
          <w:sz w:val="24"/>
          <w:szCs w:val="24"/>
          <w:u w:val="single"/>
          <w:lang w:eastAsia="es-MX"/>
        </w:rPr>
      </w:pPr>
      <w:r w:rsidRPr="00DC563B">
        <w:rPr>
          <w:rFonts w:ascii="Arial" w:eastAsia="Times New Roman" w:hAnsi="Arial" w:cs="Arial"/>
          <w:b/>
          <w:sz w:val="24"/>
          <w:szCs w:val="24"/>
          <w:u w:val="single"/>
          <w:lang w:eastAsia="es-MX"/>
        </w:rPr>
        <w:t>Activo circulante</w:t>
      </w:r>
    </w:p>
    <w:p w:rsidR="00DC563B" w:rsidRPr="00DC563B" w:rsidRDefault="00DC563B" w:rsidP="00DC563B">
      <w:pPr>
        <w:spacing w:line="360" w:lineRule="auto"/>
        <w:contextualSpacing/>
        <w:jc w:val="both"/>
        <w:rPr>
          <w:rFonts w:ascii="Arial" w:eastAsia="Times New Roman" w:hAnsi="Arial" w:cs="Arial"/>
          <w:b/>
          <w:sz w:val="24"/>
          <w:szCs w:val="24"/>
          <w:u w:val="single"/>
          <w:lang w:eastAsia="es-MX"/>
        </w:rPr>
      </w:pPr>
      <w:r w:rsidRPr="00DC563B">
        <w:rPr>
          <w:rFonts w:ascii="Arial" w:eastAsia="Times New Roman" w:hAnsi="Arial" w:cs="Arial"/>
          <w:b/>
          <w:sz w:val="24"/>
          <w:szCs w:val="24"/>
          <w:u w:val="single"/>
          <w:lang w:eastAsia="es-MX"/>
        </w:rPr>
        <w:t>Derechos a recibir efectivo o equivalentes</w:t>
      </w:r>
    </w:p>
    <w:p w:rsidR="00E42294" w:rsidRPr="00DC563B" w:rsidRDefault="00DC563B" w:rsidP="00DC563B">
      <w:pPr>
        <w:spacing w:line="360" w:lineRule="auto"/>
        <w:contextualSpacing/>
        <w:jc w:val="both"/>
        <w:rPr>
          <w:rFonts w:ascii="Arial" w:eastAsia="Times New Roman" w:hAnsi="Arial" w:cs="Arial"/>
          <w:b/>
          <w:sz w:val="24"/>
          <w:szCs w:val="24"/>
          <w:u w:val="single"/>
          <w:lang w:eastAsia="es-MX"/>
        </w:rPr>
      </w:pPr>
      <w:r w:rsidRPr="00DC563B">
        <w:rPr>
          <w:rFonts w:ascii="Arial" w:eastAsia="Times New Roman" w:hAnsi="Arial" w:cs="Arial"/>
          <w:b/>
          <w:sz w:val="24"/>
          <w:szCs w:val="24"/>
          <w:u w:val="single"/>
          <w:lang w:eastAsia="es-MX"/>
        </w:rPr>
        <w:t>Cuentas por cobrar a corto plazo</w:t>
      </w:r>
    </w:p>
    <w:p w:rsidR="00E42294" w:rsidRDefault="00E42294" w:rsidP="00E42294">
      <w:pPr>
        <w:spacing w:line="360" w:lineRule="auto"/>
        <w:contextualSpacing/>
        <w:jc w:val="both"/>
        <w:rPr>
          <w:rFonts w:ascii="Arial" w:hAnsi="Arial" w:cs="Arial"/>
          <w:sz w:val="24"/>
        </w:rPr>
      </w:pPr>
    </w:p>
    <w:p w:rsidR="00DC563B" w:rsidRDefault="00DC563B" w:rsidP="00E42294">
      <w:pPr>
        <w:spacing w:line="360" w:lineRule="auto"/>
        <w:contextualSpacing/>
        <w:jc w:val="both"/>
        <w:rPr>
          <w:rFonts w:ascii="Arial" w:hAnsi="Arial" w:cs="Arial"/>
          <w:sz w:val="24"/>
        </w:rPr>
      </w:pPr>
      <w:r>
        <w:rPr>
          <w:rFonts w:ascii="Arial" w:hAnsi="Arial" w:cs="Arial"/>
          <w:sz w:val="24"/>
        </w:rPr>
        <w:t xml:space="preserve">2. </w:t>
      </w:r>
      <w:r w:rsidRPr="00DC563B">
        <w:rPr>
          <w:rFonts w:ascii="Arial" w:hAnsi="Arial" w:cs="Arial"/>
          <w:sz w:val="24"/>
        </w:rPr>
        <w:t>Se observó que existen saldos por cobrar a cargo de los Municipios del área metropolitana, con antigüedad mayor a dos años por valor de $5,525,350, por concepto de mantenimiento al Sistema Integral del Tránsito Metropolitano, integrándose de la manera siguiente:</w:t>
      </w:r>
    </w:p>
    <w:p w:rsidR="00DC563B" w:rsidRDefault="00DC563B" w:rsidP="00E42294">
      <w:pPr>
        <w:spacing w:line="360" w:lineRule="auto"/>
        <w:contextualSpacing/>
        <w:jc w:val="both"/>
        <w:rPr>
          <w:rFonts w:ascii="Arial" w:hAnsi="Arial" w:cs="Arial"/>
          <w:sz w:val="24"/>
        </w:rPr>
      </w:pPr>
    </w:p>
    <w:tbl>
      <w:tblPr>
        <w:tblW w:w="217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737"/>
        <w:gridCol w:w="615"/>
      </w:tblGrid>
      <w:tr w:rsidR="00DC563B" w:rsidRPr="00DC563B" w:rsidTr="00DC563B">
        <w:trPr>
          <w:tblCellSpacing w:w="15" w:type="dxa"/>
          <w:jc w:val="center"/>
        </w:trPr>
        <w:tc>
          <w:tcPr>
            <w:tcW w:w="3173" w:type="pct"/>
            <w:shd w:val="clear" w:color="auto" w:fill="BFBFBF" w:themeFill="background1" w:themeFillShade="BF"/>
            <w:vAlign w:val="center"/>
            <w:hideMark/>
          </w:tcPr>
          <w:p w:rsidR="00DC563B" w:rsidRPr="00DC563B" w:rsidRDefault="00DC563B" w:rsidP="00DC563B">
            <w:pPr>
              <w:jc w:val="center"/>
              <w:rPr>
                <w:rFonts w:ascii="Arial" w:hAnsi="Arial" w:cs="Arial"/>
                <w:b/>
                <w:sz w:val="14"/>
                <w:szCs w:val="14"/>
                <w:u w:val="single"/>
                <w:lang w:val="es-MX" w:eastAsia="es-MX"/>
              </w:rPr>
            </w:pPr>
            <w:r w:rsidRPr="00DC563B">
              <w:rPr>
                <w:rFonts w:ascii="Arial" w:hAnsi="Arial" w:cs="Arial"/>
                <w:b/>
                <w:sz w:val="14"/>
                <w:szCs w:val="14"/>
                <w:u w:val="single"/>
                <w:lang w:val="es-MX" w:eastAsia="es-MX"/>
              </w:rPr>
              <w:t>Concepto</w:t>
            </w:r>
          </w:p>
        </w:tc>
        <w:tc>
          <w:tcPr>
            <w:tcW w:w="1011" w:type="pct"/>
            <w:shd w:val="clear" w:color="auto" w:fill="BFBFBF" w:themeFill="background1" w:themeFillShade="BF"/>
            <w:vAlign w:val="center"/>
            <w:hideMark/>
          </w:tcPr>
          <w:p w:rsidR="00DC563B" w:rsidRPr="00DC563B" w:rsidRDefault="00DC563B" w:rsidP="00DC563B">
            <w:pPr>
              <w:jc w:val="center"/>
              <w:rPr>
                <w:rFonts w:ascii="Arial" w:hAnsi="Arial" w:cs="Arial"/>
                <w:b/>
                <w:sz w:val="14"/>
                <w:szCs w:val="14"/>
                <w:u w:val="single"/>
                <w:lang w:val="es-MX" w:eastAsia="es-MX"/>
              </w:rPr>
            </w:pPr>
            <w:r w:rsidRPr="00DC563B">
              <w:rPr>
                <w:rFonts w:ascii="Arial" w:hAnsi="Arial" w:cs="Arial"/>
                <w:b/>
                <w:sz w:val="14"/>
                <w:szCs w:val="14"/>
                <w:u w:val="single"/>
                <w:lang w:val="es-MX" w:eastAsia="es-MX"/>
              </w:rPr>
              <w:t>Importe</w:t>
            </w:r>
          </w:p>
        </w:tc>
        <w:tc>
          <w:tcPr>
            <w:tcW w:w="0" w:type="auto"/>
            <w:shd w:val="clear" w:color="auto" w:fill="BFBFBF" w:themeFill="background1" w:themeFillShade="BF"/>
            <w:vAlign w:val="center"/>
            <w:hideMark/>
          </w:tcPr>
          <w:p w:rsidR="00DC563B" w:rsidRPr="00DC563B" w:rsidRDefault="00DC563B" w:rsidP="00DC563B">
            <w:pPr>
              <w:jc w:val="center"/>
              <w:rPr>
                <w:rFonts w:ascii="Arial" w:hAnsi="Arial" w:cs="Arial"/>
                <w:b/>
                <w:sz w:val="14"/>
                <w:szCs w:val="14"/>
                <w:u w:val="single"/>
                <w:lang w:val="es-MX" w:eastAsia="es-MX"/>
              </w:rPr>
            </w:pPr>
            <w:r w:rsidRPr="00DC563B">
              <w:rPr>
                <w:rFonts w:ascii="Arial" w:hAnsi="Arial" w:cs="Arial"/>
                <w:b/>
                <w:sz w:val="14"/>
                <w:szCs w:val="14"/>
                <w:u w:val="single"/>
                <w:lang w:val="es-MX" w:eastAsia="es-MX"/>
              </w:rPr>
              <w:t>.</w:t>
            </w:r>
          </w:p>
        </w:tc>
      </w:tr>
      <w:tr w:rsidR="00DC563B" w:rsidRPr="00DC563B" w:rsidTr="00DC563B">
        <w:trPr>
          <w:tblCellSpacing w:w="15" w:type="dxa"/>
          <w:jc w:val="center"/>
        </w:trPr>
        <w:tc>
          <w:tcPr>
            <w:tcW w:w="3173"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Gobierno del Estado de Nuevo León</w:t>
            </w:r>
          </w:p>
        </w:tc>
        <w:tc>
          <w:tcPr>
            <w:tcW w:w="1011"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2,676,608</w:t>
            </w:r>
          </w:p>
        </w:tc>
        <w:tc>
          <w:tcPr>
            <w:tcW w:w="0" w:type="auto"/>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[1]</w:t>
            </w:r>
          </w:p>
        </w:tc>
      </w:tr>
      <w:tr w:rsidR="00DC563B" w:rsidRPr="00DC563B" w:rsidTr="00DC563B">
        <w:trPr>
          <w:tblCellSpacing w:w="15" w:type="dxa"/>
          <w:jc w:val="center"/>
        </w:trPr>
        <w:tc>
          <w:tcPr>
            <w:tcW w:w="3173"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Guadalupe</w:t>
            </w:r>
          </w:p>
        </w:tc>
        <w:tc>
          <w:tcPr>
            <w:tcW w:w="1011"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1,324,375</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3173"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San Nicolás</w:t>
            </w:r>
          </w:p>
        </w:tc>
        <w:tc>
          <w:tcPr>
            <w:tcW w:w="1011"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892,454</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3173"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Monterrey</w:t>
            </w:r>
          </w:p>
        </w:tc>
        <w:tc>
          <w:tcPr>
            <w:tcW w:w="1011"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304,433</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3173"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Santa Catarina</w:t>
            </w:r>
          </w:p>
        </w:tc>
        <w:tc>
          <w:tcPr>
            <w:tcW w:w="1011"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169,373</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3173"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lastRenderedPageBreak/>
              <w:t>Escobedo</w:t>
            </w:r>
          </w:p>
        </w:tc>
        <w:tc>
          <w:tcPr>
            <w:tcW w:w="1011"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158,107</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3173" w:type="pct"/>
            <w:vAlign w:val="center"/>
            <w:hideMark/>
          </w:tcPr>
          <w:p w:rsidR="00DC563B" w:rsidRPr="00DC563B" w:rsidRDefault="00DC563B" w:rsidP="00DC563B">
            <w:pPr>
              <w:jc w:val="center"/>
              <w:rPr>
                <w:rFonts w:ascii="Arial" w:hAnsi="Arial" w:cs="Arial"/>
                <w:b/>
                <w:bCs/>
                <w:sz w:val="14"/>
                <w:szCs w:val="14"/>
                <w:lang w:val="es-MX" w:eastAsia="es-MX"/>
              </w:rPr>
            </w:pPr>
            <w:r w:rsidRPr="00DC563B">
              <w:rPr>
                <w:rFonts w:ascii="Arial" w:hAnsi="Arial" w:cs="Arial"/>
                <w:b/>
                <w:bCs/>
                <w:sz w:val="14"/>
                <w:szCs w:val="14"/>
                <w:lang w:val="es-MX" w:eastAsia="es-MX"/>
              </w:rPr>
              <w:t>Total</w:t>
            </w:r>
          </w:p>
        </w:tc>
        <w:tc>
          <w:tcPr>
            <w:tcW w:w="1011" w:type="pct"/>
            <w:vAlign w:val="center"/>
            <w:hideMark/>
          </w:tcPr>
          <w:p w:rsidR="00DC563B" w:rsidRPr="00DC563B" w:rsidRDefault="00DC563B" w:rsidP="00DC563B">
            <w:pPr>
              <w:jc w:val="center"/>
              <w:rPr>
                <w:rFonts w:ascii="Arial" w:hAnsi="Arial" w:cs="Arial"/>
                <w:b/>
                <w:bCs/>
                <w:sz w:val="14"/>
                <w:szCs w:val="14"/>
                <w:lang w:val="es-MX" w:eastAsia="es-MX"/>
              </w:rPr>
            </w:pPr>
            <w:r w:rsidRPr="00DC563B">
              <w:rPr>
                <w:rFonts w:ascii="Arial" w:hAnsi="Arial" w:cs="Arial"/>
                <w:b/>
                <w:bCs/>
                <w:sz w:val="14"/>
                <w:szCs w:val="14"/>
                <w:lang w:val="es-MX" w:eastAsia="es-MX"/>
              </w:rPr>
              <w:t>5,525,350</w:t>
            </w:r>
          </w:p>
        </w:tc>
        <w:tc>
          <w:tcPr>
            <w:tcW w:w="0" w:type="auto"/>
            <w:vAlign w:val="center"/>
            <w:hideMark/>
          </w:tcPr>
          <w:p w:rsidR="00DC563B" w:rsidRPr="00DC563B" w:rsidRDefault="00DC563B" w:rsidP="00DC563B">
            <w:pPr>
              <w:jc w:val="center"/>
              <w:rPr>
                <w:rFonts w:ascii="Arial" w:hAnsi="Arial" w:cs="Arial"/>
                <w:b/>
                <w:bCs/>
                <w:sz w:val="14"/>
                <w:szCs w:val="14"/>
                <w:lang w:val="es-MX" w:eastAsia="es-MX"/>
              </w:rPr>
            </w:pPr>
          </w:p>
        </w:tc>
      </w:tr>
    </w:tbl>
    <w:p w:rsidR="00DC563B" w:rsidRDefault="00DC563B" w:rsidP="00E42294">
      <w:pPr>
        <w:spacing w:line="360" w:lineRule="auto"/>
        <w:contextualSpacing/>
        <w:jc w:val="both"/>
        <w:rPr>
          <w:rFonts w:ascii="Arial" w:hAnsi="Arial" w:cs="Arial"/>
          <w:sz w:val="24"/>
        </w:rPr>
      </w:pP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sidRPr="00DC563B">
        <w:rPr>
          <w:rFonts w:ascii="Arial" w:hAnsi="Arial" w:cs="Arial"/>
          <w:sz w:val="24"/>
        </w:rPr>
        <w:t>(1) Esta cuenta identificada contablemente como Gobierno del Estado de Nuevo León corresponde al adeudo del Municipio de Monterrey.</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sidRPr="00DC563B">
        <w:rPr>
          <w:rFonts w:ascii="Arial" w:hAnsi="Arial" w:cs="Arial"/>
          <w:sz w:val="24"/>
        </w:rPr>
        <w:t>El Ente Público no mostró evidencia de las gestiones efectuadas para recuperar estos saldos, que pueden convertirse en incobrables.</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sidRPr="00DC563B">
        <w:rPr>
          <w:rFonts w:ascii="Arial" w:hAnsi="Arial" w:cs="Arial"/>
          <w:sz w:val="24"/>
        </w:rPr>
        <w:t>Al revisar eventos posteriores al 31 de marzo de 2016, continúa sin ser recuperado.</w:t>
      </w:r>
    </w:p>
    <w:p w:rsidR="00DC563B" w:rsidRDefault="00DC563B" w:rsidP="00DC563B">
      <w:pPr>
        <w:spacing w:line="360" w:lineRule="auto"/>
        <w:contextualSpacing/>
        <w:jc w:val="both"/>
        <w:rPr>
          <w:rFonts w:ascii="Arial" w:hAnsi="Arial" w:cs="Arial"/>
          <w:sz w:val="24"/>
        </w:rPr>
      </w:pPr>
    </w:p>
    <w:p w:rsidR="00FA266A" w:rsidRDefault="00DC563B" w:rsidP="00DC563B">
      <w:pPr>
        <w:spacing w:line="360" w:lineRule="auto"/>
        <w:contextualSpacing/>
        <w:jc w:val="both"/>
        <w:rPr>
          <w:rFonts w:ascii="Arial" w:hAnsi="Arial" w:cs="Arial"/>
          <w:sz w:val="24"/>
        </w:rPr>
      </w:pPr>
      <w:r w:rsidRPr="00DC563B">
        <w:rPr>
          <w:rFonts w:ascii="Arial" w:hAnsi="Arial" w:cs="Arial"/>
          <w:sz w:val="24"/>
        </w:rPr>
        <w:t>Esta observación es reincidente en relación con la Cuenta Pública del 2013 y 2014.</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b/>
          <w:sz w:val="24"/>
        </w:rPr>
      </w:pPr>
      <w:r w:rsidRPr="00DC563B">
        <w:rPr>
          <w:rFonts w:ascii="Arial" w:hAnsi="Arial" w:cs="Arial"/>
          <w:b/>
          <w:sz w:val="24"/>
        </w:rPr>
        <w:t>Análisis de la Auditoría Superior del Estado</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Pr>
          <w:rFonts w:ascii="Arial" w:hAnsi="Arial" w:cs="Arial"/>
          <w:sz w:val="24"/>
        </w:rPr>
        <w:t>La Auditoría</w:t>
      </w:r>
      <w:r w:rsidRPr="00DC563B">
        <w:rPr>
          <w:rFonts w:ascii="Arial" w:hAnsi="Arial" w:cs="Arial"/>
          <w:sz w:val="24"/>
        </w:rPr>
        <w:t xml:space="preserve"> analizó la respuesta proporcionada por el Ente Público,</w:t>
      </w:r>
      <w:r>
        <w:rPr>
          <w:rFonts w:ascii="Arial" w:hAnsi="Arial" w:cs="Arial"/>
          <w:sz w:val="24"/>
        </w:rPr>
        <w:t xml:space="preserve"> y determinó que esta observación se solventó</w:t>
      </w:r>
      <w:r w:rsidRPr="00DC563B">
        <w:rPr>
          <w:rFonts w:ascii="Arial" w:hAnsi="Arial" w:cs="Arial"/>
          <w:sz w:val="24"/>
        </w:rPr>
        <w:t xml:space="preserve"> parcialmen</w:t>
      </w:r>
      <w:r>
        <w:rPr>
          <w:rFonts w:ascii="Arial" w:hAnsi="Arial" w:cs="Arial"/>
          <w:sz w:val="24"/>
        </w:rPr>
        <w:t>te, toda vez que, si bien anexaron las</w:t>
      </w:r>
      <w:r w:rsidRPr="00DC563B">
        <w:rPr>
          <w:rFonts w:ascii="Arial" w:hAnsi="Arial" w:cs="Arial"/>
          <w:sz w:val="24"/>
        </w:rPr>
        <w:t xml:space="preserve"> gestiones de cobro a los municipios de Guadalupe, San Nicolás, Monterrey, Santa Catarina y Escobedo, efectuadas para la recuperación del saldo,</w:t>
      </w:r>
      <w:r>
        <w:rPr>
          <w:rFonts w:ascii="Arial" w:hAnsi="Arial" w:cs="Arial"/>
          <w:sz w:val="24"/>
        </w:rPr>
        <w:t xml:space="preserve"> sin embargo</w:t>
      </w:r>
      <w:r w:rsidRPr="00DC563B">
        <w:rPr>
          <w:rFonts w:ascii="Arial" w:hAnsi="Arial" w:cs="Arial"/>
          <w:sz w:val="24"/>
        </w:rPr>
        <w:t xml:space="preserve"> no ha</w:t>
      </w:r>
      <w:r>
        <w:rPr>
          <w:rFonts w:ascii="Arial" w:hAnsi="Arial" w:cs="Arial"/>
          <w:sz w:val="24"/>
        </w:rPr>
        <w:t>bían sido concluyente el</w:t>
      </w:r>
      <w:r w:rsidRPr="00DC563B">
        <w:rPr>
          <w:rFonts w:ascii="Arial" w:hAnsi="Arial" w:cs="Arial"/>
          <w:sz w:val="24"/>
        </w:rPr>
        <w:t xml:space="preserve"> cobro, así </w:t>
      </w:r>
      <w:r>
        <w:rPr>
          <w:rFonts w:ascii="Arial" w:hAnsi="Arial" w:cs="Arial"/>
          <w:sz w:val="24"/>
        </w:rPr>
        <w:t>también</w:t>
      </w:r>
      <w:r w:rsidRPr="00DC563B">
        <w:rPr>
          <w:rFonts w:ascii="Arial" w:hAnsi="Arial" w:cs="Arial"/>
          <w:sz w:val="24"/>
        </w:rPr>
        <w:t xml:space="preserve"> no</w:t>
      </w:r>
      <w:r>
        <w:rPr>
          <w:rFonts w:ascii="Arial" w:hAnsi="Arial" w:cs="Arial"/>
          <w:sz w:val="24"/>
        </w:rPr>
        <w:t xml:space="preserve"> se</w:t>
      </w:r>
      <w:r w:rsidRPr="00DC563B">
        <w:rPr>
          <w:rFonts w:ascii="Arial" w:hAnsi="Arial" w:cs="Arial"/>
          <w:sz w:val="24"/>
        </w:rPr>
        <w:t xml:space="preserve"> ha</w:t>
      </w:r>
      <w:r>
        <w:rPr>
          <w:rFonts w:ascii="Arial" w:hAnsi="Arial" w:cs="Arial"/>
          <w:sz w:val="24"/>
        </w:rPr>
        <w:t>bían</w:t>
      </w:r>
      <w:r w:rsidRPr="00DC563B">
        <w:rPr>
          <w:rFonts w:ascii="Arial" w:hAnsi="Arial" w:cs="Arial"/>
          <w:sz w:val="24"/>
        </w:rPr>
        <w:t xml:space="preserve"> contemplado</w:t>
      </w:r>
      <w:r>
        <w:rPr>
          <w:rFonts w:ascii="Arial" w:hAnsi="Arial" w:cs="Arial"/>
          <w:sz w:val="24"/>
        </w:rPr>
        <w:t xml:space="preserve"> las</w:t>
      </w:r>
      <w:r w:rsidRPr="00DC563B">
        <w:rPr>
          <w:rFonts w:ascii="Arial" w:hAnsi="Arial" w:cs="Arial"/>
          <w:sz w:val="24"/>
        </w:rPr>
        <w:t xml:space="preserve"> acciones alternativa</w:t>
      </w:r>
      <w:r>
        <w:rPr>
          <w:rFonts w:ascii="Arial" w:hAnsi="Arial" w:cs="Arial"/>
          <w:sz w:val="24"/>
        </w:rPr>
        <w:t xml:space="preserve">s para la recuperación de los </w:t>
      </w:r>
      <w:r>
        <w:rPr>
          <w:rFonts w:ascii="Arial" w:hAnsi="Arial" w:cs="Arial"/>
          <w:sz w:val="24"/>
        </w:rPr>
        <w:lastRenderedPageBreak/>
        <w:t>citados</w:t>
      </w:r>
      <w:r w:rsidRPr="00DC563B">
        <w:rPr>
          <w:rFonts w:ascii="Arial" w:hAnsi="Arial" w:cs="Arial"/>
          <w:sz w:val="24"/>
        </w:rPr>
        <w:t xml:space="preserve"> importes o para la creación de una estimación para cuentas incobrables.</w:t>
      </w:r>
    </w:p>
    <w:p w:rsidR="00DC563B" w:rsidRP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b/>
          <w:sz w:val="24"/>
        </w:rPr>
      </w:pPr>
      <w:r w:rsidRPr="00DC563B">
        <w:rPr>
          <w:rFonts w:ascii="Arial" w:hAnsi="Arial" w:cs="Arial"/>
          <w:b/>
          <w:sz w:val="24"/>
        </w:rPr>
        <w:t>Acción(es) o recomendación(es) emitida(s)</w:t>
      </w:r>
    </w:p>
    <w:p w:rsidR="00DC563B" w:rsidRPr="00DC563B" w:rsidRDefault="00DC563B" w:rsidP="00DC563B">
      <w:pPr>
        <w:spacing w:line="360" w:lineRule="auto"/>
        <w:contextualSpacing/>
        <w:jc w:val="both"/>
        <w:rPr>
          <w:rFonts w:ascii="Arial" w:hAnsi="Arial" w:cs="Arial"/>
          <w:i/>
          <w:sz w:val="24"/>
        </w:rPr>
      </w:pPr>
      <w:r w:rsidRPr="00DC563B">
        <w:rPr>
          <w:rFonts w:ascii="Arial" w:hAnsi="Arial" w:cs="Arial"/>
          <w:i/>
          <w:sz w:val="24"/>
        </w:rPr>
        <w:t>Recomendaciones en Relación a la Gestión o Control Interno.</w:t>
      </w:r>
    </w:p>
    <w:p w:rsidR="00DC563B" w:rsidRDefault="00DC563B" w:rsidP="00DC563B">
      <w:pPr>
        <w:spacing w:line="360" w:lineRule="auto"/>
        <w:contextualSpacing/>
        <w:jc w:val="both"/>
        <w:rPr>
          <w:rFonts w:ascii="Arial" w:hAnsi="Arial" w:cs="Arial"/>
          <w:sz w:val="24"/>
        </w:rPr>
      </w:pPr>
      <w:r>
        <w:rPr>
          <w:rFonts w:ascii="Arial" w:hAnsi="Arial" w:cs="Arial"/>
          <w:sz w:val="24"/>
        </w:rPr>
        <w:t xml:space="preserve">3. </w:t>
      </w:r>
      <w:r w:rsidRPr="00DC563B">
        <w:rPr>
          <w:rFonts w:ascii="Arial" w:hAnsi="Arial" w:cs="Arial"/>
          <w:sz w:val="24"/>
        </w:rPr>
        <w:t>Se observó que existen saldos por cobrar a cargo de clientes con antigüedad mayor a un año por $716,577, integrándose como sigue:</w:t>
      </w:r>
    </w:p>
    <w:p w:rsidR="00DC563B" w:rsidRDefault="00DC563B" w:rsidP="00DC563B">
      <w:pPr>
        <w:spacing w:line="360" w:lineRule="auto"/>
        <w:contextualSpacing/>
        <w:jc w:val="both"/>
        <w:rPr>
          <w:rFonts w:ascii="Arial" w:hAnsi="Arial" w:cs="Arial"/>
          <w:sz w:val="24"/>
        </w:rPr>
      </w:pPr>
    </w:p>
    <w:tbl>
      <w:tblPr>
        <w:tblW w:w="283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3"/>
        <w:gridCol w:w="306"/>
        <w:gridCol w:w="1264"/>
        <w:gridCol w:w="489"/>
      </w:tblGrid>
      <w:tr w:rsidR="00DC563B" w:rsidRPr="00DC563B" w:rsidTr="00DC563B">
        <w:trPr>
          <w:tblCellSpacing w:w="15" w:type="dxa"/>
          <w:jc w:val="center"/>
        </w:trPr>
        <w:tc>
          <w:tcPr>
            <w:tcW w:w="2858" w:type="pct"/>
            <w:shd w:val="clear" w:color="auto" w:fill="BFBFBF" w:themeFill="background1" w:themeFillShade="BF"/>
            <w:vAlign w:val="center"/>
            <w:hideMark/>
          </w:tcPr>
          <w:p w:rsidR="00DC563B" w:rsidRPr="00DC563B" w:rsidRDefault="00DC563B" w:rsidP="00DC563B">
            <w:pPr>
              <w:jc w:val="center"/>
              <w:rPr>
                <w:rFonts w:ascii="Arial" w:hAnsi="Arial" w:cs="Arial"/>
                <w:b/>
                <w:sz w:val="14"/>
                <w:szCs w:val="14"/>
                <w:u w:val="single"/>
                <w:lang w:val="es-MX" w:eastAsia="es-MX"/>
              </w:rPr>
            </w:pPr>
            <w:r w:rsidRPr="00DC563B">
              <w:rPr>
                <w:rFonts w:ascii="Arial" w:hAnsi="Arial" w:cs="Arial"/>
                <w:b/>
                <w:sz w:val="14"/>
                <w:szCs w:val="14"/>
                <w:u w:val="single"/>
                <w:lang w:val="es-MX" w:eastAsia="es-MX"/>
              </w:rPr>
              <w:t>Cliente</w:t>
            </w:r>
          </w:p>
        </w:tc>
        <w:tc>
          <w:tcPr>
            <w:tcW w:w="0" w:type="auto"/>
            <w:shd w:val="clear" w:color="auto" w:fill="BFBFBF" w:themeFill="background1" w:themeFillShade="BF"/>
            <w:vAlign w:val="center"/>
            <w:hideMark/>
          </w:tcPr>
          <w:p w:rsidR="00DC563B" w:rsidRPr="00DC563B" w:rsidRDefault="00DC563B" w:rsidP="00DC563B">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DC563B" w:rsidRPr="00DC563B" w:rsidRDefault="00DC563B" w:rsidP="00DC563B">
            <w:pPr>
              <w:jc w:val="center"/>
              <w:rPr>
                <w:rFonts w:ascii="Arial" w:hAnsi="Arial" w:cs="Arial"/>
                <w:b/>
                <w:sz w:val="14"/>
                <w:szCs w:val="14"/>
                <w:u w:val="single"/>
                <w:lang w:val="es-MX" w:eastAsia="es-MX"/>
              </w:rPr>
            </w:pPr>
            <w:r w:rsidRPr="00DC563B">
              <w:rPr>
                <w:rFonts w:ascii="Arial" w:hAnsi="Arial" w:cs="Arial"/>
                <w:b/>
                <w:sz w:val="14"/>
                <w:szCs w:val="14"/>
                <w:u w:val="single"/>
                <w:lang w:val="es-MX" w:eastAsia="es-MX"/>
              </w:rPr>
              <w:t>Importe</w:t>
            </w:r>
          </w:p>
        </w:tc>
        <w:tc>
          <w:tcPr>
            <w:tcW w:w="0" w:type="auto"/>
            <w:shd w:val="clear" w:color="auto" w:fill="BFBFBF" w:themeFill="background1" w:themeFillShade="BF"/>
            <w:vAlign w:val="center"/>
            <w:hideMark/>
          </w:tcPr>
          <w:p w:rsidR="00DC563B" w:rsidRPr="00DC563B" w:rsidRDefault="00DC563B" w:rsidP="00DC563B">
            <w:pPr>
              <w:jc w:val="center"/>
              <w:rPr>
                <w:rFonts w:ascii="Arial" w:hAnsi="Arial" w:cs="Arial"/>
                <w:b/>
                <w:sz w:val="14"/>
                <w:szCs w:val="14"/>
                <w:u w:val="single"/>
                <w:lang w:val="es-MX" w:eastAsia="es-MX"/>
              </w:rPr>
            </w:pPr>
            <w:r w:rsidRPr="00DC563B">
              <w:rPr>
                <w:rFonts w:ascii="Arial" w:hAnsi="Arial" w:cs="Arial"/>
                <w:b/>
                <w:sz w:val="14"/>
                <w:szCs w:val="14"/>
                <w:u w:val="single"/>
                <w:lang w:val="es-MX" w:eastAsia="es-MX"/>
              </w:rPr>
              <w:t>.</w:t>
            </w:r>
          </w:p>
        </w:tc>
      </w:tr>
      <w:tr w:rsidR="00DC563B" w:rsidRPr="00DC563B" w:rsidTr="00DC563B">
        <w:trPr>
          <w:tblCellSpacing w:w="15" w:type="dxa"/>
          <w:jc w:val="center"/>
        </w:trPr>
        <w:tc>
          <w:tcPr>
            <w:tcW w:w="2858"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Gobierno del Estado de Nuevo León</w:t>
            </w:r>
          </w:p>
        </w:tc>
        <w:tc>
          <w:tcPr>
            <w:tcW w:w="0" w:type="auto"/>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w:t>
            </w:r>
          </w:p>
        </w:tc>
        <w:tc>
          <w:tcPr>
            <w:tcW w:w="0" w:type="auto"/>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238,825</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2858"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 xml:space="preserve">Consorcio </w:t>
            </w:r>
            <w:proofErr w:type="spellStart"/>
            <w:r w:rsidRPr="00DC563B">
              <w:rPr>
                <w:rFonts w:ascii="Arial" w:hAnsi="Arial" w:cs="Arial"/>
                <w:sz w:val="14"/>
                <w:szCs w:val="14"/>
                <w:lang w:val="es-MX" w:eastAsia="es-MX"/>
              </w:rPr>
              <w:t>Semex</w:t>
            </w:r>
            <w:proofErr w:type="spellEnd"/>
            <w:r w:rsidRPr="00DC563B">
              <w:rPr>
                <w:rFonts w:ascii="Arial" w:hAnsi="Arial" w:cs="Arial"/>
                <w:sz w:val="14"/>
                <w:szCs w:val="14"/>
                <w:lang w:val="es-MX" w:eastAsia="es-MX"/>
              </w:rPr>
              <w:t xml:space="preserve"> </w:t>
            </w:r>
            <w:proofErr w:type="spellStart"/>
            <w:r w:rsidRPr="00DC563B">
              <w:rPr>
                <w:rFonts w:ascii="Arial" w:hAnsi="Arial" w:cs="Arial"/>
                <w:sz w:val="14"/>
                <w:szCs w:val="14"/>
                <w:lang w:val="es-MX" w:eastAsia="es-MX"/>
              </w:rPr>
              <w:t>Gertrude</w:t>
            </w:r>
            <w:proofErr w:type="spellEnd"/>
            <w:r w:rsidRPr="00DC563B">
              <w:rPr>
                <w:rFonts w:ascii="Arial" w:hAnsi="Arial" w:cs="Arial"/>
                <w:sz w:val="14"/>
                <w:szCs w:val="14"/>
                <w:lang w:val="es-MX" w:eastAsia="es-MX"/>
              </w:rPr>
              <w:t>, S.A. de C.V.</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c>
          <w:tcPr>
            <w:tcW w:w="0" w:type="auto"/>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228,505</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2858"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Iusacell, S.A. de C.V.</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c>
          <w:tcPr>
            <w:tcW w:w="0" w:type="auto"/>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138,960</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2858"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Consejo Estatal de Transporte y Vialidad</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c>
          <w:tcPr>
            <w:tcW w:w="0" w:type="auto"/>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128,939</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2858"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Otros no identificados menores a $12,000</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c>
          <w:tcPr>
            <w:tcW w:w="0" w:type="auto"/>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24,141</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r>
      <w:tr w:rsidR="00DC563B" w:rsidRPr="00DC563B" w:rsidTr="00DC563B">
        <w:trPr>
          <w:tblCellSpacing w:w="15" w:type="dxa"/>
          <w:jc w:val="center"/>
        </w:trPr>
        <w:tc>
          <w:tcPr>
            <w:tcW w:w="2858" w:type="pct"/>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Apodaca</w:t>
            </w:r>
          </w:p>
        </w:tc>
        <w:tc>
          <w:tcPr>
            <w:tcW w:w="0" w:type="auto"/>
            <w:vAlign w:val="center"/>
            <w:hideMark/>
          </w:tcPr>
          <w:p w:rsidR="00DC563B" w:rsidRPr="00DC563B" w:rsidRDefault="00DC563B" w:rsidP="00DC563B">
            <w:pPr>
              <w:jc w:val="center"/>
              <w:rPr>
                <w:rFonts w:ascii="Arial" w:hAnsi="Arial" w:cs="Arial"/>
                <w:sz w:val="14"/>
                <w:szCs w:val="14"/>
                <w:lang w:val="es-MX" w:eastAsia="es-MX"/>
              </w:rPr>
            </w:pPr>
          </w:p>
        </w:tc>
        <w:tc>
          <w:tcPr>
            <w:tcW w:w="0" w:type="auto"/>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(42,793)</w:t>
            </w:r>
          </w:p>
        </w:tc>
        <w:tc>
          <w:tcPr>
            <w:tcW w:w="0" w:type="auto"/>
            <w:vAlign w:val="center"/>
            <w:hideMark/>
          </w:tcPr>
          <w:p w:rsidR="00DC563B" w:rsidRPr="00DC563B" w:rsidRDefault="00DC563B" w:rsidP="00DC563B">
            <w:pPr>
              <w:jc w:val="center"/>
              <w:rPr>
                <w:rFonts w:ascii="Arial" w:hAnsi="Arial" w:cs="Arial"/>
                <w:sz w:val="14"/>
                <w:szCs w:val="14"/>
                <w:lang w:val="es-MX" w:eastAsia="es-MX"/>
              </w:rPr>
            </w:pPr>
            <w:r w:rsidRPr="00DC563B">
              <w:rPr>
                <w:rFonts w:ascii="Arial" w:hAnsi="Arial" w:cs="Arial"/>
                <w:sz w:val="14"/>
                <w:szCs w:val="14"/>
                <w:lang w:val="es-MX" w:eastAsia="es-MX"/>
              </w:rPr>
              <w:t>[1]</w:t>
            </w:r>
          </w:p>
        </w:tc>
      </w:tr>
      <w:tr w:rsidR="00DC563B" w:rsidRPr="00DC563B" w:rsidTr="00DC563B">
        <w:trPr>
          <w:tblCellSpacing w:w="15" w:type="dxa"/>
          <w:jc w:val="center"/>
        </w:trPr>
        <w:tc>
          <w:tcPr>
            <w:tcW w:w="2858" w:type="pct"/>
            <w:vAlign w:val="center"/>
            <w:hideMark/>
          </w:tcPr>
          <w:p w:rsidR="00DC563B" w:rsidRPr="00DC563B" w:rsidRDefault="00DC563B" w:rsidP="00DC563B">
            <w:pPr>
              <w:jc w:val="center"/>
              <w:rPr>
                <w:rFonts w:ascii="Arial" w:hAnsi="Arial" w:cs="Arial"/>
                <w:b/>
                <w:bCs/>
                <w:sz w:val="14"/>
                <w:szCs w:val="14"/>
                <w:lang w:val="es-MX" w:eastAsia="es-MX"/>
              </w:rPr>
            </w:pPr>
            <w:r w:rsidRPr="00DC563B">
              <w:rPr>
                <w:rFonts w:ascii="Arial" w:hAnsi="Arial" w:cs="Arial"/>
                <w:b/>
                <w:bCs/>
                <w:sz w:val="14"/>
                <w:szCs w:val="14"/>
                <w:lang w:val="es-MX" w:eastAsia="es-MX"/>
              </w:rPr>
              <w:t>Total</w:t>
            </w:r>
          </w:p>
        </w:tc>
        <w:tc>
          <w:tcPr>
            <w:tcW w:w="0" w:type="auto"/>
            <w:vAlign w:val="center"/>
            <w:hideMark/>
          </w:tcPr>
          <w:p w:rsidR="00DC563B" w:rsidRPr="00DC563B" w:rsidRDefault="00DC563B" w:rsidP="00DC563B">
            <w:pPr>
              <w:jc w:val="center"/>
              <w:rPr>
                <w:rFonts w:ascii="Arial" w:hAnsi="Arial" w:cs="Arial"/>
                <w:b/>
                <w:bCs/>
                <w:sz w:val="14"/>
                <w:szCs w:val="14"/>
                <w:lang w:val="es-MX" w:eastAsia="es-MX"/>
              </w:rPr>
            </w:pPr>
            <w:r w:rsidRPr="00DC563B">
              <w:rPr>
                <w:rFonts w:ascii="Arial" w:hAnsi="Arial" w:cs="Arial"/>
                <w:b/>
                <w:bCs/>
                <w:sz w:val="14"/>
                <w:szCs w:val="14"/>
                <w:lang w:val="es-MX" w:eastAsia="es-MX"/>
              </w:rPr>
              <w:t>$</w:t>
            </w:r>
          </w:p>
        </w:tc>
        <w:tc>
          <w:tcPr>
            <w:tcW w:w="0" w:type="auto"/>
            <w:vAlign w:val="center"/>
            <w:hideMark/>
          </w:tcPr>
          <w:p w:rsidR="00DC563B" w:rsidRPr="00DC563B" w:rsidRDefault="00DC563B" w:rsidP="00DC563B">
            <w:pPr>
              <w:jc w:val="center"/>
              <w:rPr>
                <w:rFonts w:ascii="Arial" w:hAnsi="Arial" w:cs="Arial"/>
                <w:b/>
                <w:bCs/>
                <w:sz w:val="14"/>
                <w:szCs w:val="14"/>
                <w:lang w:val="es-MX" w:eastAsia="es-MX"/>
              </w:rPr>
            </w:pPr>
            <w:r w:rsidRPr="00DC563B">
              <w:rPr>
                <w:rFonts w:ascii="Arial" w:hAnsi="Arial" w:cs="Arial"/>
                <w:b/>
                <w:bCs/>
                <w:sz w:val="14"/>
                <w:szCs w:val="14"/>
                <w:lang w:val="es-MX" w:eastAsia="es-MX"/>
              </w:rPr>
              <w:t>716,577</w:t>
            </w:r>
          </w:p>
        </w:tc>
        <w:tc>
          <w:tcPr>
            <w:tcW w:w="0" w:type="auto"/>
            <w:vAlign w:val="center"/>
            <w:hideMark/>
          </w:tcPr>
          <w:p w:rsidR="00DC563B" w:rsidRPr="00DC563B" w:rsidRDefault="00DC563B" w:rsidP="00DC563B">
            <w:pPr>
              <w:jc w:val="center"/>
              <w:rPr>
                <w:rFonts w:ascii="Arial" w:hAnsi="Arial" w:cs="Arial"/>
                <w:b/>
                <w:bCs/>
                <w:sz w:val="14"/>
                <w:szCs w:val="14"/>
                <w:lang w:val="es-MX" w:eastAsia="es-MX"/>
              </w:rPr>
            </w:pPr>
          </w:p>
        </w:tc>
      </w:tr>
    </w:tbl>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sidRPr="00DC563B">
        <w:rPr>
          <w:rFonts w:ascii="Arial" w:hAnsi="Arial" w:cs="Arial"/>
          <w:sz w:val="24"/>
        </w:rPr>
        <w:t>(1) Registro negativo del cual el Ente Público no proporcionó integración y/o justificación del mismo.</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sidRPr="00DC563B">
        <w:rPr>
          <w:rFonts w:ascii="Arial" w:hAnsi="Arial" w:cs="Arial"/>
          <w:sz w:val="24"/>
        </w:rPr>
        <w:t>El Ente Público no mostró evidencia de las gestiones efectuadas para recuperar estos saldos, por lo que pueden convertirse en incobrables.</w:t>
      </w:r>
    </w:p>
    <w:p w:rsidR="00DC563B" w:rsidRDefault="00DC563B" w:rsidP="00DC563B">
      <w:pPr>
        <w:spacing w:line="360" w:lineRule="auto"/>
        <w:contextualSpacing/>
        <w:jc w:val="both"/>
        <w:rPr>
          <w:rFonts w:ascii="Arial" w:hAnsi="Arial" w:cs="Arial"/>
          <w:sz w:val="24"/>
        </w:rPr>
      </w:pPr>
    </w:p>
    <w:p w:rsidR="00DC563B" w:rsidRDefault="00DC563B" w:rsidP="00DC563B">
      <w:pPr>
        <w:spacing w:line="360" w:lineRule="auto"/>
        <w:contextualSpacing/>
        <w:jc w:val="both"/>
        <w:rPr>
          <w:rFonts w:ascii="Arial" w:hAnsi="Arial" w:cs="Arial"/>
          <w:sz w:val="24"/>
        </w:rPr>
      </w:pPr>
      <w:r w:rsidRPr="00DC563B">
        <w:rPr>
          <w:rFonts w:ascii="Arial" w:hAnsi="Arial" w:cs="Arial"/>
          <w:sz w:val="24"/>
        </w:rPr>
        <w:lastRenderedPageBreak/>
        <w:t>Al revisar eventos posteriores al 31 de marzo de 2016, continúa sin ser recuperado.</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b/>
          <w:sz w:val="24"/>
        </w:rPr>
      </w:pPr>
      <w:r w:rsidRPr="00DC563B">
        <w:rPr>
          <w:rFonts w:ascii="Arial" w:hAnsi="Arial" w:cs="Arial"/>
          <w:b/>
          <w:sz w:val="24"/>
        </w:rPr>
        <w:t>Análisis de la Auditoría Superior del Estado</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Pr>
          <w:rFonts w:ascii="Arial" w:hAnsi="Arial" w:cs="Arial"/>
          <w:sz w:val="24"/>
        </w:rPr>
        <w:t>La Auditoría</w:t>
      </w:r>
      <w:r w:rsidRPr="00DC563B">
        <w:rPr>
          <w:rFonts w:ascii="Arial" w:hAnsi="Arial" w:cs="Arial"/>
          <w:sz w:val="24"/>
        </w:rPr>
        <w:t xml:space="preserve"> analizó la respuesta y documentación proporcionada por el Ente Público,</w:t>
      </w:r>
      <w:r>
        <w:rPr>
          <w:rFonts w:ascii="Arial" w:hAnsi="Arial" w:cs="Arial"/>
          <w:sz w:val="24"/>
        </w:rPr>
        <w:t xml:space="preserve"> y determinó que esta observación se solventó</w:t>
      </w:r>
      <w:r w:rsidRPr="00DC563B">
        <w:rPr>
          <w:rFonts w:ascii="Arial" w:hAnsi="Arial" w:cs="Arial"/>
          <w:sz w:val="24"/>
        </w:rPr>
        <w:t xml:space="preserve"> parcialmente,</w:t>
      </w:r>
      <w:r>
        <w:rPr>
          <w:rFonts w:ascii="Arial" w:hAnsi="Arial" w:cs="Arial"/>
          <w:sz w:val="24"/>
        </w:rPr>
        <w:t xml:space="preserve"> ya que</w:t>
      </w:r>
      <w:r w:rsidRPr="00DC563B">
        <w:rPr>
          <w:rFonts w:ascii="Arial" w:hAnsi="Arial" w:cs="Arial"/>
          <w:sz w:val="24"/>
        </w:rPr>
        <w:t xml:space="preserve"> aún y cuando</w:t>
      </w:r>
      <w:r>
        <w:rPr>
          <w:rFonts w:ascii="Arial" w:hAnsi="Arial" w:cs="Arial"/>
          <w:sz w:val="24"/>
        </w:rPr>
        <w:t xml:space="preserve"> se había realizado</w:t>
      </w:r>
      <w:r w:rsidRPr="00DC563B">
        <w:rPr>
          <w:rFonts w:ascii="Arial" w:hAnsi="Arial" w:cs="Arial"/>
          <w:sz w:val="24"/>
        </w:rPr>
        <w:t xml:space="preserve"> la cancelación de la cuenta por cobrar a cargo del Gobierno del Estado de Nuevo </w:t>
      </w:r>
      <w:proofErr w:type="spellStart"/>
      <w:r w:rsidRPr="00DC563B">
        <w:rPr>
          <w:rFonts w:ascii="Arial" w:hAnsi="Arial" w:cs="Arial"/>
          <w:sz w:val="24"/>
        </w:rPr>
        <w:t>Leon</w:t>
      </w:r>
      <w:proofErr w:type="spellEnd"/>
      <w:r w:rsidRPr="00DC563B">
        <w:rPr>
          <w:rFonts w:ascii="Arial" w:hAnsi="Arial" w:cs="Arial"/>
          <w:sz w:val="24"/>
        </w:rPr>
        <w:t>, del restante observado, no exhibió</w:t>
      </w:r>
      <w:r>
        <w:rPr>
          <w:rFonts w:ascii="Arial" w:hAnsi="Arial" w:cs="Arial"/>
          <w:sz w:val="24"/>
        </w:rPr>
        <w:t xml:space="preserve"> las</w:t>
      </w:r>
      <w:r w:rsidRPr="00DC563B">
        <w:rPr>
          <w:rFonts w:ascii="Arial" w:hAnsi="Arial" w:cs="Arial"/>
          <w:sz w:val="24"/>
        </w:rPr>
        <w:t xml:space="preserve"> gestiones de cobro, ni ha</w:t>
      </w:r>
      <w:r>
        <w:rPr>
          <w:rFonts w:ascii="Arial" w:hAnsi="Arial" w:cs="Arial"/>
          <w:sz w:val="24"/>
        </w:rPr>
        <w:t>bía</w:t>
      </w:r>
      <w:r w:rsidRPr="00DC563B">
        <w:rPr>
          <w:rFonts w:ascii="Arial" w:hAnsi="Arial" w:cs="Arial"/>
          <w:sz w:val="24"/>
        </w:rPr>
        <w:t xml:space="preserve"> contemplado acciones alternativa</w:t>
      </w:r>
      <w:r>
        <w:rPr>
          <w:rFonts w:ascii="Arial" w:hAnsi="Arial" w:cs="Arial"/>
          <w:sz w:val="24"/>
        </w:rPr>
        <w:t>s para la recuperación de citadas</w:t>
      </w:r>
      <w:r w:rsidRPr="00DC563B">
        <w:rPr>
          <w:rFonts w:ascii="Arial" w:hAnsi="Arial" w:cs="Arial"/>
          <w:sz w:val="24"/>
        </w:rPr>
        <w:t xml:space="preserve"> cuentas por cobrar con antigüedad mayor a un año, además no proporcionó integración del saldo negativo con el municipio de Apodaca por $42,793.</w:t>
      </w:r>
    </w:p>
    <w:p w:rsidR="00FA266A" w:rsidRDefault="00FA266A" w:rsidP="00E42294">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b/>
          <w:sz w:val="24"/>
        </w:rPr>
      </w:pPr>
      <w:r w:rsidRPr="00DC563B">
        <w:rPr>
          <w:rFonts w:ascii="Arial" w:hAnsi="Arial" w:cs="Arial"/>
          <w:b/>
          <w:sz w:val="24"/>
        </w:rPr>
        <w:t>Acción(es) o recomendación(es) emitida(s)</w:t>
      </w:r>
    </w:p>
    <w:p w:rsidR="00DC563B" w:rsidRPr="00DC563B" w:rsidRDefault="00DC563B" w:rsidP="00DC563B">
      <w:pPr>
        <w:spacing w:line="360" w:lineRule="auto"/>
        <w:contextualSpacing/>
        <w:jc w:val="both"/>
        <w:rPr>
          <w:rFonts w:ascii="Arial" w:hAnsi="Arial" w:cs="Arial"/>
          <w:i/>
          <w:sz w:val="24"/>
        </w:rPr>
      </w:pPr>
      <w:r w:rsidRPr="00DC563B">
        <w:rPr>
          <w:rFonts w:ascii="Arial" w:hAnsi="Arial" w:cs="Arial"/>
          <w:i/>
          <w:sz w:val="24"/>
        </w:rPr>
        <w:t>Recomendaciones en Relación a la Gestión o Control Interno.</w:t>
      </w:r>
    </w:p>
    <w:p w:rsidR="00FA266A" w:rsidRDefault="00FA266A" w:rsidP="00E42294">
      <w:pPr>
        <w:spacing w:line="360" w:lineRule="auto"/>
        <w:contextualSpacing/>
        <w:jc w:val="both"/>
        <w:rPr>
          <w:rFonts w:ascii="Arial" w:hAnsi="Arial" w:cs="Arial"/>
          <w:sz w:val="24"/>
        </w:rPr>
      </w:pPr>
    </w:p>
    <w:p w:rsidR="00DC563B" w:rsidRDefault="00DC563B" w:rsidP="00E42294">
      <w:pPr>
        <w:spacing w:line="360" w:lineRule="auto"/>
        <w:contextualSpacing/>
        <w:jc w:val="both"/>
        <w:rPr>
          <w:rFonts w:ascii="Arial" w:hAnsi="Arial" w:cs="Arial"/>
          <w:sz w:val="24"/>
        </w:rPr>
      </w:pPr>
      <w:r>
        <w:rPr>
          <w:rFonts w:ascii="Arial" w:hAnsi="Arial" w:cs="Arial"/>
          <w:sz w:val="24"/>
        </w:rPr>
        <w:t xml:space="preserve">4. </w:t>
      </w:r>
      <w:r w:rsidRPr="00DC563B">
        <w:rPr>
          <w:rFonts w:ascii="Arial" w:hAnsi="Arial" w:cs="Arial"/>
          <w:sz w:val="24"/>
        </w:rPr>
        <w:t xml:space="preserve">El Ente Público registró una traspaso de saldos de cuentas por cobrar del Municipio de Monterrey a una cuenta contable (1106-0001-016-000) del Gobierno del Estado de Nuevo León, según póliza de diario 6 del 30 de abril de 2015 por $2,676,608, observando que no proporcionó documentación que compruebe y justifique que el Gobierno del Estado se obligue al pago de la deuda a cargo del Municipio de Monterrey, incumpliendo con lo establecido en los artículos 42 primer párrafo en concordancia con el 43 de la Ley General de </w:t>
      </w:r>
      <w:r w:rsidRPr="00DC563B">
        <w:rPr>
          <w:rFonts w:ascii="Arial" w:hAnsi="Arial" w:cs="Arial"/>
          <w:sz w:val="24"/>
        </w:rPr>
        <w:lastRenderedPageBreak/>
        <w:t>Contabilidad Gubernamental y 15 de la Ley de Fiscalización Superior del Estado de Nuevo León.</w:t>
      </w:r>
    </w:p>
    <w:p w:rsidR="00DC563B" w:rsidRDefault="00DC563B" w:rsidP="00E42294">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b/>
          <w:sz w:val="24"/>
        </w:rPr>
      </w:pPr>
      <w:r w:rsidRPr="00DC563B">
        <w:rPr>
          <w:rFonts w:ascii="Arial" w:hAnsi="Arial" w:cs="Arial"/>
          <w:b/>
          <w:sz w:val="24"/>
        </w:rPr>
        <w:t>Acción(es) o recomendación(es) emitida(s)</w:t>
      </w:r>
    </w:p>
    <w:p w:rsidR="00DC563B" w:rsidRPr="00DC563B" w:rsidRDefault="00DC563B" w:rsidP="00DC563B">
      <w:pPr>
        <w:spacing w:line="360" w:lineRule="auto"/>
        <w:contextualSpacing/>
        <w:jc w:val="both"/>
        <w:rPr>
          <w:rFonts w:ascii="Arial" w:hAnsi="Arial" w:cs="Arial"/>
          <w:i/>
          <w:sz w:val="24"/>
        </w:rPr>
      </w:pPr>
      <w:r w:rsidRPr="00DC563B">
        <w:rPr>
          <w:rFonts w:ascii="Arial" w:hAnsi="Arial" w:cs="Arial"/>
          <w:i/>
          <w:sz w:val="24"/>
        </w:rPr>
        <w:t>Promoción de Fincamiento de Responsabilidad Administrativa.</w:t>
      </w:r>
    </w:p>
    <w:p w:rsidR="006B4B75" w:rsidRDefault="006B4B75" w:rsidP="00E42294">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Pr>
          <w:rFonts w:ascii="Arial" w:hAnsi="Arial" w:cs="Arial"/>
          <w:sz w:val="24"/>
        </w:rPr>
        <w:t xml:space="preserve">5. </w:t>
      </w:r>
      <w:r w:rsidRPr="00DC563B">
        <w:rPr>
          <w:rFonts w:ascii="Arial" w:hAnsi="Arial" w:cs="Arial"/>
          <w:sz w:val="24"/>
        </w:rPr>
        <w:t xml:space="preserve">Se observó que el Ente Público acredita al 100% el Impuesto al Valor Agregado que le es trasladado, siendo que no todos sus ingresos son gravados con IVA, incumpliendo con lo establecido en el artículo 5, fracción V, inciso C de la Ley del Impuesto al Valor Agregado que establece: "c) Cuando el contribuyente utilice indistintamente bienes diferentes a las inversiones a que se refiere el inciso d) de esta fracción, servicios o el uso o goce temporal de bienes, para realizar las actividades por las que se deba pagar el impuesto al valor agregado, para realizar actividades a las que conforme esta Ley les sea aplicable la tasa de 0% o para realizar las actividades por las que no se deba pagar el impuesto que establece esta Ley, el </w:t>
      </w:r>
      <w:proofErr w:type="spellStart"/>
      <w:r w:rsidRPr="00DC563B">
        <w:rPr>
          <w:rFonts w:ascii="Arial" w:hAnsi="Arial" w:cs="Arial"/>
          <w:sz w:val="24"/>
        </w:rPr>
        <w:t>acreditamiento</w:t>
      </w:r>
      <w:proofErr w:type="spellEnd"/>
      <w:r w:rsidRPr="00DC563B">
        <w:rPr>
          <w:rFonts w:ascii="Arial" w:hAnsi="Arial" w:cs="Arial"/>
          <w:sz w:val="24"/>
        </w:rPr>
        <w:t xml:space="preserve"> procederá únicamente en la proporción en la que el valor de las actividades por las que deba pagarse el impuesto al valor agregado o a las que se aplique la tasa de 0%, represente en el valor total de las actividades mencionadas que el contribuyente realice en el mes de que se trate, y..."</w:t>
      </w:r>
    </w:p>
    <w:p w:rsidR="00DC563B" w:rsidRDefault="00DC563B" w:rsidP="00DC563B">
      <w:pPr>
        <w:spacing w:line="360" w:lineRule="auto"/>
        <w:contextualSpacing/>
        <w:jc w:val="both"/>
        <w:rPr>
          <w:rFonts w:ascii="Arial" w:hAnsi="Arial" w:cs="Arial"/>
          <w:sz w:val="24"/>
        </w:rPr>
      </w:pPr>
    </w:p>
    <w:p w:rsidR="00DC563B" w:rsidRDefault="00DC563B" w:rsidP="00DC563B">
      <w:pPr>
        <w:spacing w:line="360" w:lineRule="auto"/>
        <w:contextualSpacing/>
        <w:jc w:val="both"/>
        <w:rPr>
          <w:rFonts w:ascii="Arial" w:hAnsi="Arial" w:cs="Arial"/>
          <w:sz w:val="24"/>
        </w:rPr>
      </w:pPr>
      <w:r w:rsidRPr="00DC563B">
        <w:rPr>
          <w:rFonts w:ascii="Arial" w:hAnsi="Arial" w:cs="Arial"/>
          <w:sz w:val="24"/>
        </w:rPr>
        <w:t>Cabe señalar que esta observación es reincidente en relación con la Cuenta Pública de 2014.</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b/>
          <w:sz w:val="24"/>
        </w:rPr>
      </w:pPr>
      <w:r w:rsidRPr="00DC563B">
        <w:rPr>
          <w:rFonts w:ascii="Arial" w:hAnsi="Arial" w:cs="Arial"/>
          <w:b/>
          <w:sz w:val="24"/>
        </w:rPr>
        <w:t>Acción(es) o recomendación(es) emitida(s)</w:t>
      </w:r>
    </w:p>
    <w:p w:rsidR="00DC563B" w:rsidRPr="00DC563B" w:rsidRDefault="00DC563B" w:rsidP="00DC563B">
      <w:pPr>
        <w:spacing w:line="360" w:lineRule="auto"/>
        <w:contextualSpacing/>
        <w:jc w:val="both"/>
        <w:rPr>
          <w:rFonts w:ascii="Arial" w:hAnsi="Arial" w:cs="Arial"/>
          <w:i/>
          <w:sz w:val="24"/>
        </w:rPr>
      </w:pPr>
      <w:r w:rsidRPr="00DC563B">
        <w:rPr>
          <w:rFonts w:ascii="Arial" w:hAnsi="Arial" w:cs="Arial"/>
          <w:i/>
          <w:sz w:val="24"/>
        </w:rPr>
        <w:lastRenderedPageBreak/>
        <w:t>Promoción de Fincamiento de Responsabilidad Administrativa.</w:t>
      </w:r>
    </w:p>
    <w:p w:rsidR="00DC563B" w:rsidRPr="00DC563B" w:rsidRDefault="00DC563B" w:rsidP="00DC563B">
      <w:pPr>
        <w:spacing w:line="360" w:lineRule="auto"/>
        <w:contextualSpacing/>
        <w:jc w:val="both"/>
        <w:rPr>
          <w:rFonts w:ascii="Arial" w:hAnsi="Arial" w:cs="Arial"/>
          <w:i/>
          <w:sz w:val="24"/>
        </w:rPr>
      </w:pPr>
      <w:r w:rsidRPr="00DC563B">
        <w:rPr>
          <w:rFonts w:ascii="Arial" w:hAnsi="Arial" w:cs="Arial"/>
          <w:i/>
          <w:sz w:val="24"/>
        </w:rPr>
        <w:t>Promoción del Ejercicio de la Facultad de Comprobación Fiscal.</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b/>
          <w:sz w:val="24"/>
          <w:u w:val="single"/>
        </w:rPr>
      </w:pPr>
      <w:r w:rsidRPr="00DC563B">
        <w:rPr>
          <w:rFonts w:ascii="Arial" w:hAnsi="Arial" w:cs="Arial"/>
          <w:b/>
          <w:sz w:val="24"/>
          <w:u w:val="single"/>
        </w:rPr>
        <w:t>Activo no circulante</w:t>
      </w:r>
    </w:p>
    <w:p w:rsidR="00DC563B" w:rsidRPr="00DC563B" w:rsidRDefault="00DC563B" w:rsidP="00DC563B">
      <w:pPr>
        <w:spacing w:line="360" w:lineRule="auto"/>
        <w:contextualSpacing/>
        <w:jc w:val="both"/>
        <w:rPr>
          <w:rFonts w:ascii="Arial" w:hAnsi="Arial" w:cs="Arial"/>
          <w:b/>
          <w:sz w:val="24"/>
          <w:u w:val="single"/>
        </w:rPr>
      </w:pPr>
      <w:r w:rsidRPr="00DC563B">
        <w:rPr>
          <w:rFonts w:ascii="Arial" w:hAnsi="Arial" w:cs="Arial"/>
          <w:b/>
          <w:sz w:val="24"/>
          <w:u w:val="single"/>
        </w:rPr>
        <w:t>Depreciación, deterioro y amortización acumulada de bienes e intangibles</w:t>
      </w:r>
    </w:p>
    <w:p w:rsidR="006B4B75" w:rsidRDefault="006B4B75" w:rsidP="00E42294">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Pr>
          <w:rFonts w:ascii="Arial" w:hAnsi="Arial" w:cs="Arial"/>
          <w:sz w:val="24"/>
        </w:rPr>
        <w:t xml:space="preserve">6. </w:t>
      </w:r>
      <w:r w:rsidRPr="00DC563B">
        <w:rPr>
          <w:rFonts w:ascii="Arial" w:hAnsi="Arial" w:cs="Arial"/>
          <w:sz w:val="24"/>
        </w:rPr>
        <w:t>En el ejercicio 2015 el Ente Público proporcionó cálculo de la depreciación de bienes, observando lo siguiente:</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sidRPr="00DC563B">
        <w:rPr>
          <w:rFonts w:ascii="Arial" w:hAnsi="Arial" w:cs="Arial"/>
          <w:sz w:val="24"/>
        </w:rPr>
        <w:t>1.- No realizó una estimación adecuada para la vida útil de los activos, dado que mantiene en el inventario al 31 de diciembre de 2015 bienes que sobrepasan los años de utilidad que se espera de los activos.</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sidRPr="00DC563B">
        <w:rPr>
          <w:rFonts w:ascii="Arial" w:hAnsi="Arial" w:cs="Arial"/>
          <w:sz w:val="24"/>
        </w:rPr>
        <w:t>2.- No elaboró una estimación para el valor de desecho, dado que no existe este valor asignado en el cálculo.</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sidRPr="00DC563B">
        <w:rPr>
          <w:rFonts w:ascii="Arial" w:hAnsi="Arial" w:cs="Arial"/>
          <w:sz w:val="24"/>
        </w:rPr>
        <w:t>3.- No proporcionó el dictamen técnico, peritaje obtenido o estudio realizado de la vida útil de los bienes y que considere según corresponda, los elementos siguientes:</w:t>
      </w: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Pr>
          <w:rFonts w:ascii="Arial" w:hAnsi="Arial" w:cs="Arial"/>
          <w:sz w:val="24"/>
        </w:rPr>
        <w:t xml:space="preserve">a) </w:t>
      </w:r>
      <w:r w:rsidRPr="00DC563B">
        <w:rPr>
          <w:rFonts w:ascii="Arial" w:hAnsi="Arial" w:cs="Arial"/>
          <w:sz w:val="24"/>
        </w:rPr>
        <w:t>El uso que el ente público espera realizar del activo. El uso se estima por referencia a la capacidad o rendimiento físico esperado del activo.</w:t>
      </w:r>
    </w:p>
    <w:p w:rsidR="00DC563B" w:rsidRP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Pr>
          <w:rFonts w:ascii="Arial" w:hAnsi="Arial" w:cs="Arial"/>
          <w:sz w:val="24"/>
        </w:rPr>
        <w:t xml:space="preserve">b) </w:t>
      </w:r>
      <w:r w:rsidRPr="00DC563B">
        <w:rPr>
          <w:rFonts w:ascii="Arial" w:hAnsi="Arial" w:cs="Arial"/>
          <w:sz w:val="24"/>
        </w:rPr>
        <w:t xml:space="preserve">El deterioro natural esperado, que depende de factores operativos tales como el número de turnos de trabajo en los que será usado el bien, el programa </w:t>
      </w:r>
      <w:r w:rsidRPr="00DC563B">
        <w:rPr>
          <w:rFonts w:ascii="Arial" w:hAnsi="Arial" w:cs="Arial"/>
          <w:sz w:val="24"/>
        </w:rPr>
        <w:lastRenderedPageBreak/>
        <w:t>de reparaciones y mantenimiento del ente, así como el nivel de cuidado y mantenimiento mientras el activo no está siendo dedicado a tareas productivas.</w:t>
      </w:r>
    </w:p>
    <w:p w:rsidR="00DC563B" w:rsidRP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Pr>
          <w:rFonts w:ascii="Arial" w:hAnsi="Arial" w:cs="Arial"/>
          <w:sz w:val="24"/>
        </w:rPr>
        <w:t xml:space="preserve">c) </w:t>
      </w:r>
      <w:r w:rsidRPr="00DC563B">
        <w:rPr>
          <w:rFonts w:ascii="Arial" w:hAnsi="Arial" w:cs="Arial"/>
          <w:sz w:val="24"/>
        </w:rPr>
        <w:t>La obsolescencia técnica derivada de los cambios y mejoras en la producción, o bien de los cambios en la demanda del mercado de los productos o servicios que se obtienen con el activo; y</w:t>
      </w:r>
    </w:p>
    <w:p w:rsidR="00DC563B" w:rsidRP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sz w:val="24"/>
        </w:rPr>
      </w:pPr>
      <w:r>
        <w:rPr>
          <w:rFonts w:ascii="Arial" w:hAnsi="Arial" w:cs="Arial"/>
          <w:sz w:val="24"/>
        </w:rPr>
        <w:t xml:space="preserve">d) </w:t>
      </w:r>
      <w:r w:rsidRPr="00DC563B">
        <w:rPr>
          <w:rFonts w:ascii="Arial" w:hAnsi="Arial" w:cs="Arial"/>
          <w:sz w:val="24"/>
        </w:rPr>
        <w:t>Los límites legales o restricciones similares sobre el uso del activo, tales como las fechas de caducidad de los contratos de servicio relacionados con el bien.</w:t>
      </w:r>
    </w:p>
    <w:p w:rsidR="00DC563B" w:rsidRPr="00DC563B" w:rsidRDefault="00DC563B" w:rsidP="00DC563B">
      <w:pPr>
        <w:spacing w:line="360" w:lineRule="auto"/>
        <w:contextualSpacing/>
        <w:jc w:val="both"/>
        <w:rPr>
          <w:rFonts w:ascii="Arial" w:hAnsi="Arial" w:cs="Arial"/>
          <w:sz w:val="24"/>
        </w:rPr>
      </w:pPr>
    </w:p>
    <w:p w:rsidR="00DC563B" w:rsidRDefault="00DC563B" w:rsidP="00DC563B">
      <w:pPr>
        <w:spacing w:line="360" w:lineRule="auto"/>
        <w:contextualSpacing/>
        <w:jc w:val="both"/>
        <w:rPr>
          <w:rFonts w:ascii="Arial" w:hAnsi="Arial" w:cs="Arial"/>
          <w:sz w:val="24"/>
        </w:rPr>
      </w:pPr>
      <w:r w:rsidRPr="00DC563B">
        <w:rPr>
          <w:rFonts w:ascii="Arial" w:hAnsi="Arial" w:cs="Arial"/>
          <w:sz w:val="24"/>
        </w:rPr>
        <w:t>Lo anterior en contravención de lo señalado en el Acuerdo por el que se emiten las reglas específicas del registro y valoración del patrimonio (inciso B - punto 6-Depreciación, deterioro y amortización, del ejercicio y acumulada de bienes), estableciendo su observancia obligatoria, de conformidad con el artículo 7 de la Ley General de Contabilidad Gubernamental.</w:t>
      </w:r>
    </w:p>
    <w:p w:rsidR="00DC563B" w:rsidRDefault="00DC563B" w:rsidP="00DC563B">
      <w:pPr>
        <w:spacing w:line="360" w:lineRule="auto"/>
        <w:contextualSpacing/>
        <w:jc w:val="both"/>
        <w:rPr>
          <w:rFonts w:ascii="Arial" w:hAnsi="Arial" w:cs="Arial"/>
          <w:sz w:val="24"/>
        </w:rPr>
      </w:pP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b/>
          <w:sz w:val="24"/>
        </w:rPr>
      </w:pPr>
      <w:r w:rsidRPr="00DC563B">
        <w:rPr>
          <w:rFonts w:ascii="Arial" w:hAnsi="Arial" w:cs="Arial"/>
          <w:b/>
          <w:sz w:val="24"/>
        </w:rPr>
        <w:t>Acción(es) o recomendación(es) emitida(s)</w:t>
      </w:r>
    </w:p>
    <w:p w:rsidR="00DC563B" w:rsidRPr="00DC563B" w:rsidRDefault="00DC563B" w:rsidP="00DC563B">
      <w:pPr>
        <w:spacing w:line="360" w:lineRule="auto"/>
        <w:contextualSpacing/>
        <w:jc w:val="both"/>
        <w:rPr>
          <w:rFonts w:ascii="Arial" w:hAnsi="Arial" w:cs="Arial"/>
          <w:i/>
          <w:sz w:val="24"/>
        </w:rPr>
      </w:pPr>
      <w:r w:rsidRPr="00DC563B">
        <w:rPr>
          <w:rFonts w:ascii="Arial" w:hAnsi="Arial" w:cs="Arial"/>
          <w:i/>
          <w:sz w:val="24"/>
        </w:rPr>
        <w:t>Promoción de Fincamiento de Responsabilidad Administrativa.</w:t>
      </w:r>
    </w:p>
    <w:p w:rsidR="00DC563B" w:rsidRDefault="00DC563B" w:rsidP="00DC563B">
      <w:pPr>
        <w:spacing w:line="360" w:lineRule="auto"/>
        <w:contextualSpacing/>
        <w:jc w:val="both"/>
        <w:rPr>
          <w:rFonts w:ascii="Arial" w:hAnsi="Arial" w:cs="Arial"/>
          <w:sz w:val="24"/>
        </w:rPr>
      </w:pPr>
    </w:p>
    <w:p w:rsidR="00DC563B" w:rsidRDefault="00DC563B" w:rsidP="00DC563B">
      <w:pPr>
        <w:spacing w:line="360" w:lineRule="auto"/>
        <w:contextualSpacing/>
        <w:jc w:val="both"/>
        <w:rPr>
          <w:rFonts w:ascii="Arial" w:hAnsi="Arial" w:cs="Arial"/>
          <w:sz w:val="24"/>
        </w:rPr>
      </w:pPr>
    </w:p>
    <w:p w:rsidR="00DC563B" w:rsidRPr="00DC563B" w:rsidRDefault="00DC563B" w:rsidP="00DC563B">
      <w:pPr>
        <w:spacing w:line="360" w:lineRule="auto"/>
        <w:contextualSpacing/>
        <w:jc w:val="both"/>
        <w:rPr>
          <w:rFonts w:ascii="Arial" w:hAnsi="Arial" w:cs="Arial"/>
          <w:b/>
          <w:sz w:val="24"/>
          <w:u w:val="single"/>
        </w:rPr>
      </w:pPr>
      <w:r w:rsidRPr="00DC563B">
        <w:rPr>
          <w:rFonts w:ascii="Arial" w:hAnsi="Arial" w:cs="Arial"/>
          <w:b/>
          <w:sz w:val="24"/>
          <w:u w:val="single"/>
        </w:rPr>
        <w:t>PASIVO</w:t>
      </w:r>
    </w:p>
    <w:p w:rsidR="00DC563B" w:rsidRPr="00DC563B" w:rsidRDefault="00DC563B" w:rsidP="00DC563B">
      <w:pPr>
        <w:spacing w:line="360" w:lineRule="auto"/>
        <w:contextualSpacing/>
        <w:jc w:val="both"/>
        <w:rPr>
          <w:rFonts w:ascii="Arial" w:hAnsi="Arial" w:cs="Arial"/>
          <w:b/>
          <w:sz w:val="24"/>
          <w:u w:val="single"/>
        </w:rPr>
      </w:pPr>
      <w:r w:rsidRPr="00DC563B">
        <w:rPr>
          <w:rFonts w:ascii="Arial" w:hAnsi="Arial" w:cs="Arial"/>
          <w:b/>
          <w:sz w:val="24"/>
          <w:u w:val="single"/>
        </w:rPr>
        <w:t>Pasivo circulante</w:t>
      </w:r>
    </w:p>
    <w:p w:rsidR="00DC563B" w:rsidRPr="00DC563B" w:rsidRDefault="00DC563B" w:rsidP="00DC563B">
      <w:pPr>
        <w:spacing w:line="360" w:lineRule="auto"/>
        <w:contextualSpacing/>
        <w:jc w:val="both"/>
        <w:rPr>
          <w:rFonts w:ascii="Arial" w:hAnsi="Arial" w:cs="Arial"/>
          <w:b/>
          <w:sz w:val="24"/>
          <w:u w:val="single"/>
        </w:rPr>
      </w:pPr>
      <w:r w:rsidRPr="00DC563B">
        <w:rPr>
          <w:rFonts w:ascii="Arial" w:hAnsi="Arial" w:cs="Arial"/>
          <w:b/>
          <w:sz w:val="24"/>
          <w:u w:val="single"/>
        </w:rPr>
        <w:t>Cuentas por pagar a corto plazo</w:t>
      </w:r>
    </w:p>
    <w:p w:rsidR="00DC563B" w:rsidRPr="00DC563B" w:rsidRDefault="00DC563B" w:rsidP="00DC563B">
      <w:pPr>
        <w:spacing w:line="360" w:lineRule="auto"/>
        <w:contextualSpacing/>
        <w:jc w:val="both"/>
        <w:rPr>
          <w:rFonts w:ascii="Arial" w:hAnsi="Arial" w:cs="Arial"/>
          <w:b/>
          <w:sz w:val="24"/>
          <w:u w:val="single"/>
        </w:rPr>
      </w:pPr>
      <w:r w:rsidRPr="00DC563B">
        <w:rPr>
          <w:rFonts w:ascii="Arial" w:hAnsi="Arial" w:cs="Arial"/>
          <w:b/>
          <w:sz w:val="24"/>
          <w:u w:val="single"/>
        </w:rPr>
        <w:lastRenderedPageBreak/>
        <w:t>Proveedores</w:t>
      </w:r>
    </w:p>
    <w:p w:rsidR="00DC563B" w:rsidRDefault="00DC563B" w:rsidP="00DC563B">
      <w:pPr>
        <w:spacing w:line="360" w:lineRule="auto"/>
        <w:contextualSpacing/>
        <w:jc w:val="both"/>
        <w:rPr>
          <w:rFonts w:ascii="Arial" w:hAnsi="Arial" w:cs="Arial"/>
          <w:sz w:val="24"/>
        </w:rPr>
      </w:pPr>
    </w:p>
    <w:p w:rsidR="00BE1A61" w:rsidRPr="00BE1A61" w:rsidRDefault="00DC563B" w:rsidP="00BE1A61">
      <w:pPr>
        <w:spacing w:line="360" w:lineRule="auto"/>
        <w:contextualSpacing/>
        <w:jc w:val="both"/>
        <w:rPr>
          <w:rFonts w:ascii="Arial" w:hAnsi="Arial" w:cs="Arial"/>
          <w:sz w:val="24"/>
        </w:rPr>
      </w:pPr>
      <w:r>
        <w:rPr>
          <w:rFonts w:ascii="Arial" w:hAnsi="Arial" w:cs="Arial"/>
          <w:sz w:val="24"/>
        </w:rPr>
        <w:t>7.</w:t>
      </w:r>
      <w:r w:rsidR="00BE1A61" w:rsidRPr="00BE1A61">
        <w:t xml:space="preserve"> </w:t>
      </w:r>
      <w:r w:rsidR="00BE1A61" w:rsidRPr="00BE1A61">
        <w:rPr>
          <w:rFonts w:ascii="Arial" w:hAnsi="Arial" w:cs="Arial"/>
          <w:sz w:val="24"/>
        </w:rPr>
        <w:t xml:space="preserve">El Ente Público mantiene un saldo por pagar a Consorcio </w:t>
      </w:r>
      <w:proofErr w:type="spellStart"/>
      <w:r w:rsidR="00BE1A61" w:rsidRPr="00BE1A61">
        <w:rPr>
          <w:rFonts w:ascii="Arial" w:hAnsi="Arial" w:cs="Arial"/>
          <w:sz w:val="24"/>
        </w:rPr>
        <w:t>Semex</w:t>
      </w:r>
      <w:proofErr w:type="spellEnd"/>
      <w:r w:rsidR="00BE1A61" w:rsidRPr="00BE1A61">
        <w:rPr>
          <w:rFonts w:ascii="Arial" w:hAnsi="Arial" w:cs="Arial"/>
          <w:sz w:val="24"/>
        </w:rPr>
        <w:t xml:space="preserve"> </w:t>
      </w:r>
      <w:proofErr w:type="spellStart"/>
      <w:r w:rsidR="00BE1A61" w:rsidRPr="00BE1A61">
        <w:rPr>
          <w:rFonts w:ascii="Arial" w:hAnsi="Arial" w:cs="Arial"/>
          <w:sz w:val="24"/>
        </w:rPr>
        <w:t>Gertude</w:t>
      </w:r>
      <w:proofErr w:type="spellEnd"/>
      <w:r w:rsidR="00BE1A61" w:rsidRPr="00BE1A61">
        <w:rPr>
          <w:rFonts w:ascii="Arial" w:hAnsi="Arial" w:cs="Arial"/>
          <w:sz w:val="24"/>
        </w:rPr>
        <w:t>, S.A. de C.V. por $5,441,253, mismo que presenta una antigüedad mayor a dos años al 31 de diciembre de 2015.</w:t>
      </w:r>
    </w:p>
    <w:p w:rsidR="00BE1A61" w:rsidRPr="00BE1A61" w:rsidRDefault="00BE1A61" w:rsidP="00BE1A61">
      <w:pPr>
        <w:spacing w:line="360" w:lineRule="auto"/>
        <w:contextualSpacing/>
        <w:jc w:val="both"/>
        <w:rPr>
          <w:rFonts w:ascii="Arial" w:hAnsi="Arial" w:cs="Arial"/>
          <w:sz w:val="24"/>
        </w:rPr>
      </w:pPr>
      <w:r w:rsidRPr="00BE1A61">
        <w:rPr>
          <w:rFonts w:ascii="Arial" w:hAnsi="Arial" w:cs="Arial"/>
          <w:sz w:val="24"/>
        </w:rPr>
        <w:t>El Ente Público no mostró evidencia de las razones por las que este saldo no ha sido liquidado o cancelado en su caso.</w:t>
      </w:r>
    </w:p>
    <w:p w:rsidR="00BE1A61" w:rsidRDefault="00BE1A61" w:rsidP="00BE1A61">
      <w:pPr>
        <w:spacing w:line="360" w:lineRule="auto"/>
        <w:contextualSpacing/>
        <w:jc w:val="both"/>
        <w:rPr>
          <w:rFonts w:ascii="Arial" w:hAnsi="Arial" w:cs="Arial"/>
          <w:sz w:val="24"/>
        </w:rPr>
      </w:pPr>
    </w:p>
    <w:p w:rsidR="00BE1A61" w:rsidRPr="00BE1A61" w:rsidRDefault="00BE1A61" w:rsidP="00BE1A61">
      <w:pPr>
        <w:spacing w:line="360" w:lineRule="auto"/>
        <w:contextualSpacing/>
        <w:jc w:val="both"/>
        <w:rPr>
          <w:rFonts w:ascii="Arial" w:hAnsi="Arial" w:cs="Arial"/>
          <w:sz w:val="24"/>
        </w:rPr>
      </w:pPr>
      <w:r w:rsidRPr="00BE1A61">
        <w:rPr>
          <w:rFonts w:ascii="Arial" w:hAnsi="Arial" w:cs="Arial"/>
          <w:sz w:val="24"/>
        </w:rPr>
        <w:t xml:space="preserve">En revisión de eventos posteriores al 31 de marzo de 2016, se observó que </w:t>
      </w:r>
      <w:proofErr w:type="spellStart"/>
      <w:r w:rsidRPr="00BE1A61">
        <w:rPr>
          <w:rFonts w:ascii="Arial" w:hAnsi="Arial" w:cs="Arial"/>
          <w:sz w:val="24"/>
        </w:rPr>
        <w:t>aun</w:t>
      </w:r>
      <w:proofErr w:type="spellEnd"/>
      <w:r w:rsidRPr="00BE1A61">
        <w:rPr>
          <w:rFonts w:ascii="Arial" w:hAnsi="Arial" w:cs="Arial"/>
          <w:sz w:val="24"/>
        </w:rPr>
        <w:t xml:space="preserve"> no ha sido liquidado.</w:t>
      </w:r>
    </w:p>
    <w:p w:rsidR="00BE1A61" w:rsidRDefault="00BE1A61" w:rsidP="00BE1A61">
      <w:pPr>
        <w:spacing w:line="360" w:lineRule="auto"/>
        <w:contextualSpacing/>
        <w:jc w:val="both"/>
        <w:rPr>
          <w:rFonts w:ascii="Arial" w:hAnsi="Arial" w:cs="Arial"/>
          <w:sz w:val="24"/>
        </w:rPr>
      </w:pPr>
    </w:p>
    <w:p w:rsidR="00DC563B" w:rsidRDefault="00BE1A61" w:rsidP="00BE1A61">
      <w:pPr>
        <w:spacing w:line="360" w:lineRule="auto"/>
        <w:contextualSpacing/>
        <w:jc w:val="both"/>
        <w:rPr>
          <w:rFonts w:ascii="Arial" w:hAnsi="Arial" w:cs="Arial"/>
          <w:sz w:val="24"/>
        </w:rPr>
      </w:pPr>
      <w:r w:rsidRPr="00BE1A61">
        <w:rPr>
          <w:rFonts w:ascii="Arial" w:hAnsi="Arial" w:cs="Arial"/>
          <w:sz w:val="24"/>
        </w:rPr>
        <w:t>Esta observación es reincidente en relación a la Cuenta Pública del ejercicio 2014.</w:t>
      </w:r>
      <w:r>
        <w:rPr>
          <w:rFonts w:ascii="Arial" w:hAnsi="Arial" w:cs="Arial"/>
          <w:sz w:val="24"/>
        </w:rPr>
        <w:t xml:space="preserve"> </w:t>
      </w:r>
    </w:p>
    <w:p w:rsidR="00BE1A61" w:rsidRDefault="00BE1A61" w:rsidP="00BE1A61">
      <w:pPr>
        <w:spacing w:line="360" w:lineRule="auto"/>
        <w:contextualSpacing/>
        <w:jc w:val="both"/>
        <w:rPr>
          <w:rFonts w:ascii="Arial" w:hAnsi="Arial" w:cs="Arial"/>
          <w:sz w:val="24"/>
        </w:rPr>
      </w:pPr>
    </w:p>
    <w:p w:rsidR="00BE1A61" w:rsidRPr="00BE1A61" w:rsidRDefault="00BE1A61" w:rsidP="00BE1A61">
      <w:pPr>
        <w:spacing w:line="360" w:lineRule="auto"/>
        <w:contextualSpacing/>
        <w:jc w:val="both"/>
        <w:rPr>
          <w:rFonts w:ascii="Arial" w:hAnsi="Arial" w:cs="Arial"/>
          <w:b/>
          <w:sz w:val="24"/>
        </w:rPr>
      </w:pPr>
      <w:r w:rsidRPr="00BE1A61">
        <w:rPr>
          <w:rFonts w:ascii="Arial" w:hAnsi="Arial" w:cs="Arial"/>
          <w:b/>
          <w:sz w:val="24"/>
        </w:rPr>
        <w:t>Acción(es) o recomendación(es) emitida(s)</w:t>
      </w:r>
    </w:p>
    <w:p w:rsidR="00BE1A61" w:rsidRPr="00BE1A61" w:rsidRDefault="00BE1A61" w:rsidP="00BE1A61">
      <w:pPr>
        <w:spacing w:line="360" w:lineRule="auto"/>
        <w:contextualSpacing/>
        <w:jc w:val="both"/>
        <w:rPr>
          <w:rFonts w:ascii="Arial" w:hAnsi="Arial" w:cs="Arial"/>
          <w:i/>
          <w:sz w:val="24"/>
        </w:rPr>
      </w:pPr>
      <w:r w:rsidRPr="00BE1A61">
        <w:rPr>
          <w:rFonts w:ascii="Arial" w:hAnsi="Arial" w:cs="Arial"/>
          <w:i/>
          <w:sz w:val="24"/>
        </w:rPr>
        <w:t>Recomendaciones en Relación a la Gestión o Control Interno.</w:t>
      </w:r>
    </w:p>
    <w:p w:rsidR="00DC563B" w:rsidRDefault="00DC563B" w:rsidP="00DC563B">
      <w:pPr>
        <w:spacing w:line="360" w:lineRule="auto"/>
        <w:contextualSpacing/>
        <w:jc w:val="both"/>
        <w:rPr>
          <w:rFonts w:ascii="Arial" w:hAnsi="Arial" w:cs="Arial"/>
          <w:sz w:val="24"/>
        </w:rPr>
      </w:pPr>
    </w:p>
    <w:p w:rsidR="00FC5666" w:rsidRPr="00FC5666" w:rsidRDefault="00FC5666" w:rsidP="00FC5666">
      <w:pPr>
        <w:spacing w:line="360" w:lineRule="auto"/>
        <w:contextualSpacing/>
        <w:jc w:val="both"/>
        <w:rPr>
          <w:rFonts w:ascii="Arial" w:hAnsi="Arial" w:cs="Arial"/>
          <w:b/>
          <w:sz w:val="24"/>
          <w:u w:val="single"/>
        </w:rPr>
      </w:pPr>
      <w:r w:rsidRPr="00FC5666">
        <w:rPr>
          <w:rFonts w:ascii="Arial" w:hAnsi="Arial" w:cs="Arial"/>
          <w:b/>
          <w:sz w:val="24"/>
          <w:u w:val="single"/>
        </w:rPr>
        <w:t>Otros pasivos a corto plazo</w:t>
      </w:r>
    </w:p>
    <w:p w:rsidR="00BE1A61" w:rsidRPr="00FC5666" w:rsidRDefault="00FC5666" w:rsidP="00FC5666">
      <w:pPr>
        <w:spacing w:line="360" w:lineRule="auto"/>
        <w:contextualSpacing/>
        <w:jc w:val="both"/>
        <w:rPr>
          <w:rFonts w:ascii="Arial" w:hAnsi="Arial" w:cs="Arial"/>
          <w:b/>
          <w:sz w:val="24"/>
          <w:u w:val="single"/>
        </w:rPr>
      </w:pPr>
      <w:r w:rsidRPr="00FC5666">
        <w:rPr>
          <w:rFonts w:ascii="Arial" w:hAnsi="Arial" w:cs="Arial"/>
          <w:b/>
          <w:sz w:val="24"/>
          <w:u w:val="single"/>
        </w:rPr>
        <w:t>IVA por pagar</w:t>
      </w:r>
    </w:p>
    <w:p w:rsidR="00DC563B" w:rsidRPr="00DC563B" w:rsidRDefault="00DC563B" w:rsidP="00DC563B">
      <w:pPr>
        <w:spacing w:line="360" w:lineRule="auto"/>
        <w:contextualSpacing/>
        <w:jc w:val="both"/>
        <w:rPr>
          <w:rFonts w:ascii="Arial" w:hAnsi="Arial" w:cs="Arial"/>
          <w:sz w:val="24"/>
        </w:rPr>
      </w:pPr>
    </w:p>
    <w:p w:rsidR="00FC5666" w:rsidRPr="00FC5666" w:rsidRDefault="00FC5666" w:rsidP="00FC5666">
      <w:pPr>
        <w:spacing w:line="360" w:lineRule="auto"/>
        <w:contextualSpacing/>
        <w:jc w:val="both"/>
        <w:rPr>
          <w:rFonts w:ascii="Arial" w:hAnsi="Arial" w:cs="Arial"/>
          <w:sz w:val="24"/>
        </w:rPr>
      </w:pPr>
      <w:r>
        <w:rPr>
          <w:rFonts w:ascii="Arial" w:hAnsi="Arial" w:cs="Arial"/>
          <w:sz w:val="24"/>
        </w:rPr>
        <w:t>8.</w:t>
      </w:r>
      <w:r w:rsidRPr="00FC5666">
        <w:t xml:space="preserve"> </w:t>
      </w:r>
      <w:r w:rsidRPr="00FC5666">
        <w:rPr>
          <w:rFonts w:ascii="Arial" w:hAnsi="Arial" w:cs="Arial"/>
          <w:sz w:val="24"/>
        </w:rPr>
        <w:t xml:space="preserve">De la revisión a la clasificación contable presentada en la Cuenta Pública al 31 de diciembre de 2015, se observó que se registró en la cuenta (2103-2000-015) IVA trasladado efectivamente cobrado, las aportaciones estatales recibidas de la Secretaría de Finanzas y Tesorería General del Estado de Nuevo León por $746,034, mismas que debieron registrarse en la cuenta de </w:t>
      </w:r>
      <w:r w:rsidRPr="00FC5666">
        <w:rPr>
          <w:rFonts w:ascii="Arial" w:hAnsi="Arial" w:cs="Arial"/>
          <w:sz w:val="24"/>
        </w:rPr>
        <w:lastRenderedPageBreak/>
        <w:t>transferencias, asignaciones, subsidios y otras ayudas (transferencias internas y asignaciones del sector público), contraviniendo lo señalado en el capítulo III plan de cuentas (codificación 4.2.2.1) del Manual de contabilidad gubernamental, estableciendo su observancia obligatoria, de conformidad con el artículo 7 de la Ley General de Contabilidad Gubernamental.</w:t>
      </w:r>
    </w:p>
    <w:p w:rsidR="00FC5666" w:rsidRPr="00FC5666" w:rsidRDefault="00FC5666" w:rsidP="00FC5666">
      <w:pPr>
        <w:spacing w:line="360" w:lineRule="auto"/>
        <w:contextualSpacing/>
        <w:jc w:val="both"/>
        <w:rPr>
          <w:rFonts w:ascii="Arial" w:hAnsi="Arial" w:cs="Arial"/>
          <w:sz w:val="24"/>
        </w:rPr>
      </w:pPr>
      <w:r w:rsidRPr="00FC5666">
        <w:rPr>
          <w:rFonts w:ascii="Arial" w:hAnsi="Arial" w:cs="Arial"/>
          <w:sz w:val="24"/>
        </w:rPr>
        <w:t>Dichas aportaciones no son actos o actividades obligadas al pago del impuesto al valor agregado (IVA) según lo establecido en el artículo 1 de la Ley al Impuesto al Valor Agregado.</w:t>
      </w:r>
    </w:p>
    <w:p w:rsidR="00FC5666" w:rsidRDefault="00FC5666" w:rsidP="00FC5666">
      <w:pPr>
        <w:spacing w:line="360" w:lineRule="auto"/>
        <w:contextualSpacing/>
        <w:jc w:val="both"/>
        <w:rPr>
          <w:rFonts w:ascii="Arial" w:hAnsi="Arial" w:cs="Arial"/>
          <w:sz w:val="24"/>
        </w:rPr>
      </w:pPr>
    </w:p>
    <w:p w:rsidR="00DC563B" w:rsidRDefault="00FC5666" w:rsidP="00FC5666">
      <w:pPr>
        <w:spacing w:line="360" w:lineRule="auto"/>
        <w:contextualSpacing/>
        <w:jc w:val="both"/>
        <w:rPr>
          <w:rFonts w:ascii="Arial" w:hAnsi="Arial" w:cs="Arial"/>
          <w:sz w:val="24"/>
        </w:rPr>
      </w:pPr>
      <w:r w:rsidRPr="00FC5666">
        <w:rPr>
          <w:rFonts w:ascii="Arial" w:hAnsi="Arial" w:cs="Arial"/>
          <w:sz w:val="24"/>
        </w:rPr>
        <w:t>Esta observación es reincidente en relación con la Cuenta Pública del 2014.</w:t>
      </w:r>
      <w:r>
        <w:rPr>
          <w:rFonts w:ascii="Arial" w:hAnsi="Arial" w:cs="Arial"/>
          <w:sz w:val="24"/>
        </w:rPr>
        <w:t xml:space="preserve"> </w:t>
      </w:r>
    </w:p>
    <w:p w:rsidR="00FC5666" w:rsidRPr="00FC5666" w:rsidRDefault="00FC5666" w:rsidP="00FC5666">
      <w:pPr>
        <w:spacing w:line="360" w:lineRule="auto"/>
        <w:contextualSpacing/>
        <w:jc w:val="both"/>
        <w:rPr>
          <w:rFonts w:ascii="Arial" w:hAnsi="Arial" w:cs="Arial"/>
          <w:b/>
          <w:sz w:val="24"/>
        </w:rPr>
      </w:pPr>
    </w:p>
    <w:p w:rsidR="00FC5666" w:rsidRPr="00FC5666" w:rsidRDefault="00FC5666" w:rsidP="00FC5666">
      <w:pPr>
        <w:spacing w:line="360" w:lineRule="auto"/>
        <w:contextualSpacing/>
        <w:jc w:val="both"/>
        <w:rPr>
          <w:rFonts w:ascii="Arial" w:hAnsi="Arial" w:cs="Arial"/>
          <w:b/>
          <w:sz w:val="24"/>
        </w:rPr>
      </w:pPr>
      <w:r w:rsidRPr="00FC5666">
        <w:rPr>
          <w:rFonts w:ascii="Arial" w:hAnsi="Arial" w:cs="Arial"/>
          <w:b/>
          <w:sz w:val="24"/>
        </w:rPr>
        <w:t>Acción(es) o recomendación(es) emitida(s)</w:t>
      </w:r>
    </w:p>
    <w:p w:rsidR="00FC5666" w:rsidRPr="00FC5666" w:rsidRDefault="00FC5666" w:rsidP="00FC5666">
      <w:pPr>
        <w:spacing w:line="360" w:lineRule="auto"/>
        <w:contextualSpacing/>
        <w:jc w:val="both"/>
        <w:rPr>
          <w:rFonts w:ascii="Arial" w:hAnsi="Arial" w:cs="Arial"/>
          <w:i/>
          <w:sz w:val="24"/>
        </w:rPr>
      </w:pPr>
      <w:r w:rsidRPr="00FC5666">
        <w:rPr>
          <w:rFonts w:ascii="Arial" w:hAnsi="Arial" w:cs="Arial"/>
          <w:i/>
          <w:sz w:val="24"/>
        </w:rPr>
        <w:t>Promoción de Fincamiento de Responsabilidad Administrativa.</w:t>
      </w:r>
    </w:p>
    <w:p w:rsidR="006B4B75" w:rsidRDefault="006B4B75" w:rsidP="00E42294">
      <w:pPr>
        <w:spacing w:line="360" w:lineRule="auto"/>
        <w:contextualSpacing/>
        <w:jc w:val="both"/>
        <w:rPr>
          <w:rFonts w:ascii="Arial" w:hAnsi="Arial" w:cs="Arial"/>
          <w:sz w:val="24"/>
        </w:rPr>
      </w:pPr>
    </w:p>
    <w:p w:rsidR="009F41E1" w:rsidRPr="009F41E1" w:rsidRDefault="009F41E1" w:rsidP="009F41E1">
      <w:pPr>
        <w:spacing w:line="360" w:lineRule="auto"/>
        <w:contextualSpacing/>
        <w:jc w:val="both"/>
        <w:rPr>
          <w:rFonts w:ascii="Arial" w:hAnsi="Arial" w:cs="Arial"/>
          <w:b/>
          <w:sz w:val="24"/>
          <w:u w:val="single"/>
        </w:rPr>
      </w:pPr>
      <w:r w:rsidRPr="009F41E1">
        <w:rPr>
          <w:rFonts w:ascii="Arial" w:hAnsi="Arial" w:cs="Arial"/>
          <w:b/>
          <w:sz w:val="24"/>
          <w:u w:val="single"/>
        </w:rPr>
        <w:t>INGRESOS Y OTROS BENEFICIOS</w:t>
      </w:r>
    </w:p>
    <w:p w:rsidR="009F41E1" w:rsidRPr="009F41E1" w:rsidRDefault="009F41E1" w:rsidP="009F41E1">
      <w:pPr>
        <w:spacing w:line="360" w:lineRule="auto"/>
        <w:contextualSpacing/>
        <w:jc w:val="both"/>
        <w:rPr>
          <w:rFonts w:ascii="Arial" w:hAnsi="Arial" w:cs="Arial"/>
          <w:b/>
          <w:sz w:val="24"/>
          <w:u w:val="single"/>
        </w:rPr>
      </w:pPr>
      <w:r w:rsidRPr="009F41E1">
        <w:rPr>
          <w:rFonts w:ascii="Arial" w:hAnsi="Arial" w:cs="Arial"/>
          <w:b/>
          <w:sz w:val="24"/>
          <w:u w:val="single"/>
        </w:rPr>
        <w:t>Participaciones, aportaciones, transferencias, asignaciones, subsidios y otras ayudas</w:t>
      </w:r>
    </w:p>
    <w:p w:rsidR="006B4B75" w:rsidRPr="009F41E1" w:rsidRDefault="009F41E1" w:rsidP="009F41E1">
      <w:pPr>
        <w:spacing w:line="360" w:lineRule="auto"/>
        <w:contextualSpacing/>
        <w:jc w:val="both"/>
        <w:rPr>
          <w:rFonts w:ascii="Arial" w:hAnsi="Arial" w:cs="Arial"/>
          <w:b/>
          <w:sz w:val="24"/>
          <w:u w:val="single"/>
        </w:rPr>
      </w:pPr>
      <w:r w:rsidRPr="009F41E1">
        <w:rPr>
          <w:rFonts w:ascii="Arial" w:hAnsi="Arial" w:cs="Arial"/>
          <w:b/>
          <w:sz w:val="24"/>
          <w:u w:val="single"/>
        </w:rPr>
        <w:t>Participaciones y aportaciones</w:t>
      </w:r>
    </w:p>
    <w:p w:rsidR="006B4B75" w:rsidRDefault="006B4B75" w:rsidP="00E42294">
      <w:pPr>
        <w:spacing w:line="360" w:lineRule="auto"/>
        <w:contextualSpacing/>
        <w:jc w:val="both"/>
        <w:rPr>
          <w:rFonts w:ascii="Arial" w:hAnsi="Arial" w:cs="Arial"/>
          <w:sz w:val="24"/>
        </w:rPr>
      </w:pPr>
    </w:p>
    <w:p w:rsidR="009F41E1" w:rsidRDefault="009F41E1" w:rsidP="00E42294">
      <w:pPr>
        <w:spacing w:line="360" w:lineRule="auto"/>
        <w:contextualSpacing/>
        <w:jc w:val="both"/>
        <w:rPr>
          <w:rFonts w:ascii="Arial" w:hAnsi="Arial" w:cs="Arial"/>
          <w:sz w:val="24"/>
        </w:rPr>
      </w:pPr>
      <w:r>
        <w:rPr>
          <w:rFonts w:ascii="Arial" w:hAnsi="Arial" w:cs="Arial"/>
          <w:sz w:val="24"/>
        </w:rPr>
        <w:t>9.</w:t>
      </w:r>
      <w:r w:rsidRPr="009F41E1">
        <w:t xml:space="preserve"> </w:t>
      </w:r>
      <w:r w:rsidRPr="009F41E1">
        <w:rPr>
          <w:rFonts w:ascii="Arial" w:hAnsi="Arial" w:cs="Arial"/>
          <w:sz w:val="24"/>
        </w:rPr>
        <w:t xml:space="preserve">De la revisión a la clasificación contable de ingresos, se observó que se registró en la cuenta de participaciones y aportaciones, las aportaciones estatales recibidas de la Secretaría de Finanzas y Tesorería General del Estado de Nuevo León por $4,662,716, mismas que debieron registrarse en la cuenta de transferencias, asignaciones, subsidios y otras ayudas (transferencias internas y asignaciones del sector público), contraviniendo a lo </w:t>
      </w:r>
      <w:r w:rsidRPr="009F41E1">
        <w:rPr>
          <w:rFonts w:ascii="Arial" w:hAnsi="Arial" w:cs="Arial"/>
          <w:sz w:val="24"/>
        </w:rPr>
        <w:lastRenderedPageBreak/>
        <w:t>señalado en el capítulo III del plan de cuentas (codificación 4.2.2.1) del Manual de Contabilidad Gubernamental, estableciendo su observancia obligatoria, de conformidad con el artículo 7 de la Ley General de Contabilidad Gubernamental.</w:t>
      </w:r>
    </w:p>
    <w:p w:rsidR="009F41E1" w:rsidRDefault="009F41E1" w:rsidP="00E42294">
      <w:pPr>
        <w:spacing w:line="360" w:lineRule="auto"/>
        <w:contextualSpacing/>
        <w:jc w:val="both"/>
        <w:rPr>
          <w:rFonts w:ascii="Arial" w:hAnsi="Arial" w:cs="Arial"/>
          <w:sz w:val="24"/>
        </w:rPr>
      </w:pPr>
    </w:p>
    <w:p w:rsidR="009F41E1" w:rsidRPr="009F41E1" w:rsidRDefault="009F41E1" w:rsidP="009F41E1">
      <w:pPr>
        <w:spacing w:line="360" w:lineRule="auto"/>
        <w:contextualSpacing/>
        <w:jc w:val="both"/>
        <w:rPr>
          <w:rFonts w:ascii="Arial" w:hAnsi="Arial" w:cs="Arial"/>
          <w:b/>
          <w:sz w:val="24"/>
        </w:rPr>
      </w:pPr>
      <w:r w:rsidRPr="009F41E1">
        <w:rPr>
          <w:rFonts w:ascii="Arial" w:hAnsi="Arial" w:cs="Arial"/>
          <w:b/>
          <w:sz w:val="24"/>
        </w:rPr>
        <w:t>Acción(es) o recomendación(es) emitida(s)</w:t>
      </w:r>
    </w:p>
    <w:p w:rsidR="006B4B75" w:rsidRPr="009F41E1" w:rsidRDefault="009F41E1" w:rsidP="009F41E1">
      <w:pPr>
        <w:spacing w:line="360" w:lineRule="auto"/>
        <w:contextualSpacing/>
        <w:jc w:val="both"/>
        <w:rPr>
          <w:rFonts w:ascii="Arial" w:hAnsi="Arial" w:cs="Arial"/>
          <w:i/>
          <w:sz w:val="24"/>
        </w:rPr>
      </w:pPr>
      <w:r w:rsidRPr="009F41E1">
        <w:rPr>
          <w:rFonts w:ascii="Arial" w:hAnsi="Arial" w:cs="Arial"/>
          <w:i/>
          <w:sz w:val="24"/>
        </w:rPr>
        <w:t xml:space="preserve">Promoción de Fincamiento de Responsabilidad Administrativa. </w:t>
      </w:r>
    </w:p>
    <w:p w:rsidR="006B4B75" w:rsidRDefault="006B4B75" w:rsidP="00E42294">
      <w:pPr>
        <w:spacing w:line="360" w:lineRule="auto"/>
        <w:contextualSpacing/>
        <w:jc w:val="both"/>
        <w:rPr>
          <w:rFonts w:ascii="Arial" w:hAnsi="Arial" w:cs="Arial"/>
          <w:sz w:val="24"/>
        </w:rPr>
      </w:pPr>
    </w:p>
    <w:p w:rsidR="009F41E1" w:rsidRPr="009F41E1" w:rsidRDefault="009F41E1" w:rsidP="009F41E1">
      <w:pPr>
        <w:spacing w:line="360" w:lineRule="auto"/>
        <w:contextualSpacing/>
        <w:jc w:val="both"/>
        <w:rPr>
          <w:rFonts w:ascii="Arial" w:hAnsi="Arial" w:cs="Arial"/>
          <w:b/>
          <w:sz w:val="24"/>
          <w:u w:val="single"/>
        </w:rPr>
      </w:pPr>
      <w:r w:rsidRPr="009F41E1">
        <w:rPr>
          <w:rFonts w:ascii="Arial" w:hAnsi="Arial" w:cs="Arial"/>
          <w:b/>
          <w:sz w:val="24"/>
          <w:u w:val="single"/>
        </w:rPr>
        <w:t>GASTOS Y OTRAS PÉRDIDAS</w:t>
      </w:r>
    </w:p>
    <w:p w:rsidR="009F41E1" w:rsidRPr="009F41E1" w:rsidRDefault="009F41E1" w:rsidP="009F41E1">
      <w:pPr>
        <w:spacing w:line="360" w:lineRule="auto"/>
        <w:contextualSpacing/>
        <w:jc w:val="both"/>
        <w:rPr>
          <w:rFonts w:ascii="Arial" w:hAnsi="Arial" w:cs="Arial"/>
          <w:b/>
          <w:sz w:val="24"/>
          <w:u w:val="single"/>
        </w:rPr>
      </w:pPr>
      <w:r w:rsidRPr="009F41E1">
        <w:rPr>
          <w:rFonts w:ascii="Arial" w:hAnsi="Arial" w:cs="Arial"/>
          <w:b/>
          <w:sz w:val="24"/>
          <w:u w:val="single"/>
        </w:rPr>
        <w:t>Gastos de funcionamiento</w:t>
      </w:r>
    </w:p>
    <w:p w:rsidR="009F41E1" w:rsidRPr="009F41E1" w:rsidRDefault="009F41E1" w:rsidP="009F41E1">
      <w:pPr>
        <w:spacing w:line="360" w:lineRule="auto"/>
        <w:contextualSpacing/>
        <w:jc w:val="both"/>
        <w:rPr>
          <w:rFonts w:ascii="Arial" w:hAnsi="Arial" w:cs="Arial"/>
          <w:b/>
          <w:sz w:val="24"/>
          <w:u w:val="single"/>
        </w:rPr>
      </w:pPr>
      <w:r w:rsidRPr="009F41E1">
        <w:rPr>
          <w:rFonts w:ascii="Arial" w:hAnsi="Arial" w:cs="Arial"/>
          <w:b/>
          <w:sz w:val="24"/>
          <w:u w:val="single"/>
        </w:rPr>
        <w:t>Servicios generales</w:t>
      </w:r>
    </w:p>
    <w:p w:rsidR="009F41E1" w:rsidRPr="009F41E1" w:rsidRDefault="009F41E1" w:rsidP="009F41E1">
      <w:pPr>
        <w:spacing w:line="360" w:lineRule="auto"/>
        <w:contextualSpacing/>
        <w:jc w:val="both"/>
        <w:rPr>
          <w:rFonts w:ascii="Arial" w:hAnsi="Arial" w:cs="Arial"/>
          <w:b/>
          <w:sz w:val="24"/>
          <w:u w:val="single"/>
        </w:rPr>
      </w:pPr>
      <w:r w:rsidRPr="009F41E1">
        <w:rPr>
          <w:rFonts w:ascii="Arial" w:hAnsi="Arial" w:cs="Arial"/>
          <w:b/>
          <w:sz w:val="24"/>
          <w:u w:val="single"/>
        </w:rPr>
        <w:t>Honorarios contables y servicios especiales</w:t>
      </w:r>
    </w:p>
    <w:p w:rsidR="006B4B75" w:rsidRDefault="006B4B75" w:rsidP="00E42294">
      <w:pPr>
        <w:spacing w:line="360" w:lineRule="auto"/>
        <w:contextualSpacing/>
        <w:jc w:val="both"/>
        <w:rPr>
          <w:rFonts w:ascii="Arial" w:hAnsi="Arial" w:cs="Arial"/>
          <w:sz w:val="24"/>
        </w:rPr>
      </w:pPr>
    </w:p>
    <w:p w:rsidR="009F41E1" w:rsidRDefault="009F41E1" w:rsidP="00E42294">
      <w:pPr>
        <w:spacing w:line="360" w:lineRule="auto"/>
        <w:contextualSpacing/>
        <w:jc w:val="both"/>
        <w:rPr>
          <w:rFonts w:ascii="Arial" w:hAnsi="Arial" w:cs="Arial"/>
          <w:sz w:val="24"/>
        </w:rPr>
      </w:pPr>
      <w:r>
        <w:rPr>
          <w:rFonts w:ascii="Arial" w:hAnsi="Arial" w:cs="Arial"/>
          <w:sz w:val="24"/>
        </w:rPr>
        <w:t>10</w:t>
      </w:r>
      <w:r>
        <w:t xml:space="preserve">. </w:t>
      </w:r>
      <w:r w:rsidRPr="009F41E1">
        <w:rPr>
          <w:rFonts w:ascii="Arial" w:hAnsi="Arial" w:cs="Arial"/>
          <w:sz w:val="24"/>
        </w:rPr>
        <w:t xml:space="preserve">El Ente Público realizó afectaciones a la contabilidad mediante pólizas de egresos 9 y 10 de fecha 13 de mayo de 2015 por un importe total de $69,065 (sin IVA) derivado de facturas: M1334 y M1366 del 23 de octubre de 2014, por concepto de honorarios por servicios contables correspondientes a los meses de abril, mayo, junio, julio, agosto y septiembre de 2014, observando que debió afectar a resultados de ejercicios anteriores por tratarse de un servicio proporcionado en el ejercicio 2014, lo anterior en contravención a lo señalado por el Postulado número 8) "Devengo Contable" del Acuerdo por el que se emiten los postulados básicos de contabilidad gubernamental y al capítulo III plan de cuentas (codificación 3.2.5) del Manual de contabilidad gubernamental, estableciendo su observancia obligatoria, de conformidad con el artículo 7, en </w:t>
      </w:r>
      <w:r w:rsidRPr="009F41E1">
        <w:rPr>
          <w:rFonts w:ascii="Arial" w:hAnsi="Arial" w:cs="Arial"/>
          <w:sz w:val="24"/>
        </w:rPr>
        <w:lastRenderedPageBreak/>
        <w:t>concordancia con el artículo 34 de la Ley General de Contabilidad Gubernamental.</w:t>
      </w:r>
    </w:p>
    <w:p w:rsidR="009F41E1" w:rsidRDefault="009F41E1" w:rsidP="00E42294">
      <w:pPr>
        <w:spacing w:line="360" w:lineRule="auto"/>
        <w:contextualSpacing/>
        <w:jc w:val="both"/>
        <w:rPr>
          <w:rFonts w:ascii="Arial" w:hAnsi="Arial" w:cs="Arial"/>
          <w:sz w:val="24"/>
        </w:rPr>
      </w:pPr>
    </w:p>
    <w:p w:rsidR="009F41E1" w:rsidRPr="009F41E1" w:rsidRDefault="009F41E1" w:rsidP="009F41E1">
      <w:pPr>
        <w:spacing w:line="360" w:lineRule="auto"/>
        <w:contextualSpacing/>
        <w:jc w:val="both"/>
        <w:rPr>
          <w:rFonts w:ascii="Arial" w:hAnsi="Arial" w:cs="Arial"/>
          <w:b/>
          <w:sz w:val="24"/>
        </w:rPr>
      </w:pPr>
      <w:r w:rsidRPr="009F41E1">
        <w:rPr>
          <w:rFonts w:ascii="Arial" w:hAnsi="Arial" w:cs="Arial"/>
          <w:b/>
          <w:sz w:val="24"/>
        </w:rPr>
        <w:t>Acción(es) o recomendación(es) emitida(s)</w:t>
      </w:r>
    </w:p>
    <w:p w:rsidR="009F41E1" w:rsidRPr="009F41E1" w:rsidRDefault="009F41E1" w:rsidP="009F41E1">
      <w:pPr>
        <w:spacing w:line="360" w:lineRule="auto"/>
        <w:contextualSpacing/>
        <w:jc w:val="both"/>
        <w:rPr>
          <w:rFonts w:ascii="Arial" w:hAnsi="Arial" w:cs="Arial"/>
          <w:i/>
          <w:sz w:val="24"/>
        </w:rPr>
      </w:pPr>
      <w:r w:rsidRPr="009F41E1">
        <w:rPr>
          <w:rFonts w:ascii="Arial" w:hAnsi="Arial" w:cs="Arial"/>
          <w:i/>
          <w:sz w:val="24"/>
        </w:rPr>
        <w:t>Promoción de Fincamiento de Responsabilidad Administrativa.</w:t>
      </w:r>
    </w:p>
    <w:p w:rsidR="006B4B75" w:rsidRPr="004A7563" w:rsidRDefault="006B4B75" w:rsidP="00E42294">
      <w:pPr>
        <w:spacing w:line="360" w:lineRule="auto"/>
        <w:contextualSpacing/>
        <w:jc w:val="both"/>
        <w:rPr>
          <w:rFonts w:ascii="Arial" w:hAnsi="Arial" w:cs="Arial"/>
          <w:sz w:val="24"/>
        </w:rPr>
      </w:pPr>
    </w:p>
    <w:p w:rsidR="00E42294" w:rsidRPr="008425A2" w:rsidRDefault="00E42294" w:rsidP="009F41E1">
      <w:pPr>
        <w:pStyle w:val="Prrafodelista"/>
        <w:spacing w:after="0"/>
        <w:contextualSpacing/>
        <w:jc w:val="both"/>
        <w:rPr>
          <w:rFonts w:ascii="Arial" w:hAnsi="Arial" w:cs="Arial"/>
          <w:b/>
          <w:sz w:val="24"/>
        </w:rPr>
      </w:pPr>
      <w:r w:rsidRPr="008425A2">
        <w:rPr>
          <w:rFonts w:ascii="Arial" w:hAnsi="Arial" w:cs="Arial"/>
          <w:b/>
          <w:bCs/>
          <w:sz w:val="24"/>
        </w:rPr>
        <w:t>Trámite y resultados obtenidos, derivados de las solicitudes formuladas por el H. Congreso del Estado.</w:t>
      </w:r>
    </w:p>
    <w:p w:rsidR="00E42294" w:rsidRPr="00B67BEE" w:rsidRDefault="00E42294" w:rsidP="00E42294">
      <w:pPr>
        <w:spacing w:after="0"/>
        <w:rPr>
          <w:rFonts w:ascii="Arial" w:hAnsi="Arial" w:cs="Arial"/>
          <w:b/>
          <w:sz w:val="24"/>
        </w:rPr>
      </w:pPr>
    </w:p>
    <w:p w:rsidR="009F41E1" w:rsidRPr="00146C76" w:rsidRDefault="009F41E1" w:rsidP="009F41E1">
      <w:pPr>
        <w:spacing w:line="360" w:lineRule="auto"/>
        <w:rPr>
          <w:rFonts w:ascii="Arial" w:hAnsi="Arial" w:cs="Arial"/>
          <w:sz w:val="24"/>
        </w:rPr>
      </w:pPr>
      <w:r>
        <w:rPr>
          <w:rFonts w:ascii="Arial" w:hAnsi="Arial" w:cs="Arial"/>
          <w:sz w:val="24"/>
          <w:szCs w:val="24"/>
        </w:rPr>
        <w:t>En el apartado VIII del Informe de Resultados, la Auditoría nos indica que no</w:t>
      </w:r>
      <w:r w:rsidR="00E42294" w:rsidRPr="00CF0D38">
        <w:rPr>
          <w:rFonts w:ascii="Arial" w:hAnsi="Arial" w:cs="Arial"/>
          <w:sz w:val="24"/>
          <w:szCs w:val="24"/>
        </w:rPr>
        <w:t xml:space="preserve"> se recibieron solicitudes del H. Congreso del Estado relacionadas con la Cuenta Pública cuya revisión se informa</w:t>
      </w:r>
      <w:r w:rsidR="00E42294">
        <w:rPr>
          <w:rFonts w:ascii="Arial" w:hAnsi="Arial" w:cs="Arial"/>
          <w:sz w:val="24"/>
          <w:szCs w:val="24"/>
        </w:rPr>
        <w:t>.</w:t>
      </w:r>
    </w:p>
    <w:p w:rsidR="00E42294" w:rsidRPr="008425A2" w:rsidRDefault="00E42294" w:rsidP="009F41E1">
      <w:pPr>
        <w:pStyle w:val="Prrafodelista"/>
        <w:spacing w:after="0"/>
        <w:contextualSpacing/>
        <w:jc w:val="both"/>
        <w:rPr>
          <w:rFonts w:ascii="Arial" w:hAnsi="Arial" w:cs="Arial"/>
          <w:b/>
          <w:bCs/>
          <w:sz w:val="24"/>
        </w:rPr>
      </w:pPr>
      <w:r w:rsidRPr="008425A2">
        <w:rPr>
          <w:rFonts w:ascii="Arial" w:hAnsi="Arial" w:cs="Arial"/>
          <w:b/>
          <w:bCs/>
          <w:sz w:val="24"/>
        </w:rPr>
        <w:t>Resultados de la revisión de situación excepcional.</w:t>
      </w:r>
    </w:p>
    <w:p w:rsidR="00E42294" w:rsidRPr="00B67BEE" w:rsidRDefault="00E42294" w:rsidP="00E42294">
      <w:pPr>
        <w:spacing w:after="0"/>
        <w:rPr>
          <w:rFonts w:ascii="Arial" w:hAnsi="Arial" w:cs="Arial"/>
          <w:b/>
          <w:bCs/>
          <w:sz w:val="24"/>
        </w:rPr>
      </w:pPr>
    </w:p>
    <w:p w:rsidR="00E42294" w:rsidRDefault="00E42294" w:rsidP="00E42294">
      <w:pPr>
        <w:spacing w:after="0" w:line="360" w:lineRule="auto"/>
        <w:jc w:val="both"/>
        <w:rPr>
          <w:rFonts w:ascii="Arial" w:hAnsi="Arial" w:cs="Arial"/>
          <w:bCs/>
          <w:sz w:val="24"/>
        </w:rPr>
      </w:pPr>
      <w:r>
        <w:rPr>
          <w:rFonts w:ascii="Arial" w:hAnsi="Arial" w:cs="Arial"/>
          <w:bCs/>
          <w:sz w:val="24"/>
        </w:rPr>
        <w:tab/>
      </w:r>
      <w:r w:rsidRPr="00AD4356">
        <w:rPr>
          <w:rFonts w:ascii="Arial" w:hAnsi="Arial" w:cs="Arial"/>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r w:rsidRPr="00B67BEE">
        <w:rPr>
          <w:rFonts w:ascii="Arial" w:hAnsi="Arial" w:cs="Arial"/>
          <w:bCs/>
          <w:sz w:val="24"/>
        </w:rPr>
        <w:t>.</w:t>
      </w:r>
    </w:p>
    <w:p w:rsidR="00E42294" w:rsidRPr="00B67BEE" w:rsidRDefault="00E42294" w:rsidP="00E42294">
      <w:pPr>
        <w:spacing w:after="0"/>
        <w:jc w:val="both"/>
        <w:rPr>
          <w:rFonts w:ascii="Arial" w:hAnsi="Arial" w:cs="Arial"/>
          <w:bCs/>
          <w:sz w:val="24"/>
        </w:rPr>
      </w:pPr>
    </w:p>
    <w:p w:rsidR="00E42294" w:rsidRPr="008425A2" w:rsidRDefault="00E42294" w:rsidP="009F41E1">
      <w:pPr>
        <w:pStyle w:val="Prrafodelista"/>
        <w:spacing w:after="0"/>
        <w:contextualSpacing/>
        <w:jc w:val="both"/>
        <w:rPr>
          <w:rFonts w:ascii="Arial" w:eastAsia="Times New Roman" w:hAnsi="Arial" w:cs="Arial"/>
          <w:sz w:val="24"/>
          <w:szCs w:val="24"/>
          <w:lang w:eastAsia="es-MX"/>
        </w:rPr>
      </w:pPr>
      <w:r w:rsidRPr="008425A2">
        <w:rPr>
          <w:rFonts w:ascii="Arial" w:hAnsi="Arial" w:cs="Arial"/>
          <w:b/>
          <w:bCs/>
          <w:sz w:val="24"/>
        </w:rPr>
        <w:t>S</w:t>
      </w:r>
      <w:r w:rsidRPr="008425A2">
        <w:rPr>
          <w:rFonts w:ascii="Arial" w:eastAsia="Times New Roman" w:hAnsi="Arial" w:cs="Arial"/>
          <w:b/>
          <w:bCs/>
          <w:sz w:val="24"/>
          <w:szCs w:val="24"/>
          <w:lang w:eastAsia="es-MX"/>
        </w:rPr>
        <w:t>ituación que guardan las observaciones, recomendaciones y acciones promovidas, respecto de la Cuenta</w:t>
      </w:r>
      <w:r>
        <w:rPr>
          <w:rFonts w:ascii="Arial" w:eastAsia="Times New Roman" w:hAnsi="Arial" w:cs="Arial"/>
          <w:b/>
          <w:bCs/>
          <w:sz w:val="24"/>
          <w:szCs w:val="24"/>
          <w:lang w:eastAsia="es-MX"/>
        </w:rPr>
        <w:t>s</w:t>
      </w:r>
      <w:r w:rsidRPr="008425A2">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8425A2">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8425A2">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r w:rsidRPr="008425A2">
        <w:rPr>
          <w:rFonts w:ascii="Arial" w:eastAsia="Times New Roman" w:hAnsi="Arial" w:cs="Arial"/>
          <w:b/>
          <w:bCs/>
          <w:sz w:val="24"/>
          <w:szCs w:val="24"/>
          <w:lang w:eastAsia="es-MX"/>
        </w:rPr>
        <w:t>.</w:t>
      </w:r>
    </w:p>
    <w:p w:rsidR="00E42294" w:rsidRDefault="00E42294" w:rsidP="00E42294">
      <w:pPr>
        <w:spacing w:after="0"/>
        <w:rPr>
          <w:rFonts w:ascii="Arial" w:hAnsi="Arial" w:cs="Arial"/>
          <w:bCs/>
          <w:sz w:val="24"/>
        </w:rPr>
      </w:pPr>
    </w:p>
    <w:p w:rsidR="00E42294" w:rsidRDefault="00E42294" w:rsidP="00E42294">
      <w:pPr>
        <w:spacing w:after="0" w:line="360" w:lineRule="auto"/>
        <w:jc w:val="both"/>
        <w:rPr>
          <w:rFonts w:ascii="Arial" w:hAnsi="Arial" w:cs="Arial"/>
          <w:sz w:val="24"/>
          <w:szCs w:val="24"/>
          <w:lang w:val="es-MX" w:eastAsia="es-MX"/>
        </w:rPr>
      </w:pPr>
      <w:r>
        <w:rPr>
          <w:rFonts w:ascii="Arial" w:hAnsi="Arial" w:cs="Arial"/>
          <w:bCs/>
          <w:sz w:val="24"/>
        </w:rPr>
        <w:tab/>
        <w:t xml:space="preserve">La Auditoría Informa que, </w:t>
      </w:r>
      <w:r>
        <w:rPr>
          <w:rFonts w:ascii="Arial" w:hAnsi="Arial" w:cs="Arial"/>
          <w:sz w:val="24"/>
          <w:szCs w:val="24"/>
          <w:lang w:val="es-MX" w:eastAsia="es-MX"/>
        </w:rPr>
        <w:t xml:space="preserve">con motivo de la revisión de las cuentas públicas </w:t>
      </w:r>
      <w:r w:rsidR="009F41E1">
        <w:rPr>
          <w:rFonts w:ascii="Arial" w:hAnsi="Arial" w:cs="Arial"/>
          <w:sz w:val="24"/>
          <w:szCs w:val="24"/>
          <w:lang w:val="es-MX" w:eastAsia="es-MX"/>
        </w:rPr>
        <w:t>2012,</w:t>
      </w:r>
      <w:r>
        <w:rPr>
          <w:rFonts w:ascii="Arial" w:hAnsi="Arial" w:cs="Arial"/>
          <w:sz w:val="24"/>
          <w:szCs w:val="24"/>
          <w:lang w:val="es-MX" w:eastAsia="es-MX"/>
        </w:rPr>
        <w:t xml:space="preserve"> 2013</w:t>
      </w:r>
      <w:r w:rsidR="009F41E1">
        <w:rPr>
          <w:rFonts w:ascii="Arial" w:hAnsi="Arial" w:cs="Arial"/>
          <w:sz w:val="24"/>
          <w:szCs w:val="24"/>
          <w:lang w:val="es-MX" w:eastAsia="es-MX"/>
        </w:rPr>
        <w:t xml:space="preserve"> y 2014 se muestra una síntesis de las acciones y recomendaciones que con motivo de la revisión de esas cuentas se ejercieron o promovieron.</w:t>
      </w:r>
    </w:p>
    <w:p w:rsidR="00E42294" w:rsidRPr="006C36DE" w:rsidRDefault="00E42294" w:rsidP="00E42294">
      <w:pPr>
        <w:spacing w:before="240" w:after="20" w:line="360" w:lineRule="auto"/>
        <w:ind w:firstLine="708"/>
        <w:jc w:val="both"/>
        <w:rPr>
          <w:rFonts w:ascii="Arial" w:hAnsi="Arial" w:cs="Arial"/>
          <w:sz w:val="24"/>
        </w:rPr>
      </w:pPr>
      <w:r w:rsidRPr="006C36DE">
        <w:rPr>
          <w:rFonts w:ascii="Arial" w:hAnsi="Arial" w:cs="Arial"/>
          <w:sz w:val="24"/>
        </w:rPr>
        <w:lastRenderedPageBreak/>
        <w:t>Una vez que hemos dado cuenta del contenido del Informe de Resultados y de los comentarios</w:t>
      </w:r>
      <w:r w:rsidRPr="006C36DE">
        <w:rPr>
          <w:rFonts w:ascii="Arial" w:hAnsi="Arial" w:cs="Arial"/>
          <w:sz w:val="28"/>
          <w:szCs w:val="24"/>
        </w:rPr>
        <w:t xml:space="preserve"> </w:t>
      </w:r>
      <w:r w:rsidRPr="006C36DE">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w:t>
      </w:r>
      <w:r w:rsidR="009F41E1">
        <w:rPr>
          <w:rFonts w:ascii="Arial" w:hAnsi="Arial" w:cs="Arial"/>
          <w:sz w:val="24"/>
        </w:rPr>
        <w:t xml:space="preserve"> </w:t>
      </w:r>
      <w:r w:rsidRPr="006C36DE">
        <w:rPr>
          <w:rFonts w:ascii="Arial" w:hAnsi="Arial" w:cs="Arial"/>
          <w:sz w:val="24"/>
        </w:rPr>
        <w:t>esta Comisión, a efecto de sustentar el resolutivo que se propone, nos permitimos consignar la siguientes:</w:t>
      </w:r>
    </w:p>
    <w:p w:rsidR="00E42294" w:rsidRPr="00CB3E70" w:rsidRDefault="00E42294" w:rsidP="00E42294">
      <w:pPr>
        <w:widowControl w:val="0"/>
        <w:autoSpaceDE w:val="0"/>
        <w:autoSpaceDN w:val="0"/>
        <w:adjustRightInd w:val="0"/>
        <w:spacing w:before="16" w:after="0"/>
        <w:jc w:val="both"/>
        <w:rPr>
          <w:rFonts w:ascii="Arial" w:hAnsi="Arial" w:cs="Arial"/>
          <w:color w:val="000000"/>
          <w:spacing w:val="-3"/>
        </w:rPr>
      </w:pPr>
    </w:p>
    <w:p w:rsidR="00E42294" w:rsidRPr="00295C16" w:rsidRDefault="00E42294" w:rsidP="00E42294">
      <w:pPr>
        <w:shd w:val="clear" w:color="auto" w:fill="FFFFFF"/>
        <w:spacing w:after="324" w:line="360" w:lineRule="auto"/>
        <w:jc w:val="both"/>
        <w:rPr>
          <w:rFonts w:ascii="Arial" w:hAnsi="Arial" w:cs="Arial"/>
          <w:sz w:val="24"/>
          <w:szCs w:val="24"/>
          <w:lang w:eastAsia="es-MX"/>
        </w:rPr>
      </w:pPr>
      <w:r w:rsidRPr="00295C16">
        <w:rPr>
          <w:rFonts w:ascii="Arial" w:hAnsi="Arial" w:cs="Arial"/>
          <w:b/>
          <w:bCs/>
          <w:sz w:val="24"/>
          <w:szCs w:val="24"/>
        </w:rPr>
        <w:t>CONSIDERACIONES:</w:t>
      </w:r>
    </w:p>
    <w:p w:rsidR="00E42294" w:rsidRPr="00295C16" w:rsidRDefault="00E42294" w:rsidP="00E42294">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Pr>
          <w:rFonts w:ascii="Arial" w:hAnsi="Arial" w:cs="Arial"/>
          <w:sz w:val="24"/>
          <w:szCs w:val="24"/>
        </w:rPr>
        <w:t>V</w:t>
      </w:r>
      <w:r w:rsidRPr="00295C16">
        <w:rPr>
          <w:rFonts w:ascii="Arial" w:hAnsi="Arial" w:cs="Arial"/>
          <w:sz w:val="24"/>
          <w:szCs w:val="24"/>
        </w:rPr>
        <w:t>, de la Ley Orgánica del Poder Legislativo del Estado de Nuevo León y 39,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E42294" w:rsidRDefault="00E42294" w:rsidP="00E42294">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E42294" w:rsidRPr="00326CE5" w:rsidRDefault="00E42294" w:rsidP="00E42294">
      <w:pPr>
        <w:spacing w:before="240" w:line="360" w:lineRule="auto"/>
        <w:ind w:firstLine="709"/>
        <w:jc w:val="both"/>
        <w:rPr>
          <w:rFonts w:ascii="Arial" w:hAnsi="Arial" w:cs="Arial"/>
          <w:bCs/>
          <w:sz w:val="24"/>
          <w:szCs w:val="24"/>
          <w:lang w:val="es-MX"/>
        </w:rPr>
      </w:pPr>
      <w:r w:rsidRPr="00326CE5">
        <w:rPr>
          <w:rFonts w:ascii="Arial" w:hAnsi="Arial" w:cs="Arial"/>
          <w:bCs/>
          <w:sz w:val="24"/>
          <w:szCs w:val="24"/>
        </w:rPr>
        <w:t>Constatamos que el Inform</w:t>
      </w:r>
      <w:r>
        <w:rPr>
          <w:rFonts w:ascii="Arial" w:hAnsi="Arial" w:cs="Arial"/>
          <w:bCs/>
          <w:sz w:val="24"/>
          <w:szCs w:val="24"/>
        </w:rPr>
        <w:t xml:space="preserve">e del </w:t>
      </w:r>
      <w:r>
        <w:rPr>
          <w:rFonts w:ascii="Arial" w:hAnsi="Arial" w:cs="Arial"/>
          <w:b/>
          <w:sz w:val="24"/>
        </w:rPr>
        <w:t>Fideicomiso para el Sistema Integral del Tránsito Metropolitano (SINTRAM)</w:t>
      </w:r>
      <w:r w:rsidRPr="00326CE5">
        <w:rPr>
          <w:rFonts w:ascii="Arial" w:hAnsi="Arial" w:cs="Arial"/>
          <w:bCs/>
          <w:sz w:val="24"/>
          <w:szCs w:val="24"/>
        </w:rPr>
        <w:t xml:space="preserve">, contiene los comentarios generales que se estipulan en el artículo 49 y 50 de la Ley del Órgano de Fiscalización Superior del Estado de Nuevo León respecto a los resultados de su gestión financiera, que se ajustaron a los criterios señalados en las Leyes, presupuestos y demás disposiciones aplicables, así como al cumplimiento de </w:t>
      </w:r>
      <w:r w:rsidRPr="00326CE5">
        <w:rPr>
          <w:rFonts w:ascii="Arial" w:hAnsi="Arial" w:cs="Arial"/>
          <w:bCs/>
          <w:sz w:val="24"/>
          <w:szCs w:val="24"/>
        </w:rPr>
        <w:lastRenderedPageBreak/>
        <w:t>los objetivos generales y metas de los programas y subprogramas aprobados</w:t>
      </w:r>
      <w:r w:rsidRPr="00326CE5">
        <w:rPr>
          <w:rFonts w:ascii="Arial" w:hAnsi="Arial" w:cs="Arial"/>
          <w:bCs/>
          <w:sz w:val="24"/>
          <w:szCs w:val="24"/>
          <w:lang w:val="es-MX"/>
        </w:rPr>
        <w:t xml:space="preserve"> salvo lo mencionado en el apartado V del Informe del Resultado.</w:t>
      </w:r>
    </w:p>
    <w:p w:rsidR="00E42294" w:rsidRDefault="00E42294" w:rsidP="00E42294">
      <w:pPr>
        <w:spacing w:before="240" w:line="360" w:lineRule="auto"/>
        <w:ind w:firstLine="709"/>
        <w:jc w:val="both"/>
        <w:rPr>
          <w:rFonts w:ascii="Arial" w:hAnsi="Arial" w:cs="Arial"/>
          <w:bCs/>
          <w:sz w:val="24"/>
          <w:szCs w:val="24"/>
          <w:lang w:val="es-MX"/>
        </w:rPr>
      </w:pPr>
      <w:r w:rsidRPr="00326CE5">
        <w:rPr>
          <w:rFonts w:ascii="Arial" w:hAnsi="Arial" w:cs="Arial"/>
          <w:bCs/>
          <w:sz w:val="24"/>
          <w:szCs w:val="24"/>
          <w:lang w:val="es-MX"/>
        </w:rPr>
        <w:t xml:space="preserve">En lo particular, conviene resaltar que en el Dictamen de Revisión que acompaña al informe de resultados, signado por el Titular de la Auditoría Superior del Estado, se indica que la información presentada en </w:t>
      </w:r>
      <w:r>
        <w:rPr>
          <w:rFonts w:ascii="Arial" w:hAnsi="Arial" w:cs="Arial"/>
          <w:bCs/>
          <w:sz w:val="24"/>
          <w:szCs w:val="24"/>
          <w:lang w:val="es-MX"/>
        </w:rPr>
        <w:t>la cuenta pública es razonable.</w:t>
      </w:r>
    </w:p>
    <w:p w:rsidR="00E42294" w:rsidRPr="00210FE7" w:rsidRDefault="00E42294" w:rsidP="00E42294">
      <w:pPr>
        <w:spacing w:after="0" w:line="360" w:lineRule="auto"/>
        <w:ind w:firstLine="708"/>
        <w:jc w:val="both"/>
        <w:rPr>
          <w:rFonts w:ascii="Arial" w:hAnsi="Arial" w:cs="Arial"/>
          <w:sz w:val="24"/>
          <w:szCs w:val="24"/>
        </w:rPr>
      </w:pPr>
      <w:r w:rsidRPr="00210FE7">
        <w:rPr>
          <w:rFonts w:ascii="Arial" w:hAnsi="Arial" w:cs="Arial"/>
          <w:b/>
          <w:bCs/>
          <w:sz w:val="24"/>
          <w:szCs w:val="24"/>
        </w:rPr>
        <w:t xml:space="preserve">TERCERA: </w:t>
      </w:r>
      <w:r w:rsidRPr="00210FE7">
        <w:rPr>
          <w:rFonts w:ascii="Arial" w:hAnsi="Arial" w:cs="Arial"/>
          <w:sz w:val="24"/>
          <w:szCs w:val="24"/>
        </w:rPr>
        <w:t>En el informe de resultados emitido por la Auditoría Superior del Estado</w:t>
      </w:r>
      <w:r w:rsidRPr="00210FE7">
        <w:rPr>
          <w:rFonts w:ascii="Arial" w:hAnsi="Arial" w:cs="Arial"/>
          <w:b/>
          <w:sz w:val="24"/>
          <w:szCs w:val="24"/>
        </w:rPr>
        <w:t xml:space="preserve"> </w:t>
      </w:r>
      <w:r w:rsidR="00A015C1">
        <w:rPr>
          <w:rFonts w:ascii="Arial" w:hAnsi="Arial" w:cs="Arial"/>
          <w:sz w:val="24"/>
          <w:szCs w:val="24"/>
        </w:rPr>
        <w:t>se destacan observaciones</w:t>
      </w:r>
      <w:r w:rsidRPr="00210FE7">
        <w:rPr>
          <w:rFonts w:ascii="Arial" w:hAnsi="Arial" w:cs="Arial"/>
          <w:sz w:val="24"/>
          <w:szCs w:val="24"/>
        </w:rPr>
        <w:t xml:space="preserve"> administrativas</w:t>
      </w:r>
      <w:r w:rsidR="0099068E">
        <w:rPr>
          <w:rFonts w:ascii="Arial" w:hAnsi="Arial" w:cs="Arial"/>
          <w:sz w:val="24"/>
          <w:szCs w:val="24"/>
        </w:rPr>
        <w:t xml:space="preserve">, promoción del ejercicio </w:t>
      </w:r>
      <w:r w:rsidR="00A015C1">
        <w:rPr>
          <w:rFonts w:ascii="Arial" w:hAnsi="Arial" w:cs="Arial"/>
          <w:sz w:val="24"/>
          <w:szCs w:val="24"/>
        </w:rPr>
        <w:t>de la facultad de comprobación fiscal</w:t>
      </w:r>
      <w:r w:rsidRPr="00210FE7">
        <w:rPr>
          <w:rFonts w:ascii="Arial" w:hAnsi="Arial" w:cs="Arial"/>
          <w:sz w:val="24"/>
          <w:szCs w:val="24"/>
        </w:rPr>
        <w:t xml:space="preserve"> y</w:t>
      </w:r>
      <w:r w:rsidR="00A015C1">
        <w:rPr>
          <w:rFonts w:ascii="Arial" w:hAnsi="Arial" w:cs="Arial"/>
          <w:sz w:val="24"/>
          <w:szCs w:val="24"/>
        </w:rPr>
        <w:t xml:space="preserve"> recomendaciones</w:t>
      </w:r>
      <w:r w:rsidRPr="00210FE7">
        <w:rPr>
          <w:rFonts w:ascii="Arial" w:hAnsi="Arial" w:cs="Arial"/>
          <w:sz w:val="24"/>
          <w:szCs w:val="24"/>
        </w:rPr>
        <w:t xml:space="preserve"> de control interno, las cuales se enumeran en el apartado V</w:t>
      </w:r>
      <w:r w:rsidR="00A015C1">
        <w:rPr>
          <w:rFonts w:ascii="Arial" w:hAnsi="Arial" w:cs="Arial"/>
          <w:sz w:val="24"/>
          <w:szCs w:val="24"/>
        </w:rPr>
        <w:t>II del informe de resultados</w:t>
      </w:r>
      <w:r w:rsidRPr="00210FE7">
        <w:rPr>
          <w:rFonts w:ascii="Arial" w:hAnsi="Arial" w:cs="Arial"/>
          <w:sz w:val="24"/>
          <w:szCs w:val="24"/>
        </w:rPr>
        <w:t xml:space="preserve"> respecto de las cuales, la Auditoría, de conformidad con lo dispuesto en el artículo 46 de la Ley de Fiscalización Superior del Estado de Nuevo León, emitió y comunicó a la entidad revisada, las recomendaciones a efecto de que subsanaran las observaciones que dieron lugar.</w:t>
      </w:r>
    </w:p>
    <w:p w:rsidR="00E42294" w:rsidRPr="00210FE7" w:rsidRDefault="00E42294" w:rsidP="00E42294">
      <w:pPr>
        <w:spacing w:after="0" w:line="360" w:lineRule="auto"/>
        <w:ind w:firstLine="708"/>
        <w:jc w:val="both"/>
        <w:rPr>
          <w:rFonts w:ascii="Arial" w:hAnsi="Arial" w:cs="Arial"/>
          <w:sz w:val="24"/>
          <w:szCs w:val="24"/>
        </w:rPr>
      </w:pPr>
    </w:p>
    <w:p w:rsidR="00E42294" w:rsidRPr="00667F40" w:rsidRDefault="00E42294" w:rsidP="00E42294">
      <w:pPr>
        <w:spacing w:after="0" w:line="360" w:lineRule="auto"/>
        <w:ind w:firstLine="708"/>
        <w:jc w:val="both"/>
        <w:rPr>
          <w:rFonts w:ascii="Arial" w:hAnsi="Arial" w:cs="Arial"/>
        </w:rPr>
      </w:pPr>
      <w:r w:rsidRPr="00210FE7">
        <w:rPr>
          <w:rFonts w:ascii="Arial" w:hAnsi="Arial" w:cs="Arial"/>
          <w:sz w:val="24"/>
          <w:szCs w:val="24"/>
        </w:rPr>
        <w:t xml:space="preserve">Al respecto, la Auditoría Superior de Fiscalización, revisó los argumentos establecidos por el titular del ente </w:t>
      </w:r>
      <w:proofErr w:type="spellStart"/>
      <w:r w:rsidRPr="00210FE7">
        <w:rPr>
          <w:rFonts w:ascii="Arial" w:hAnsi="Arial" w:cs="Arial"/>
          <w:sz w:val="24"/>
          <w:szCs w:val="24"/>
        </w:rPr>
        <w:t>fiscalizado</w:t>
      </w:r>
      <w:proofErr w:type="spellEnd"/>
      <w:r w:rsidRPr="00210FE7">
        <w:rPr>
          <w:rFonts w:ascii="Arial" w:hAnsi="Arial" w:cs="Arial"/>
          <w:sz w:val="24"/>
          <w:szCs w:val="24"/>
        </w:rPr>
        <w:t>, resolviendo sobre las mismas en términos de si se solventan o no. El Órgano Fiscalizador continuara dándole el seguimiento correspondiente a las observaciones que no hayan sido solventadas completamente a fin de verificar las acciones que el Organismo realice para corregir las deficiencias detectadas.</w:t>
      </w:r>
    </w:p>
    <w:p w:rsidR="00E42294" w:rsidRDefault="00E42294" w:rsidP="00E42294">
      <w:pPr>
        <w:spacing w:after="0" w:line="360" w:lineRule="auto"/>
        <w:ind w:firstLine="708"/>
        <w:jc w:val="both"/>
        <w:rPr>
          <w:rFonts w:ascii="Arial" w:hAnsi="Arial" w:cs="Arial"/>
          <w:b/>
          <w:sz w:val="24"/>
          <w:szCs w:val="24"/>
        </w:rPr>
      </w:pPr>
    </w:p>
    <w:p w:rsidR="00E42294" w:rsidRPr="00F57B0B" w:rsidRDefault="00E42294" w:rsidP="00E42294">
      <w:pPr>
        <w:spacing w:after="0" w:line="360" w:lineRule="auto"/>
        <w:ind w:firstLine="708"/>
        <w:jc w:val="both"/>
        <w:rPr>
          <w:rFonts w:ascii="Arial" w:hAnsi="Arial" w:cs="Arial"/>
          <w:b/>
          <w:sz w:val="24"/>
          <w:szCs w:val="24"/>
        </w:rPr>
      </w:pPr>
      <w:r>
        <w:rPr>
          <w:rFonts w:ascii="Arial" w:hAnsi="Arial" w:cs="Arial"/>
          <w:b/>
          <w:sz w:val="24"/>
          <w:szCs w:val="24"/>
        </w:rPr>
        <w:lastRenderedPageBreak/>
        <w:t>CUARTA</w:t>
      </w:r>
      <w:r w:rsidRPr="00975896">
        <w:rPr>
          <w:rFonts w:ascii="Arial" w:hAnsi="Arial" w:cs="Arial"/>
          <w:b/>
          <w:sz w:val="24"/>
          <w:szCs w:val="24"/>
        </w:rPr>
        <w:t>:</w:t>
      </w:r>
      <w:r w:rsidRPr="00975896">
        <w:rPr>
          <w:rFonts w:ascii="Arial" w:hAnsi="Arial" w:cs="Arial"/>
          <w:sz w:val="24"/>
          <w:szCs w:val="24"/>
        </w:rPr>
        <w:t xml:space="preserve"> </w:t>
      </w:r>
      <w:r w:rsidRPr="007F5756">
        <w:rPr>
          <w:rFonts w:ascii="Arial" w:hAnsi="Arial" w:cs="Arial"/>
          <w:sz w:val="24"/>
          <w:szCs w:val="24"/>
        </w:rPr>
        <w:t xml:space="preserve">Adicionalmente se nos informa que durante </w:t>
      </w:r>
      <w:r>
        <w:rPr>
          <w:rFonts w:ascii="Arial" w:hAnsi="Arial" w:cs="Arial"/>
          <w:sz w:val="24"/>
          <w:szCs w:val="24"/>
        </w:rPr>
        <w:t>el ejercicio 201</w:t>
      </w:r>
      <w:r w:rsidR="00A015C1">
        <w:rPr>
          <w:rFonts w:ascii="Arial" w:hAnsi="Arial" w:cs="Arial"/>
          <w:sz w:val="24"/>
          <w:szCs w:val="24"/>
        </w:rPr>
        <w:t>5</w:t>
      </w:r>
      <w:r>
        <w:rPr>
          <w:rFonts w:ascii="Arial" w:hAnsi="Arial" w:cs="Arial"/>
          <w:sz w:val="24"/>
          <w:szCs w:val="24"/>
        </w:rPr>
        <w:t xml:space="preserve">, </w:t>
      </w:r>
      <w:r w:rsidRPr="007F5756">
        <w:rPr>
          <w:rFonts w:ascii="Arial" w:hAnsi="Arial" w:cs="Arial"/>
          <w:sz w:val="24"/>
          <w:szCs w:val="24"/>
        </w:rPr>
        <w:t>no se recibieron solicitudes de revisión de situaciones excepcionales en relación a la cuenta pública en revisión.</w:t>
      </w:r>
    </w:p>
    <w:p w:rsidR="00E42294" w:rsidRPr="00EB01DD" w:rsidRDefault="00E42294" w:rsidP="00E42294">
      <w:pPr>
        <w:spacing w:after="0" w:line="360" w:lineRule="auto"/>
        <w:ind w:left="708" w:firstLine="708"/>
        <w:jc w:val="both"/>
        <w:rPr>
          <w:rFonts w:ascii="Arial" w:hAnsi="Arial" w:cs="Arial"/>
        </w:rPr>
      </w:pPr>
    </w:p>
    <w:p w:rsidR="00E42294" w:rsidRPr="007F5756" w:rsidRDefault="00E42294" w:rsidP="00E42294">
      <w:pPr>
        <w:autoSpaceDE w:val="0"/>
        <w:autoSpaceDN w:val="0"/>
        <w:adjustRightInd w:val="0"/>
        <w:spacing w:after="0" w:line="360" w:lineRule="auto"/>
        <w:ind w:firstLine="708"/>
        <w:jc w:val="both"/>
        <w:rPr>
          <w:rFonts w:ascii="Arial" w:hAnsi="Arial" w:cs="Arial"/>
          <w:sz w:val="24"/>
          <w:szCs w:val="24"/>
        </w:rPr>
      </w:pPr>
      <w:r>
        <w:rPr>
          <w:rFonts w:ascii="Arial" w:hAnsi="Arial" w:cs="Arial"/>
          <w:b/>
          <w:sz w:val="24"/>
          <w:szCs w:val="24"/>
        </w:rPr>
        <w:t>QUINTA</w:t>
      </w:r>
      <w:r w:rsidRPr="00720E1D">
        <w:rPr>
          <w:rFonts w:ascii="Arial" w:hAnsi="Arial" w:cs="Arial"/>
          <w:b/>
          <w:sz w:val="24"/>
          <w:szCs w:val="24"/>
        </w:rPr>
        <w:t>:</w:t>
      </w:r>
      <w:r w:rsidR="008456A1">
        <w:rPr>
          <w:rFonts w:ascii="Arial" w:hAnsi="Arial" w:cs="Arial"/>
          <w:sz w:val="24"/>
          <w:szCs w:val="24"/>
        </w:rPr>
        <w:t xml:space="preserve"> L</w:t>
      </w:r>
      <w:r w:rsidRPr="00975896">
        <w:rPr>
          <w:rFonts w:ascii="Arial" w:hAnsi="Arial" w:cs="Arial"/>
          <w:sz w:val="24"/>
          <w:szCs w:val="24"/>
        </w:rPr>
        <w:t>a Auditoría Superior del Estado nos informa en el apartado Recomendaciones y Acciones Promovidas con respecto a</w:t>
      </w:r>
      <w:r w:rsidR="008456A1">
        <w:rPr>
          <w:rFonts w:ascii="Arial" w:hAnsi="Arial" w:cs="Arial"/>
          <w:sz w:val="24"/>
          <w:szCs w:val="24"/>
        </w:rPr>
        <w:t xml:space="preserve"> la revisión de las cuentas de los</w:t>
      </w:r>
      <w:r w:rsidRPr="00975896">
        <w:rPr>
          <w:rFonts w:ascii="Arial" w:hAnsi="Arial" w:cs="Arial"/>
          <w:sz w:val="24"/>
          <w:szCs w:val="24"/>
        </w:rPr>
        <w:t xml:space="preserve"> </w:t>
      </w:r>
      <w:r>
        <w:rPr>
          <w:rFonts w:ascii="Arial" w:hAnsi="Arial" w:cs="Arial"/>
          <w:sz w:val="24"/>
          <w:szCs w:val="24"/>
        </w:rPr>
        <w:t>ejercicio</w:t>
      </w:r>
      <w:r w:rsidR="008456A1">
        <w:rPr>
          <w:rFonts w:ascii="Arial" w:hAnsi="Arial" w:cs="Arial"/>
          <w:sz w:val="24"/>
          <w:szCs w:val="24"/>
        </w:rPr>
        <w:t>s 2012, 2013 y</w:t>
      </w:r>
      <w:r>
        <w:rPr>
          <w:rFonts w:ascii="Arial" w:hAnsi="Arial" w:cs="Arial"/>
          <w:sz w:val="24"/>
          <w:szCs w:val="24"/>
        </w:rPr>
        <w:t xml:space="preserve"> 2014 </w:t>
      </w:r>
      <w:r>
        <w:rPr>
          <w:rFonts w:ascii="Arial" w:hAnsi="Arial" w:cs="Arial"/>
          <w:sz w:val="24"/>
          <w:szCs w:val="24"/>
          <w:lang w:val="es-MX" w:eastAsia="es-MX"/>
        </w:rPr>
        <w:t>no se</w:t>
      </w:r>
      <w:r w:rsidR="008456A1">
        <w:rPr>
          <w:rFonts w:ascii="Arial" w:hAnsi="Arial" w:cs="Arial"/>
          <w:sz w:val="24"/>
          <w:szCs w:val="24"/>
          <w:lang w:val="es-MX" w:eastAsia="es-MX"/>
        </w:rPr>
        <w:t xml:space="preserve"> encuentran pendientes de dictamen técnico por parte de la Auditoría acciones o</w:t>
      </w:r>
      <w:r>
        <w:rPr>
          <w:rFonts w:ascii="Arial" w:hAnsi="Arial" w:cs="Arial"/>
          <w:sz w:val="24"/>
          <w:szCs w:val="24"/>
          <w:lang w:val="es-MX" w:eastAsia="es-MX"/>
        </w:rPr>
        <w:t xml:space="preserve"> re</w:t>
      </w:r>
      <w:r w:rsidR="008456A1">
        <w:rPr>
          <w:rFonts w:ascii="Arial" w:hAnsi="Arial" w:cs="Arial"/>
          <w:sz w:val="24"/>
          <w:szCs w:val="24"/>
          <w:lang w:val="es-MX" w:eastAsia="es-MX"/>
        </w:rPr>
        <w:t>comendaciones a las cuales deba dar</w:t>
      </w:r>
      <w:r>
        <w:rPr>
          <w:rFonts w:ascii="Arial" w:hAnsi="Arial" w:cs="Arial"/>
          <w:sz w:val="24"/>
          <w:szCs w:val="24"/>
          <w:lang w:val="es-MX" w:eastAsia="es-MX"/>
        </w:rPr>
        <w:t xml:space="preserve"> seguimiento la Auditoría.</w:t>
      </w:r>
    </w:p>
    <w:p w:rsidR="00E42294" w:rsidRDefault="00E42294" w:rsidP="00E42294">
      <w:pPr>
        <w:autoSpaceDE w:val="0"/>
        <w:autoSpaceDN w:val="0"/>
        <w:adjustRightInd w:val="0"/>
        <w:spacing w:after="0" w:line="360" w:lineRule="auto"/>
        <w:ind w:firstLine="708"/>
        <w:jc w:val="both"/>
        <w:rPr>
          <w:rFonts w:ascii="Arial" w:hAnsi="Arial" w:cs="Arial"/>
          <w:b/>
          <w:sz w:val="24"/>
          <w:szCs w:val="24"/>
        </w:rPr>
      </w:pPr>
    </w:p>
    <w:p w:rsidR="00E42294" w:rsidRDefault="00FF6C07" w:rsidP="00E42294">
      <w:pPr>
        <w:autoSpaceDE w:val="0"/>
        <w:autoSpaceDN w:val="0"/>
        <w:adjustRightInd w:val="0"/>
        <w:spacing w:after="0" w:line="360" w:lineRule="auto"/>
        <w:ind w:firstLine="708"/>
        <w:jc w:val="both"/>
        <w:rPr>
          <w:rFonts w:ascii="Arial" w:hAnsi="Arial" w:cs="Arial"/>
          <w:sz w:val="24"/>
          <w:szCs w:val="24"/>
        </w:rPr>
      </w:pPr>
      <w:r>
        <w:rPr>
          <w:rFonts w:ascii="Arial" w:hAnsi="Arial" w:cs="Arial"/>
          <w:b/>
          <w:sz w:val="24"/>
          <w:szCs w:val="24"/>
        </w:rPr>
        <w:t>SEXTA</w:t>
      </w:r>
      <w:r w:rsidR="00E42294" w:rsidRPr="007F779D">
        <w:rPr>
          <w:rFonts w:ascii="Arial" w:hAnsi="Arial" w:cs="Arial"/>
          <w:b/>
          <w:sz w:val="24"/>
          <w:szCs w:val="24"/>
        </w:rPr>
        <w:t>:</w:t>
      </w:r>
      <w:r w:rsidR="00E42294">
        <w:rPr>
          <w:rFonts w:ascii="Arial" w:hAnsi="Arial" w:cs="Arial"/>
          <w:sz w:val="24"/>
          <w:szCs w:val="24"/>
        </w:rPr>
        <w:t xml:space="preserve"> </w:t>
      </w:r>
      <w:r w:rsidR="00E42294"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sidR="00E42294">
        <w:rPr>
          <w:rFonts w:ascii="Arial" w:hAnsi="Arial" w:cs="Arial"/>
          <w:sz w:val="24"/>
          <w:szCs w:val="24"/>
        </w:rPr>
        <w:t xml:space="preserve"> y de la normativa que le es aplicable al </w:t>
      </w:r>
      <w:r w:rsidR="00E42294">
        <w:rPr>
          <w:rFonts w:ascii="Arial" w:hAnsi="Arial" w:cs="Arial"/>
          <w:b/>
          <w:sz w:val="24"/>
        </w:rPr>
        <w:t>Fideicomiso para el Sistema Integral del Tránsito Metropolitano (SINTRAM)</w:t>
      </w:r>
      <w:r w:rsidR="00E42294">
        <w:rPr>
          <w:rFonts w:ascii="Arial" w:hAnsi="Arial" w:cs="Arial"/>
          <w:b/>
          <w:bCs/>
          <w:sz w:val="24"/>
          <w:szCs w:val="24"/>
        </w:rPr>
        <w:t>.</w:t>
      </w:r>
      <w:r w:rsidR="00E42294">
        <w:rPr>
          <w:rFonts w:ascii="Arial" w:hAnsi="Arial" w:cs="Arial"/>
          <w:sz w:val="24"/>
          <w:szCs w:val="24"/>
        </w:rPr>
        <w:t xml:space="preserve"> </w:t>
      </w:r>
    </w:p>
    <w:p w:rsidR="00E42294" w:rsidRPr="00326CE5" w:rsidRDefault="00E42294" w:rsidP="00E42294">
      <w:pPr>
        <w:spacing w:before="240" w:line="360" w:lineRule="auto"/>
        <w:ind w:firstLine="709"/>
        <w:jc w:val="both"/>
        <w:rPr>
          <w:rFonts w:ascii="Arial" w:hAnsi="Arial" w:cs="Arial"/>
          <w:sz w:val="24"/>
          <w:szCs w:val="24"/>
          <w:lang w:val="es-MX"/>
        </w:rPr>
      </w:pPr>
      <w:r w:rsidRPr="00326CE5">
        <w:rPr>
          <w:rFonts w:ascii="Arial" w:hAnsi="Arial" w:cs="Arial"/>
          <w:sz w:val="24"/>
          <w:szCs w:val="24"/>
          <w:lang w:val="es-MX"/>
        </w:rPr>
        <w:t xml:space="preserve">Dado lo anterior, es de estimarse que las observaciones contenidas en el informe de resultados en estudio, </w:t>
      </w:r>
      <w:r w:rsidR="001344E1">
        <w:rPr>
          <w:rFonts w:ascii="Arial" w:hAnsi="Arial" w:cs="Arial"/>
          <w:sz w:val="24"/>
          <w:szCs w:val="24"/>
          <w:lang w:val="es-MX"/>
        </w:rPr>
        <w:t xml:space="preserve">no </w:t>
      </w:r>
      <w:r w:rsidRPr="00326CE5">
        <w:rPr>
          <w:rFonts w:ascii="Arial" w:hAnsi="Arial" w:cs="Arial"/>
          <w:sz w:val="24"/>
          <w:szCs w:val="24"/>
          <w:lang w:val="es-MX"/>
        </w:rPr>
        <w:t xml:space="preserve">son causa suficiente para considerar que la generalidad de la actuación del ente revisado deba estimarse como deficiente y por lo mismo, la entidad revisada </w:t>
      </w:r>
      <w:r>
        <w:rPr>
          <w:rFonts w:ascii="Arial" w:hAnsi="Arial" w:cs="Arial"/>
          <w:sz w:val="24"/>
          <w:szCs w:val="24"/>
          <w:lang w:val="es-MX"/>
        </w:rPr>
        <w:t>es</w:t>
      </w:r>
      <w:r w:rsidRPr="00326CE5">
        <w:rPr>
          <w:rFonts w:ascii="Arial" w:hAnsi="Arial" w:cs="Arial"/>
          <w:sz w:val="24"/>
          <w:szCs w:val="24"/>
          <w:lang w:val="es-MX"/>
        </w:rPr>
        <w:t xml:space="preserve"> acreedora a una manifestación de </w:t>
      </w:r>
      <w:r w:rsidR="00FF6C07">
        <w:rPr>
          <w:rFonts w:ascii="Arial" w:hAnsi="Arial" w:cs="Arial"/>
          <w:sz w:val="24"/>
          <w:szCs w:val="24"/>
          <w:lang w:val="es-MX"/>
        </w:rPr>
        <w:t>aprobación</w:t>
      </w:r>
      <w:r w:rsidRPr="00326CE5">
        <w:rPr>
          <w:rFonts w:ascii="Arial" w:hAnsi="Arial" w:cs="Arial"/>
          <w:sz w:val="24"/>
          <w:szCs w:val="24"/>
          <w:lang w:val="es-MX"/>
        </w:rPr>
        <w:t xml:space="preserve"> de parte de este Poder Legislativo respecto a su Cuenta Pública para el ejercicio fiscal 201</w:t>
      </w:r>
      <w:r w:rsidR="00221693">
        <w:rPr>
          <w:rFonts w:ascii="Arial" w:hAnsi="Arial" w:cs="Arial"/>
          <w:sz w:val="24"/>
          <w:szCs w:val="24"/>
          <w:lang w:val="es-MX"/>
        </w:rPr>
        <w:t>5</w:t>
      </w:r>
      <w:r w:rsidRPr="00326CE5">
        <w:rPr>
          <w:rFonts w:ascii="Arial" w:hAnsi="Arial" w:cs="Arial"/>
          <w:sz w:val="24"/>
          <w:szCs w:val="24"/>
          <w:lang w:val="es-MX"/>
        </w:rPr>
        <w:t>.</w:t>
      </w:r>
    </w:p>
    <w:p w:rsidR="00E42294" w:rsidRPr="00326CE5" w:rsidRDefault="00E42294" w:rsidP="00E42294">
      <w:pPr>
        <w:spacing w:before="240" w:line="360" w:lineRule="auto"/>
        <w:ind w:firstLine="709"/>
        <w:jc w:val="both"/>
        <w:rPr>
          <w:rFonts w:ascii="Arial" w:hAnsi="Arial" w:cs="Arial"/>
          <w:sz w:val="24"/>
          <w:szCs w:val="24"/>
          <w:lang w:val="es-MX"/>
        </w:rPr>
      </w:pPr>
      <w:r w:rsidRPr="00326CE5">
        <w:rPr>
          <w:rFonts w:ascii="Arial" w:hAnsi="Arial" w:cs="Arial"/>
          <w:sz w:val="24"/>
          <w:szCs w:val="24"/>
          <w:lang w:val="es-MX"/>
        </w:rPr>
        <w:lastRenderedPageBreak/>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E42294" w:rsidRDefault="00E42294" w:rsidP="00E42294">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E42294" w:rsidRPr="007E6300" w:rsidRDefault="00E42294" w:rsidP="00E42294">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E42294" w:rsidRDefault="00E42294" w:rsidP="00E42294">
      <w:pPr>
        <w:spacing w:line="360" w:lineRule="auto"/>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 de la revisión de la Cuenta Pública 201</w:t>
      </w:r>
      <w:r w:rsidR="002E1631">
        <w:rPr>
          <w:rFonts w:ascii="Arial" w:hAnsi="Arial" w:cs="Arial"/>
          <w:bCs/>
          <w:sz w:val="24"/>
          <w:szCs w:val="24"/>
        </w:rPr>
        <w:t>5</w:t>
      </w:r>
      <w:r>
        <w:rPr>
          <w:rFonts w:ascii="Arial" w:hAnsi="Arial" w:cs="Arial"/>
          <w:bCs/>
          <w:sz w:val="24"/>
          <w:szCs w:val="24"/>
        </w:rPr>
        <w:t xml:space="preserve">, de la </w:t>
      </w:r>
      <w:r>
        <w:rPr>
          <w:rFonts w:ascii="Arial" w:hAnsi="Arial" w:cs="Arial"/>
          <w:b/>
          <w:sz w:val="24"/>
        </w:rPr>
        <w:t>Fideicomiso para el Sistema Integral del Tránsito Metropolitano (SINTRAM).</w:t>
      </w:r>
    </w:p>
    <w:p w:rsidR="00E42294" w:rsidRDefault="00E42294" w:rsidP="00E42294">
      <w:pPr>
        <w:spacing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Tras el análisis del contenido del Informe de Resultados que nos ocupa, se tienen por conocidas las observaciones derivadas de la revisión practicada por la Auditoría Superior del Estado, señaladas con los números 1 al </w:t>
      </w:r>
      <w:r w:rsidR="001344E1">
        <w:rPr>
          <w:rFonts w:ascii="Arial" w:hAnsi="Arial" w:cs="Arial"/>
          <w:bCs/>
          <w:sz w:val="24"/>
          <w:szCs w:val="24"/>
        </w:rPr>
        <w:t>10</w:t>
      </w:r>
      <w:r>
        <w:rPr>
          <w:rFonts w:ascii="Arial" w:hAnsi="Arial" w:cs="Arial"/>
          <w:bCs/>
          <w:sz w:val="24"/>
          <w:szCs w:val="24"/>
        </w:rPr>
        <w:t xml:space="preserve">, </w:t>
      </w:r>
      <w:r w:rsidRPr="00052353">
        <w:rPr>
          <w:rFonts w:ascii="Arial" w:hAnsi="Arial" w:cs="Arial"/>
          <w:bCs/>
          <w:sz w:val="24"/>
          <w:szCs w:val="24"/>
        </w:rPr>
        <w:t xml:space="preserve">respecto a las cuales </w:t>
      </w:r>
      <w:r>
        <w:rPr>
          <w:rFonts w:ascii="Arial" w:hAnsi="Arial" w:cs="Arial"/>
          <w:bCs/>
          <w:sz w:val="24"/>
          <w:szCs w:val="24"/>
        </w:rPr>
        <w:t>no se</w:t>
      </w:r>
      <w:r w:rsidRPr="00052353">
        <w:rPr>
          <w:rFonts w:ascii="Arial" w:hAnsi="Arial" w:cs="Arial"/>
          <w:bCs/>
          <w:sz w:val="24"/>
          <w:szCs w:val="24"/>
        </w:rPr>
        <w:t xml:space="preserve"> determinó emitir pliegos presuntivos de responsabilidades, ya que </w:t>
      </w:r>
      <w:r>
        <w:rPr>
          <w:rFonts w:ascii="Arial" w:hAnsi="Arial" w:cs="Arial"/>
          <w:bCs/>
          <w:sz w:val="24"/>
          <w:szCs w:val="24"/>
        </w:rPr>
        <w:t xml:space="preserve">no </w:t>
      </w:r>
      <w:r w:rsidRPr="00052353">
        <w:rPr>
          <w:rFonts w:ascii="Arial" w:hAnsi="Arial" w:cs="Arial"/>
          <w:bCs/>
          <w:sz w:val="24"/>
          <w:szCs w:val="24"/>
        </w:rPr>
        <w:t>se apreciaron observaciones susceptibles de generar afectación económica.</w:t>
      </w:r>
    </w:p>
    <w:p w:rsidR="00E42294" w:rsidRPr="00190C96" w:rsidRDefault="00E42294" w:rsidP="00E42294">
      <w:pPr>
        <w:spacing w:line="360" w:lineRule="auto"/>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w:t>
      </w:r>
      <w:r>
        <w:rPr>
          <w:rFonts w:ascii="Arial" w:hAnsi="Arial" w:cs="Arial"/>
          <w:bCs/>
          <w:sz w:val="24"/>
          <w:szCs w:val="24"/>
          <w:lang w:val="es-MX"/>
        </w:rPr>
        <w:t xml:space="preserve"> causa de promoción de </w:t>
      </w:r>
      <w:proofErr w:type="spellStart"/>
      <w:r>
        <w:rPr>
          <w:rFonts w:ascii="Arial" w:hAnsi="Arial" w:cs="Arial"/>
          <w:bCs/>
          <w:sz w:val="24"/>
          <w:szCs w:val="24"/>
          <w:lang w:val="es-MX"/>
        </w:rPr>
        <w:t>fincamiento</w:t>
      </w:r>
      <w:proofErr w:type="spellEnd"/>
      <w:r>
        <w:rPr>
          <w:rFonts w:ascii="Arial" w:hAnsi="Arial" w:cs="Arial"/>
          <w:bCs/>
          <w:sz w:val="24"/>
          <w:szCs w:val="24"/>
          <w:lang w:val="es-MX"/>
        </w:rPr>
        <w:t xml:space="preserve"> de responsabilidad administrativa, promoción del ejercicio de </w:t>
      </w:r>
      <w:r>
        <w:rPr>
          <w:rFonts w:ascii="Arial" w:hAnsi="Arial" w:cs="Arial"/>
          <w:bCs/>
          <w:sz w:val="24"/>
          <w:szCs w:val="24"/>
          <w:lang w:val="es-MX"/>
        </w:rPr>
        <w:lastRenderedPageBreak/>
        <w:t>facultad de comprobación fiscal</w:t>
      </w:r>
      <w:r w:rsidRPr="00190C96">
        <w:rPr>
          <w:rFonts w:ascii="Arial" w:hAnsi="Arial" w:cs="Arial"/>
          <w:bCs/>
          <w:sz w:val="24"/>
          <w:szCs w:val="24"/>
          <w:lang w:val="es-MX"/>
        </w:rPr>
        <w:t xml:space="preserve"> y recomendaciones a la gestión </w:t>
      </w:r>
      <w:r w:rsidR="001344E1">
        <w:rPr>
          <w:rFonts w:ascii="Arial" w:hAnsi="Arial" w:cs="Arial"/>
          <w:bCs/>
          <w:sz w:val="24"/>
          <w:szCs w:val="24"/>
          <w:lang w:val="es-MX"/>
        </w:rPr>
        <w:t>o control interno</w:t>
      </w:r>
      <w:r w:rsidRPr="00190C96">
        <w:rPr>
          <w:rFonts w:ascii="Arial" w:hAnsi="Arial" w:cs="Arial"/>
          <w:bCs/>
          <w:sz w:val="24"/>
          <w:szCs w:val="24"/>
          <w:lang w:val="es-MX"/>
        </w:rPr>
        <w:t xml:space="preserve"> en el rubro de Auditoría a la Gestión Financiera, se estima que la </w:t>
      </w:r>
      <w:r>
        <w:rPr>
          <w:rFonts w:ascii="Arial" w:hAnsi="Arial" w:cs="Arial"/>
          <w:b/>
          <w:bCs/>
          <w:sz w:val="24"/>
          <w:szCs w:val="24"/>
          <w:lang w:val="es-MX"/>
        </w:rPr>
        <w:t>CUENTA PÚBLICA 201</w:t>
      </w:r>
      <w:r w:rsidR="009F41E1">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 xml:space="preserve"> la</w:t>
      </w:r>
      <w:r w:rsidRPr="00190C96">
        <w:rPr>
          <w:rFonts w:ascii="Arial" w:hAnsi="Arial" w:cs="Arial"/>
          <w:b/>
          <w:bCs/>
          <w:sz w:val="24"/>
          <w:szCs w:val="24"/>
          <w:lang w:val="es-MX"/>
        </w:rPr>
        <w:t xml:space="preserve"> </w:t>
      </w:r>
      <w:r>
        <w:rPr>
          <w:rFonts w:ascii="Arial" w:hAnsi="Arial" w:cs="Arial"/>
          <w:b/>
          <w:sz w:val="24"/>
        </w:rPr>
        <w:t>Fideicomiso para el Sistema Integral del Tránsito Metropolitano (SINTRAM)</w:t>
      </w:r>
      <w:r>
        <w:rPr>
          <w:rFonts w:ascii="Arial" w:hAnsi="Arial" w:cs="Arial"/>
          <w:bCs/>
          <w:sz w:val="24"/>
          <w:szCs w:val="24"/>
          <w:lang w:val="es-MX"/>
        </w:rPr>
        <w:t xml:space="preserve"> </w:t>
      </w:r>
      <w:r w:rsidRPr="00190C96">
        <w:rPr>
          <w:rFonts w:ascii="Arial" w:hAnsi="Arial" w:cs="Arial"/>
          <w:bCs/>
          <w:sz w:val="24"/>
          <w:szCs w:val="24"/>
          <w:lang w:val="es-MX"/>
        </w:rPr>
        <w:t>es susceptible de aprobación.</w:t>
      </w:r>
    </w:p>
    <w:p w:rsidR="00E42294" w:rsidRPr="00190C96" w:rsidRDefault="00E42294" w:rsidP="00E42294">
      <w:pPr>
        <w:spacing w:line="360" w:lineRule="auto"/>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DB2D41">
        <w:rPr>
          <w:rFonts w:ascii="Arial" w:hAnsi="Arial" w:cs="Arial"/>
          <w:bCs/>
          <w:sz w:val="24"/>
          <w:szCs w:val="24"/>
        </w:rPr>
        <w:t>, así como lo descrito en el apartado de Consideraciones del presente Dictamen,</w:t>
      </w:r>
      <w:r w:rsidR="009F41E1">
        <w:rPr>
          <w:rFonts w:ascii="Arial" w:hAnsi="Arial" w:cs="Arial"/>
          <w:b/>
          <w:bCs/>
          <w:sz w:val="24"/>
          <w:szCs w:val="24"/>
          <w:lang w:val="es-MX"/>
        </w:rPr>
        <w:t xml:space="preserve"> SE APRUEBA</w:t>
      </w:r>
      <w:r w:rsidRPr="00190C96">
        <w:rPr>
          <w:rFonts w:ascii="Arial" w:hAnsi="Arial" w:cs="Arial"/>
          <w:b/>
          <w:bCs/>
          <w:sz w:val="24"/>
          <w:szCs w:val="24"/>
          <w:lang w:val="es-MX"/>
        </w:rPr>
        <w:t xml:space="preserve"> </w:t>
      </w:r>
      <w:r w:rsidRPr="00190C96">
        <w:rPr>
          <w:rFonts w:ascii="Arial" w:hAnsi="Arial" w:cs="Arial"/>
          <w:bCs/>
          <w:sz w:val="24"/>
          <w:szCs w:val="24"/>
          <w:lang w:val="es-MX"/>
        </w:rPr>
        <w:t>la Cuenta Pública</w:t>
      </w:r>
      <w:r w:rsidRPr="00190C96">
        <w:rPr>
          <w:rFonts w:ascii="Arial" w:hAnsi="Arial" w:cs="Arial"/>
          <w:b/>
          <w:bCs/>
          <w:sz w:val="24"/>
          <w:szCs w:val="24"/>
          <w:lang w:val="es-MX"/>
        </w:rPr>
        <w:t xml:space="preserve"> 201</w:t>
      </w:r>
      <w:r w:rsidR="009F41E1">
        <w:rPr>
          <w:rFonts w:ascii="Arial" w:hAnsi="Arial" w:cs="Arial"/>
          <w:b/>
          <w:bCs/>
          <w:sz w:val="24"/>
          <w:szCs w:val="24"/>
          <w:lang w:val="es-MX"/>
        </w:rPr>
        <w:t>5</w:t>
      </w:r>
      <w:r w:rsidRPr="00190C96">
        <w:rPr>
          <w:rFonts w:ascii="Arial" w:hAnsi="Arial" w:cs="Arial"/>
          <w:b/>
          <w:bCs/>
          <w:sz w:val="24"/>
          <w:szCs w:val="24"/>
          <w:lang w:val="es-MX"/>
        </w:rPr>
        <w:t xml:space="preserve"> </w:t>
      </w:r>
      <w:r w:rsidRPr="004A7563">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sz w:val="24"/>
        </w:rPr>
        <w:t>Fideicomiso para el Sistema Integral del Tránsito Metropolitano (SINTRAM).</w:t>
      </w:r>
    </w:p>
    <w:p w:rsidR="001344E1" w:rsidRDefault="00E42294" w:rsidP="001344E1">
      <w:pPr>
        <w:spacing w:after="0" w:line="360" w:lineRule="auto"/>
        <w:ind w:firstLine="708"/>
        <w:jc w:val="both"/>
        <w:rPr>
          <w:rFonts w:ascii="Arial" w:hAnsi="Arial" w:cs="Arial"/>
          <w:b/>
          <w:bCs/>
          <w:sz w:val="24"/>
          <w:szCs w:val="24"/>
        </w:rPr>
      </w:pPr>
      <w:r w:rsidRPr="00190C96">
        <w:rPr>
          <w:rFonts w:ascii="Arial" w:hAnsi="Arial" w:cs="Arial"/>
          <w:b/>
          <w:bCs/>
          <w:sz w:val="24"/>
          <w:szCs w:val="24"/>
        </w:rPr>
        <w:t xml:space="preserve">CUARTO.- </w:t>
      </w:r>
      <w:r w:rsidR="001344E1" w:rsidRPr="00472E79">
        <w:rPr>
          <w:rFonts w:ascii="Arial" w:hAnsi="Arial" w:cs="Arial"/>
          <w:bCs/>
          <w:sz w:val="24"/>
          <w:szCs w:val="24"/>
        </w:rPr>
        <w:t>Se instruye a la Auditoria Superior del Estado para que en términos del párrafo segundo del artículo 52 de la</w:t>
      </w:r>
      <w:r w:rsidR="001344E1" w:rsidRPr="00472E79">
        <w:rPr>
          <w:rFonts w:ascii="Arial" w:hAnsi="Arial" w:cs="Arial"/>
          <w:bCs/>
          <w:sz w:val="24"/>
          <w:szCs w:val="24"/>
          <w:lang w:val="es-ES_tradnl"/>
        </w:rPr>
        <w:t xml:space="preserve"> </w:t>
      </w:r>
      <w:r w:rsidR="001344E1" w:rsidRPr="00472E79">
        <w:rPr>
          <w:rFonts w:ascii="Arial" w:hAnsi="Arial" w:cs="Arial"/>
          <w:bCs/>
          <w:sz w:val="24"/>
          <w:szCs w:val="24"/>
        </w:rPr>
        <w:t xml:space="preserve">Ley de Fiscalización Superior del Estado de Nuevo León </w:t>
      </w:r>
      <w:r w:rsidR="001344E1" w:rsidRPr="00472E79">
        <w:rPr>
          <w:rFonts w:ascii="Arial" w:hAnsi="Arial" w:cs="Arial"/>
          <w:b/>
          <w:bCs/>
          <w:sz w:val="24"/>
          <w:szCs w:val="24"/>
        </w:rPr>
        <w:t xml:space="preserve">EXPIDA EL FINIQUITO CORRESPONDIENTE, </w:t>
      </w:r>
      <w:r w:rsidR="001344E1"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sidR="001344E1">
        <w:rPr>
          <w:rFonts w:ascii="Arial" w:hAnsi="Arial" w:cs="Arial"/>
          <w:bCs/>
          <w:sz w:val="24"/>
          <w:szCs w:val="24"/>
        </w:rPr>
        <w:t xml:space="preserve"> </w:t>
      </w:r>
      <w:r w:rsidR="001344E1">
        <w:rPr>
          <w:rFonts w:ascii="Arial" w:hAnsi="Arial" w:cs="Arial"/>
          <w:b/>
          <w:sz w:val="24"/>
        </w:rPr>
        <w:t>Fideicomiso para el Sistema Integral del Tránsito Metropolitano (SINTRAM)</w:t>
      </w:r>
      <w:r w:rsidR="001344E1" w:rsidRPr="00472E79">
        <w:rPr>
          <w:rFonts w:ascii="Arial" w:hAnsi="Arial" w:cs="Arial"/>
          <w:b/>
          <w:bCs/>
          <w:sz w:val="24"/>
          <w:szCs w:val="24"/>
          <w:lang w:val="es-MX"/>
        </w:rPr>
        <w:t xml:space="preserve">, </w:t>
      </w:r>
      <w:r w:rsidR="001344E1" w:rsidRPr="00472E79">
        <w:rPr>
          <w:rFonts w:ascii="Arial" w:hAnsi="Arial" w:cs="Arial"/>
          <w:bCs/>
          <w:sz w:val="24"/>
          <w:szCs w:val="24"/>
        </w:rPr>
        <w:t>correspondiente al ejercicio</w:t>
      </w:r>
      <w:r w:rsidR="001344E1" w:rsidRPr="00472E79">
        <w:rPr>
          <w:rFonts w:ascii="Arial" w:hAnsi="Arial" w:cs="Arial"/>
          <w:b/>
          <w:bCs/>
          <w:sz w:val="24"/>
          <w:szCs w:val="24"/>
        </w:rPr>
        <w:t xml:space="preserve"> </w:t>
      </w:r>
      <w:r w:rsidR="001344E1">
        <w:rPr>
          <w:rFonts w:ascii="Arial" w:hAnsi="Arial" w:cs="Arial"/>
          <w:b/>
          <w:bCs/>
          <w:sz w:val="24"/>
          <w:szCs w:val="24"/>
        </w:rPr>
        <w:t>2015</w:t>
      </w:r>
      <w:r w:rsidR="001344E1" w:rsidRPr="00472E79">
        <w:rPr>
          <w:rFonts w:ascii="Arial" w:hAnsi="Arial" w:cs="Arial"/>
          <w:b/>
          <w:bCs/>
          <w:sz w:val="24"/>
          <w:szCs w:val="24"/>
        </w:rPr>
        <w:t xml:space="preserve">. </w:t>
      </w:r>
    </w:p>
    <w:p w:rsidR="001344E1" w:rsidRDefault="001344E1" w:rsidP="00E42294">
      <w:pPr>
        <w:autoSpaceDE w:val="0"/>
        <w:autoSpaceDN w:val="0"/>
        <w:adjustRightInd w:val="0"/>
        <w:spacing w:after="0" w:line="360" w:lineRule="auto"/>
        <w:ind w:right="79" w:firstLine="708"/>
        <w:jc w:val="both"/>
        <w:rPr>
          <w:rFonts w:ascii="Arial" w:hAnsi="Arial" w:cs="Arial"/>
          <w:bCs/>
          <w:sz w:val="24"/>
          <w:szCs w:val="24"/>
        </w:rPr>
      </w:pPr>
    </w:p>
    <w:p w:rsidR="00E42294" w:rsidRPr="00FF6C07" w:rsidRDefault="00E42294" w:rsidP="00FF6C07">
      <w:pPr>
        <w:spacing w:line="360" w:lineRule="auto"/>
        <w:ind w:firstLine="708"/>
        <w:jc w:val="both"/>
        <w:rPr>
          <w:rFonts w:ascii="Arial" w:hAnsi="Arial" w:cs="Arial"/>
          <w:bCs/>
          <w:sz w:val="24"/>
          <w:szCs w:val="24"/>
        </w:rPr>
      </w:pPr>
      <w:r>
        <w:rPr>
          <w:rFonts w:ascii="Arial" w:hAnsi="Arial" w:cs="Arial"/>
          <w:b/>
          <w:bCs/>
          <w:sz w:val="24"/>
          <w:szCs w:val="24"/>
        </w:rPr>
        <w:t>QUINTO.-</w:t>
      </w:r>
      <w:r>
        <w:rPr>
          <w:rFonts w:ascii="Arial" w:hAnsi="Arial" w:cs="Arial"/>
          <w:bCs/>
          <w:sz w:val="24"/>
          <w:szCs w:val="24"/>
        </w:rPr>
        <w:t xml:space="preserve"> Remítase copia a la AUDITORÍA SUPERIOR DEL ESTADO DE NUEVO LEÓN y al </w:t>
      </w:r>
      <w:r>
        <w:rPr>
          <w:rFonts w:ascii="Arial" w:hAnsi="Arial" w:cs="Arial"/>
          <w:b/>
          <w:sz w:val="24"/>
        </w:rPr>
        <w:t>Fideicomiso para el Sistema Integral del Tránsito Metropolitano (SINTRAM)</w:t>
      </w:r>
      <w:r>
        <w:rPr>
          <w:rFonts w:ascii="Arial" w:hAnsi="Arial" w:cs="Arial"/>
          <w:b/>
          <w:bCs/>
          <w:sz w:val="24"/>
          <w:szCs w:val="24"/>
        </w:rPr>
        <w:t xml:space="preserve">, </w:t>
      </w:r>
      <w:r>
        <w:rPr>
          <w:rFonts w:ascii="Arial" w:hAnsi="Arial" w:cs="Arial"/>
          <w:bCs/>
          <w:sz w:val="24"/>
          <w:szCs w:val="24"/>
        </w:rPr>
        <w:t>para su conocimiento y efectos legales a que haya lugar.</w:t>
      </w:r>
    </w:p>
    <w:p w:rsidR="00E42294" w:rsidRPr="007F749B" w:rsidRDefault="00E42294" w:rsidP="00E42294">
      <w:pPr>
        <w:spacing w:line="360" w:lineRule="auto"/>
        <w:jc w:val="center"/>
        <w:rPr>
          <w:rFonts w:ascii="Arial" w:hAnsi="Arial" w:cs="Arial"/>
        </w:rPr>
      </w:pPr>
      <w:r>
        <w:rPr>
          <w:rFonts w:ascii="Arial" w:hAnsi="Arial" w:cs="Arial"/>
          <w:b/>
          <w:bCs/>
        </w:rPr>
        <w:lastRenderedPageBreak/>
        <w:t>MONTERREY</w:t>
      </w:r>
      <w:r w:rsidRPr="007F749B">
        <w:rPr>
          <w:rFonts w:ascii="Arial" w:hAnsi="Arial" w:cs="Arial"/>
          <w:b/>
          <w:bCs/>
        </w:rPr>
        <w:t xml:space="preserve"> NUEVO LEÓN</w:t>
      </w:r>
      <w:r w:rsidRPr="007F749B">
        <w:rPr>
          <w:rFonts w:ascii="Arial" w:hAnsi="Arial" w:cs="Arial"/>
        </w:rPr>
        <w:t xml:space="preserve"> </w:t>
      </w:r>
      <w:r w:rsidR="00B334D5">
        <w:rPr>
          <w:rFonts w:ascii="Arial" w:hAnsi="Arial" w:cs="Arial"/>
          <w:b/>
        </w:rPr>
        <w:t xml:space="preserve"> </w:t>
      </w:r>
      <w:bookmarkStart w:id="2" w:name="_GoBack"/>
      <w:bookmarkEnd w:id="2"/>
    </w:p>
    <w:p w:rsidR="00E42294" w:rsidRDefault="00E42294" w:rsidP="00E42294">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E42294" w:rsidRDefault="00E42294" w:rsidP="00E42294">
      <w:pPr>
        <w:rPr>
          <w:lang w:val="es-ES_tradnl" w:eastAsia="ar-SA"/>
        </w:rPr>
      </w:pPr>
    </w:p>
    <w:p w:rsidR="00E42294" w:rsidRPr="009A7A82" w:rsidRDefault="00E42294" w:rsidP="00E42294">
      <w:pPr>
        <w:rPr>
          <w:lang w:val="es-ES_tradnl" w:eastAsia="ar-SA"/>
        </w:rPr>
      </w:pPr>
    </w:p>
    <w:p w:rsidR="00E42294" w:rsidRDefault="00E42294" w:rsidP="00E42294">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E42294" w:rsidRDefault="00E42294" w:rsidP="00E42294">
      <w:pPr>
        <w:pStyle w:val="Body1"/>
        <w:widowControl w:val="0"/>
        <w:tabs>
          <w:tab w:val="left" w:pos="3828"/>
        </w:tabs>
        <w:suppressAutoHyphens/>
        <w:spacing w:after="120" w:line="360" w:lineRule="auto"/>
        <w:jc w:val="center"/>
        <w:rPr>
          <w:rFonts w:ascii="Arial" w:hAnsi="Arial" w:cs="Arial"/>
          <w:b/>
          <w:sz w:val="22"/>
          <w:lang w:val="es-ES_tradnl"/>
        </w:rPr>
      </w:pPr>
    </w:p>
    <w:p w:rsidR="00E42294" w:rsidRPr="006743D1" w:rsidRDefault="009F41E1" w:rsidP="00E42294">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E42294" w:rsidTr="00B56CFB">
        <w:trPr>
          <w:cantSplit/>
          <w:trHeight w:val="340"/>
          <w:jc w:val="center"/>
        </w:trPr>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E42294" w:rsidRDefault="00E42294" w:rsidP="00B56CFB">
            <w:pP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E42294" w:rsidRDefault="00E42294" w:rsidP="00B56CFB">
            <w:pPr>
              <w:outlineLvl w:val="0"/>
              <w:rPr>
                <w:rFonts w:ascii="Arial" w:eastAsia="Arial Unicode MS" w:hAnsi="Arial" w:cs="Arial"/>
                <w:b/>
                <w:color w:val="000000"/>
                <w:lang w:val="es-MX"/>
              </w:rPr>
            </w:pPr>
          </w:p>
          <w:p w:rsidR="00E42294" w:rsidRDefault="00E42294" w:rsidP="00B56CFB">
            <w:pP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E42294" w:rsidTr="00B56CFB">
        <w:trPr>
          <w:cantSplit/>
          <w:trHeight w:val="340"/>
          <w:jc w:val="center"/>
        </w:trPr>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42294" w:rsidRDefault="00E42294" w:rsidP="00B56CFB">
            <w:pP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color w:val="000000"/>
                <w:lang w:val="es-MX"/>
              </w:rPr>
            </w:pPr>
          </w:p>
          <w:p w:rsidR="00E42294" w:rsidRDefault="00E42294" w:rsidP="00B56CF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42294" w:rsidRDefault="00E42294" w:rsidP="00B56CFB">
            <w:pPr>
              <w:jc w:val="center"/>
              <w:outlineLvl w:val="0"/>
              <w:rPr>
                <w:rFonts w:ascii="Arial" w:eastAsia="Arial Unicode MS" w:hAnsi="Arial" w:cs="Arial"/>
                <w:b/>
                <w:color w:val="000000"/>
                <w:lang w:val="es-MX"/>
              </w:rPr>
            </w:pPr>
          </w:p>
          <w:p w:rsidR="00E42294" w:rsidRDefault="00E42294" w:rsidP="00B56CFB">
            <w:pP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E42294" w:rsidTr="00B56CFB">
        <w:trPr>
          <w:cantSplit/>
          <w:trHeight w:val="340"/>
          <w:jc w:val="center"/>
        </w:trPr>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42294" w:rsidRDefault="00E42294" w:rsidP="00B56CFB">
            <w:pPr>
              <w:jc w:val="center"/>
              <w:outlineLvl w:val="0"/>
              <w:rPr>
                <w:rFonts w:ascii="Arial" w:eastAsia="Arial Unicode MS" w:hAnsi="Arial" w:cs="Arial"/>
                <w:b/>
                <w:color w:val="000000"/>
                <w:lang w:val="es-MX"/>
              </w:rPr>
            </w:pPr>
          </w:p>
          <w:p w:rsidR="00E42294" w:rsidRDefault="00E42294" w:rsidP="00B56CFB">
            <w:pP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42294" w:rsidRDefault="00E42294" w:rsidP="00B56CFB">
            <w:pPr>
              <w:jc w:val="center"/>
              <w:outlineLvl w:val="0"/>
              <w:rPr>
                <w:rFonts w:ascii="Arial" w:eastAsia="Arial Unicode MS" w:hAnsi="Arial" w:cs="Arial"/>
                <w:b/>
                <w:color w:val="000000"/>
                <w:lang w:val="es-MX"/>
              </w:rPr>
            </w:pPr>
          </w:p>
          <w:p w:rsidR="00E42294" w:rsidRDefault="00E42294" w:rsidP="00B56CFB">
            <w:pP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E42294" w:rsidTr="00B56CFB">
        <w:trPr>
          <w:cantSplit/>
          <w:trHeight w:val="340"/>
          <w:jc w:val="center"/>
        </w:trPr>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E42294" w:rsidRDefault="00E42294" w:rsidP="00B56CFB">
            <w:pPr>
              <w:outlineLvl w:val="0"/>
              <w:rPr>
                <w:rFonts w:ascii="Arial" w:eastAsia="Arial Unicode MS" w:hAnsi="Arial" w:cs="Arial"/>
                <w:b/>
                <w:color w:val="000000"/>
                <w:lang w:val="es-MX"/>
              </w:rPr>
            </w:pPr>
          </w:p>
          <w:p w:rsidR="00E42294" w:rsidRDefault="00E42294" w:rsidP="00B56CFB">
            <w:pP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E42294" w:rsidRDefault="00E42294" w:rsidP="00B56CFB">
            <w:pPr>
              <w:jc w:val="center"/>
              <w:outlineLvl w:val="0"/>
              <w:rPr>
                <w:rFonts w:ascii="Arial" w:eastAsia="Arial Unicode MS" w:hAnsi="Arial" w:cs="Arial"/>
                <w:b/>
                <w:color w:val="000000"/>
                <w:lang w:val="it-IT"/>
              </w:rPr>
            </w:pPr>
          </w:p>
          <w:p w:rsidR="00E42294" w:rsidRDefault="00E42294" w:rsidP="00B56CFB">
            <w:pPr>
              <w:outlineLvl w:val="0"/>
              <w:rPr>
                <w:rFonts w:ascii="Arial" w:eastAsia="Arial Unicode MS" w:hAnsi="Arial" w:cs="Arial"/>
                <w:b/>
                <w:color w:val="000000"/>
                <w:lang w:val="it-IT"/>
              </w:rPr>
            </w:pPr>
          </w:p>
          <w:p w:rsidR="00E42294" w:rsidRDefault="00E42294" w:rsidP="00B56CFB">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E42294" w:rsidTr="00B56CFB">
        <w:trPr>
          <w:cantSplit/>
          <w:trHeight w:val="340"/>
          <w:jc w:val="center"/>
        </w:trPr>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42294" w:rsidRDefault="00E42294" w:rsidP="00B56CFB">
            <w:pPr>
              <w:jc w:val="center"/>
              <w:outlineLvl w:val="0"/>
              <w:rPr>
                <w:rFonts w:ascii="Arial" w:eastAsia="Arial Unicode MS" w:hAnsi="Arial" w:cs="Arial"/>
                <w:b/>
                <w:color w:val="000000"/>
                <w:lang w:val="es-MX"/>
              </w:rPr>
            </w:pPr>
          </w:p>
          <w:p w:rsidR="00E42294" w:rsidRDefault="00E42294" w:rsidP="00B56CFB">
            <w:pP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E42294" w:rsidRDefault="00E42294" w:rsidP="00B56CF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42294" w:rsidRDefault="00E42294" w:rsidP="00B56CFB">
            <w:pP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b/>
                <w:color w:val="000000"/>
                <w:lang w:val="es-MX"/>
              </w:rPr>
            </w:pPr>
          </w:p>
          <w:p w:rsidR="00E42294" w:rsidRDefault="00E42294" w:rsidP="00B56CFB">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E42294" w:rsidRDefault="00E42294" w:rsidP="00E42294"/>
    <w:p w:rsidR="00E42294" w:rsidRPr="00720E1D" w:rsidRDefault="00E42294" w:rsidP="00E42294">
      <w:pPr>
        <w:rPr>
          <w:lang w:val="es-ES_tradnl" w:eastAsia="ar-SA"/>
        </w:rPr>
      </w:pPr>
    </w:p>
    <w:p w:rsidR="009A315C" w:rsidRDefault="003F56BA"/>
    <w:sectPr w:rsidR="009A315C" w:rsidSect="00B334D5">
      <w:footerReference w:type="default" r:id="rId1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BA" w:rsidRDefault="003F56BA" w:rsidP="00E42294">
      <w:pPr>
        <w:spacing w:after="0" w:line="240" w:lineRule="auto"/>
      </w:pPr>
      <w:r>
        <w:separator/>
      </w:r>
    </w:p>
  </w:endnote>
  <w:endnote w:type="continuationSeparator" w:id="0">
    <w:p w:rsidR="003F56BA" w:rsidRDefault="003F56BA" w:rsidP="00E4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5B" w:rsidRPr="00E42294" w:rsidRDefault="003F56BA">
    <w:pPr>
      <w:pStyle w:val="Piedepgina"/>
      <w:jc w:val="right"/>
      <w:rPr>
        <w:rFonts w:ascii="Century Gothic" w:hAnsi="Century Gothic"/>
        <w:sz w:val="14"/>
        <w:szCs w:val="14"/>
      </w:rPr>
    </w:pPr>
  </w:p>
  <w:p w:rsidR="0048155B" w:rsidRPr="00E42294" w:rsidRDefault="002E1631" w:rsidP="007E057C">
    <w:pPr>
      <w:pStyle w:val="Piedepgina"/>
      <w:jc w:val="center"/>
      <w:rPr>
        <w:rFonts w:ascii="Arial" w:hAnsi="Arial" w:cs="Arial"/>
        <w:sz w:val="14"/>
        <w:szCs w:val="14"/>
      </w:rPr>
    </w:pPr>
    <w:r w:rsidRPr="00E42294">
      <w:rPr>
        <w:rFonts w:ascii="Arial" w:hAnsi="Arial" w:cs="Arial"/>
        <w:sz w:val="14"/>
        <w:szCs w:val="14"/>
      </w:rPr>
      <w:t>Comisión de Hacienda del Estado</w:t>
    </w:r>
  </w:p>
  <w:p w:rsidR="0048155B" w:rsidRPr="00E42294" w:rsidRDefault="002E1631" w:rsidP="007E057C">
    <w:pPr>
      <w:pStyle w:val="Piedepgina"/>
      <w:jc w:val="center"/>
      <w:rPr>
        <w:rFonts w:ascii="Arial" w:hAnsi="Arial" w:cs="Arial"/>
        <w:sz w:val="14"/>
        <w:szCs w:val="14"/>
      </w:rPr>
    </w:pPr>
    <w:r w:rsidRPr="00E42294">
      <w:rPr>
        <w:rFonts w:ascii="Arial" w:hAnsi="Arial" w:cs="Arial"/>
        <w:sz w:val="14"/>
        <w:szCs w:val="14"/>
      </w:rPr>
      <w:t xml:space="preserve">Dictamen del Expediente </w:t>
    </w:r>
    <w:r w:rsidR="00E42294">
      <w:rPr>
        <w:rFonts w:ascii="Arial" w:hAnsi="Arial" w:cs="Arial"/>
        <w:sz w:val="14"/>
        <w:szCs w:val="14"/>
      </w:rPr>
      <w:t>10434</w:t>
    </w:r>
    <w:r w:rsidRPr="00E42294">
      <w:rPr>
        <w:rFonts w:ascii="Arial" w:hAnsi="Arial" w:cs="Arial"/>
        <w:sz w:val="14"/>
        <w:szCs w:val="14"/>
      </w:rPr>
      <w:t>/LXXIV Cuenta Pública 201</w:t>
    </w:r>
    <w:r w:rsidR="00E42294">
      <w:rPr>
        <w:rFonts w:ascii="Arial" w:hAnsi="Arial" w:cs="Arial"/>
        <w:sz w:val="14"/>
        <w:szCs w:val="14"/>
      </w:rPr>
      <w:t>5</w:t>
    </w:r>
    <w:r w:rsidRPr="00E42294">
      <w:rPr>
        <w:rFonts w:ascii="Arial" w:hAnsi="Arial" w:cs="Arial"/>
        <w:sz w:val="14"/>
        <w:szCs w:val="14"/>
      </w:rPr>
      <w:t xml:space="preserve"> del Fideicomiso para el Sistema Integral del Tránsito Metropolitano (SINTRAM).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BA" w:rsidRDefault="003F56BA" w:rsidP="00E42294">
      <w:pPr>
        <w:spacing w:after="0" w:line="240" w:lineRule="auto"/>
      </w:pPr>
      <w:r>
        <w:separator/>
      </w:r>
    </w:p>
  </w:footnote>
  <w:footnote w:type="continuationSeparator" w:id="0">
    <w:p w:rsidR="003F56BA" w:rsidRDefault="003F56BA" w:rsidP="00E42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6A36"/>
    <w:multiLevelType w:val="hybridMultilevel"/>
    <w:tmpl w:val="721042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D91A0D"/>
    <w:multiLevelType w:val="hybridMultilevel"/>
    <w:tmpl w:val="E21A901C"/>
    <w:lvl w:ilvl="0" w:tplc="4D6A3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1719B4"/>
    <w:multiLevelType w:val="hybridMultilevel"/>
    <w:tmpl w:val="A2B0CA24"/>
    <w:lvl w:ilvl="0" w:tplc="81F0381E">
      <w:start w:val="2"/>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C373BB"/>
    <w:multiLevelType w:val="hybridMultilevel"/>
    <w:tmpl w:val="2D0C809A"/>
    <w:lvl w:ilvl="0" w:tplc="080A0015">
      <w:start w:val="1"/>
      <w:numFmt w:val="upperLetter"/>
      <w:lvlText w:val="%1."/>
      <w:lvlJc w:val="left"/>
      <w:pPr>
        <w:ind w:left="720" w:hanging="360"/>
      </w:pPr>
      <w:rPr>
        <w:b/>
      </w:rPr>
    </w:lvl>
    <w:lvl w:ilvl="1" w:tplc="080A0017">
      <w:start w:val="1"/>
      <w:numFmt w:val="lowerLetter"/>
      <w:lvlText w:val="%2)"/>
      <w:lvlJc w:val="left"/>
      <w:pPr>
        <w:ind w:left="1440" w:hanging="360"/>
      </w:pPr>
    </w:lvl>
    <w:lvl w:ilvl="2" w:tplc="4CB8BADA">
      <w:start w:val="1"/>
      <w:numFmt w:val="upperLetter"/>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5A4587"/>
    <w:multiLevelType w:val="hybridMultilevel"/>
    <w:tmpl w:val="867013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D0C6C"/>
    <w:multiLevelType w:val="hybridMultilevel"/>
    <w:tmpl w:val="324E4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E20FE4"/>
    <w:multiLevelType w:val="hybridMultilevel"/>
    <w:tmpl w:val="104690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3F52BB"/>
    <w:multiLevelType w:val="hybridMultilevel"/>
    <w:tmpl w:val="6A18B23A"/>
    <w:lvl w:ilvl="0" w:tplc="080A0013">
      <w:start w:val="1"/>
      <w:numFmt w:val="upperRoman"/>
      <w:lvlText w:val="%1."/>
      <w:lvlJc w:val="righ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462BC1"/>
    <w:multiLevelType w:val="hybridMultilevel"/>
    <w:tmpl w:val="A8205362"/>
    <w:lvl w:ilvl="0" w:tplc="080A0017">
      <w:start w:val="1"/>
      <w:numFmt w:val="lowerLetter"/>
      <w:lvlText w:val="%1)"/>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482733"/>
    <w:multiLevelType w:val="hybridMultilevel"/>
    <w:tmpl w:val="735E50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471AA1"/>
    <w:multiLevelType w:val="hybridMultilevel"/>
    <w:tmpl w:val="74985F6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3"/>
  </w:num>
  <w:num w:numId="5">
    <w:abstractNumId w:val="10"/>
  </w:num>
  <w:num w:numId="6">
    <w:abstractNumId w:val="5"/>
  </w:num>
  <w:num w:numId="7">
    <w:abstractNumId w:val="4"/>
  </w:num>
  <w:num w:numId="8">
    <w:abstractNumId w:val="12"/>
  </w:num>
  <w:num w:numId="9">
    <w:abstractNumId w:val="1"/>
  </w:num>
  <w:num w:numId="10">
    <w:abstractNumId w:val="7"/>
  </w:num>
  <w:num w:numId="11">
    <w:abstractNumId w:val="0"/>
  </w:num>
  <w:num w:numId="12">
    <w:abstractNumId w:val="9"/>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76"/>
    <w:rsid w:val="000A4EAE"/>
    <w:rsid w:val="001344E1"/>
    <w:rsid w:val="001A5576"/>
    <w:rsid w:val="00221693"/>
    <w:rsid w:val="002E1631"/>
    <w:rsid w:val="003A5CB6"/>
    <w:rsid w:val="003F56BA"/>
    <w:rsid w:val="004E3A41"/>
    <w:rsid w:val="005138F8"/>
    <w:rsid w:val="006B4B75"/>
    <w:rsid w:val="008456A1"/>
    <w:rsid w:val="008F541A"/>
    <w:rsid w:val="009756B4"/>
    <w:rsid w:val="0099068E"/>
    <w:rsid w:val="009F41E1"/>
    <w:rsid w:val="00A015C1"/>
    <w:rsid w:val="00B334D5"/>
    <w:rsid w:val="00B7076B"/>
    <w:rsid w:val="00B76C4B"/>
    <w:rsid w:val="00BE1A61"/>
    <w:rsid w:val="00DB2D41"/>
    <w:rsid w:val="00DC563B"/>
    <w:rsid w:val="00E42294"/>
    <w:rsid w:val="00FA266A"/>
    <w:rsid w:val="00FC5666"/>
    <w:rsid w:val="00FF6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2E2F16-0421-4660-96F5-B1520B09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294"/>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E42294"/>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2294"/>
    <w:rPr>
      <w:rFonts w:ascii="Helvetica" w:eastAsia="Times New Roman" w:hAnsi="Helvetica" w:cs="Helvetica"/>
      <w:sz w:val="28"/>
      <w:szCs w:val="28"/>
      <w:u w:val="single"/>
      <w:lang w:val="es-ES_tradnl" w:eastAsia="ar-SA"/>
    </w:rPr>
  </w:style>
  <w:style w:type="paragraph" w:styleId="Piedepgina">
    <w:name w:val="footer"/>
    <w:aliases w:val=" Car Car Car Car Car Car Car Car,Car Car Car Car Car Car Car Car,Pie de página1, Car Car Car Car, Car9, Car Car,Car Car,Car9"/>
    <w:basedOn w:val="Normal"/>
    <w:link w:val="PiedepginaCar"/>
    <w:rsid w:val="00E42294"/>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E42294"/>
    <w:rPr>
      <w:rFonts w:ascii="Calibri" w:eastAsia="Calibri" w:hAnsi="Calibri" w:cs="Calibri"/>
      <w:lang w:val="es-ES"/>
    </w:rPr>
  </w:style>
  <w:style w:type="paragraph" w:styleId="Prrafodelista">
    <w:name w:val="List Paragraph"/>
    <w:basedOn w:val="Normal"/>
    <w:link w:val="PrrafodelistaCar"/>
    <w:uiPriority w:val="34"/>
    <w:qFormat/>
    <w:rsid w:val="00E42294"/>
    <w:pPr>
      <w:ind w:left="720"/>
    </w:pPr>
  </w:style>
  <w:style w:type="paragraph" w:styleId="Textoindependiente">
    <w:name w:val="Body Text"/>
    <w:aliases w:val="Car Car Car,Car Car Car Car"/>
    <w:basedOn w:val="Normal"/>
    <w:link w:val="TextoindependienteCar"/>
    <w:rsid w:val="00E42294"/>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E42294"/>
    <w:rPr>
      <w:rFonts w:ascii="Helvetica" w:eastAsia="Times New Roman" w:hAnsi="Helvetica" w:cs="Helvetica"/>
      <w:sz w:val="28"/>
      <w:szCs w:val="28"/>
      <w:lang w:val="es-ES" w:eastAsia="ar-SA"/>
    </w:rPr>
  </w:style>
  <w:style w:type="paragraph" w:customStyle="1" w:styleId="ecxmsonormal">
    <w:name w:val="ecxmsonormal"/>
    <w:basedOn w:val="Normal"/>
    <w:rsid w:val="00E42294"/>
    <w:pPr>
      <w:spacing w:after="324"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basedOn w:val="Fuentedeprrafopredeter"/>
    <w:link w:val="Prrafodelista"/>
    <w:uiPriority w:val="34"/>
    <w:rsid w:val="00E42294"/>
    <w:rPr>
      <w:rFonts w:ascii="Calibri" w:eastAsia="Calibri" w:hAnsi="Calibri" w:cs="Calibri"/>
      <w:lang w:val="es-ES"/>
    </w:rPr>
  </w:style>
  <w:style w:type="paragraph" w:customStyle="1" w:styleId="Body1">
    <w:name w:val="Body 1"/>
    <w:rsid w:val="00E42294"/>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basedOn w:val="Normal"/>
    <w:link w:val="EncabezadoCar"/>
    <w:uiPriority w:val="99"/>
    <w:unhideWhenUsed/>
    <w:rsid w:val="00E422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294"/>
    <w:rPr>
      <w:rFonts w:ascii="Calibri" w:eastAsia="Calibri" w:hAnsi="Calibri" w:cs="Calibri"/>
      <w:lang w:val="es-ES"/>
    </w:rPr>
  </w:style>
  <w:style w:type="paragraph" w:styleId="Textodeglobo">
    <w:name w:val="Balloon Text"/>
    <w:basedOn w:val="Normal"/>
    <w:link w:val="TextodegloboCar"/>
    <w:uiPriority w:val="99"/>
    <w:semiHidden/>
    <w:unhideWhenUsed/>
    <w:rsid w:val="002E16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631"/>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39</Pages>
  <Words>6707</Words>
  <Characters>36890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14</cp:revision>
  <cp:lastPrinted>2017-03-07T00:28:00Z</cp:lastPrinted>
  <dcterms:created xsi:type="dcterms:W3CDTF">2016-11-28T19:03:00Z</dcterms:created>
  <dcterms:modified xsi:type="dcterms:W3CDTF">2017-03-07T00:28:00Z</dcterms:modified>
</cp:coreProperties>
</file>