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896146">
      <w:pPr>
        <w:spacing w:line="360" w:lineRule="auto"/>
        <w:ind w:firstLine="709"/>
        <w:jc w:val="both"/>
        <w:rPr>
          <w:rFonts w:ascii="Arial" w:hAnsi="Arial" w:cs="Arial"/>
          <w:sz w:val="24"/>
        </w:rPr>
      </w:pPr>
    </w:p>
    <w:p w:rsidR="009C0345" w:rsidRPr="000643C1" w:rsidRDefault="009C0345" w:rsidP="00AC2B07">
      <w:pPr>
        <w:spacing w:line="360" w:lineRule="auto"/>
        <w:ind w:firstLine="709"/>
        <w:jc w:val="both"/>
        <w:rPr>
          <w:rFonts w:ascii="Arial" w:hAnsi="Arial" w:cs="Arial"/>
          <w:b/>
          <w:bCs/>
          <w:sz w:val="24"/>
        </w:rPr>
      </w:pPr>
      <w:r w:rsidRPr="000643C1">
        <w:rPr>
          <w:rFonts w:ascii="Arial" w:hAnsi="Arial" w:cs="Arial"/>
          <w:sz w:val="24"/>
        </w:rPr>
        <w:t xml:space="preserve">A la </w:t>
      </w:r>
      <w:r w:rsidRPr="000643C1">
        <w:rPr>
          <w:rFonts w:ascii="Arial" w:hAnsi="Arial" w:cs="Arial"/>
          <w:b/>
          <w:bCs/>
          <w:sz w:val="24"/>
        </w:rPr>
        <w:t xml:space="preserve">Comisión </w:t>
      </w:r>
      <w:r w:rsidR="002959ED" w:rsidRPr="000643C1">
        <w:rPr>
          <w:rFonts w:ascii="Arial" w:hAnsi="Arial" w:cs="Arial"/>
          <w:b/>
          <w:bCs/>
          <w:sz w:val="24"/>
        </w:rPr>
        <w:t>de Hacienda del Estado</w:t>
      </w:r>
      <w:r w:rsidR="0029225D">
        <w:rPr>
          <w:rFonts w:ascii="Arial" w:hAnsi="Arial" w:cs="Arial"/>
          <w:sz w:val="24"/>
        </w:rPr>
        <w:t xml:space="preserve"> le fue turnado</w:t>
      </w:r>
      <w:r w:rsidRPr="000643C1">
        <w:rPr>
          <w:rFonts w:ascii="Arial" w:hAnsi="Arial" w:cs="Arial"/>
          <w:sz w:val="24"/>
        </w:rPr>
        <w:t xml:space="preserve"> para su estudio y dictamen, en fecha </w:t>
      </w:r>
      <w:r w:rsidR="00974277">
        <w:rPr>
          <w:rFonts w:ascii="Arial" w:hAnsi="Arial" w:cs="Arial"/>
          <w:sz w:val="24"/>
        </w:rPr>
        <w:t>14 de Noviembre de 2016</w:t>
      </w:r>
      <w:r w:rsidRPr="000643C1">
        <w:rPr>
          <w:rFonts w:ascii="Arial" w:hAnsi="Arial" w:cs="Arial"/>
          <w:sz w:val="24"/>
        </w:rPr>
        <w:t xml:space="preserve">, escrito que contiene el Informe de Resultados de la revisión practicada por la Auditoría Superior del Estado de Nuevo León, a la </w:t>
      </w:r>
      <w:r w:rsidRPr="000643C1">
        <w:rPr>
          <w:rFonts w:ascii="Arial" w:hAnsi="Arial" w:cs="Arial"/>
          <w:b/>
          <w:bCs/>
          <w:sz w:val="24"/>
        </w:rPr>
        <w:t>Cuenta Pública</w:t>
      </w:r>
      <w:r w:rsidR="006102CD">
        <w:rPr>
          <w:rFonts w:ascii="Arial" w:hAnsi="Arial" w:cs="Arial"/>
          <w:sz w:val="24"/>
        </w:rPr>
        <w:t xml:space="preserve"> de</w:t>
      </w:r>
      <w:r w:rsidR="00F11DA5">
        <w:rPr>
          <w:rFonts w:ascii="Arial" w:hAnsi="Arial" w:cs="Arial"/>
          <w:sz w:val="24"/>
        </w:rPr>
        <w:t xml:space="preserve"> </w:t>
      </w:r>
      <w:r w:rsidR="004B1929">
        <w:rPr>
          <w:rFonts w:ascii="Arial" w:hAnsi="Arial" w:cs="Arial"/>
          <w:b/>
          <w:sz w:val="24"/>
        </w:rPr>
        <w:t>FIDEICOMISO PÚBLICO DE ADMINISTRACIÓN Y TRASLATIVO DE DOMINIO CIUDAD SOLIDARIDAD</w:t>
      </w:r>
      <w:r w:rsidRPr="000643C1">
        <w:rPr>
          <w:rFonts w:ascii="Arial" w:hAnsi="Arial" w:cs="Arial"/>
          <w:sz w:val="24"/>
        </w:rPr>
        <w:t xml:space="preserve">, correspondiente a su Ejercicio Fiscal </w:t>
      </w:r>
      <w:r w:rsidRPr="000643C1">
        <w:rPr>
          <w:rFonts w:ascii="Arial" w:hAnsi="Arial" w:cs="Arial"/>
          <w:b/>
          <w:bCs/>
          <w:sz w:val="24"/>
        </w:rPr>
        <w:t>201</w:t>
      </w:r>
      <w:r w:rsidR="00974277">
        <w:rPr>
          <w:rFonts w:ascii="Arial" w:hAnsi="Arial" w:cs="Arial"/>
          <w:b/>
          <w:bCs/>
          <w:sz w:val="24"/>
        </w:rPr>
        <w:t>5</w:t>
      </w:r>
      <w:r w:rsidRPr="000643C1">
        <w:rPr>
          <w:rFonts w:ascii="Arial" w:hAnsi="Arial" w:cs="Arial"/>
          <w:sz w:val="24"/>
        </w:rPr>
        <w:t>, bajo el expediente</w:t>
      </w:r>
      <w:r w:rsidR="00974277">
        <w:rPr>
          <w:rFonts w:ascii="Arial" w:hAnsi="Arial" w:cs="Arial"/>
          <w:b/>
          <w:sz w:val="24"/>
        </w:rPr>
        <w:t>10436</w:t>
      </w:r>
      <w:r w:rsidRPr="000643C1">
        <w:rPr>
          <w:rFonts w:ascii="Arial" w:hAnsi="Arial" w:cs="Arial"/>
          <w:b/>
          <w:bCs/>
          <w:sz w:val="24"/>
        </w:rPr>
        <w:t>/LXXI</w:t>
      </w:r>
      <w:r w:rsidR="00AC2B07">
        <w:rPr>
          <w:rFonts w:ascii="Arial" w:hAnsi="Arial" w:cs="Arial"/>
          <w:b/>
          <w:bCs/>
          <w:sz w:val="24"/>
        </w:rPr>
        <w:t>V</w:t>
      </w:r>
      <w:r w:rsidRPr="000643C1">
        <w:rPr>
          <w:rFonts w:ascii="Arial" w:hAnsi="Arial" w:cs="Arial"/>
          <w:b/>
          <w:bCs/>
          <w:sz w:val="24"/>
        </w:rPr>
        <w:t>.</w:t>
      </w:r>
    </w:p>
    <w:p w:rsidR="009C0345" w:rsidRPr="000643C1" w:rsidRDefault="009C0345" w:rsidP="00896146">
      <w:pPr>
        <w:pStyle w:val="ecxmsonormal"/>
        <w:shd w:val="clear" w:color="auto" w:fill="FFFFFF"/>
        <w:spacing w:line="360"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4B1929">
        <w:rPr>
          <w:rFonts w:ascii="Arial" w:hAnsi="Arial" w:cs="Arial"/>
          <w:szCs w:val="22"/>
        </w:rPr>
        <w:t xml:space="preserve"> ante este Pleno los siguientes</w:t>
      </w:r>
    </w:p>
    <w:p w:rsidR="009C0345" w:rsidRPr="00AC2B07" w:rsidRDefault="004B1929" w:rsidP="009C0345">
      <w:pPr>
        <w:jc w:val="both"/>
        <w:rPr>
          <w:rFonts w:ascii="Arial" w:hAnsi="Arial" w:cs="Arial"/>
          <w:b/>
          <w:bCs/>
          <w:sz w:val="24"/>
          <w:szCs w:val="24"/>
        </w:rPr>
      </w:pPr>
      <w:r>
        <w:rPr>
          <w:rFonts w:ascii="Arial" w:hAnsi="Arial" w:cs="Arial"/>
          <w:b/>
          <w:bCs/>
          <w:sz w:val="24"/>
          <w:szCs w:val="24"/>
        </w:rPr>
        <w:t>ANTECEDENTES</w:t>
      </w:r>
    </w:p>
    <w:p w:rsidR="009C0345" w:rsidRPr="00F3591A"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F3591A" w:rsidRPr="00B67BEE" w:rsidRDefault="00F3591A" w:rsidP="00F3591A">
      <w:pPr>
        <w:pStyle w:val="Prrafodelista"/>
        <w:spacing w:after="0"/>
        <w:ind w:left="426"/>
        <w:contextualSpacing/>
        <w:rPr>
          <w:rFonts w:ascii="Arial" w:hAnsi="Arial" w:cs="Arial"/>
          <w:b/>
          <w:sz w:val="24"/>
          <w:szCs w:val="24"/>
        </w:rPr>
      </w:pPr>
    </w:p>
    <w:p w:rsidR="000E309E" w:rsidRPr="000E309E" w:rsidRDefault="00AC2B07" w:rsidP="000E309E">
      <w:pPr>
        <w:spacing w:line="360" w:lineRule="auto"/>
        <w:ind w:firstLine="708"/>
        <w:jc w:val="both"/>
        <w:rPr>
          <w:rFonts w:ascii="Arial" w:hAnsi="Arial" w:cs="Arial"/>
          <w:sz w:val="24"/>
          <w:szCs w:val="24"/>
        </w:rPr>
      </w:pPr>
      <w:r w:rsidRPr="00D84979">
        <w:rPr>
          <w:rFonts w:ascii="Arial" w:hAnsi="Arial" w:cs="Arial"/>
          <w:sz w:val="24"/>
          <w:szCs w:val="24"/>
        </w:rPr>
        <w:t xml:space="preserve">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w:t>
      </w:r>
      <w:r w:rsidRPr="00D84979">
        <w:rPr>
          <w:rFonts w:ascii="Arial" w:hAnsi="Arial" w:cs="Arial"/>
          <w:sz w:val="24"/>
          <w:szCs w:val="24"/>
        </w:rPr>
        <w:lastRenderedPageBreak/>
        <w:t>Pública del Estado, los Municipios y sus Organismos Descentralizados, así como las Instituciones Públicas de Educación que reciban recursos públicos</w:t>
      </w:r>
      <w:r w:rsidR="000E309E" w:rsidRPr="000E309E">
        <w:rPr>
          <w:rFonts w:ascii="Arial" w:hAnsi="Arial" w:cs="Arial"/>
          <w:sz w:val="24"/>
          <w:szCs w:val="24"/>
        </w:rPr>
        <w:t>.</w:t>
      </w:r>
    </w:p>
    <w:p w:rsidR="000E309E" w:rsidRPr="000E309E" w:rsidRDefault="00AC2B07" w:rsidP="000E309E">
      <w:pPr>
        <w:spacing w:line="360" w:lineRule="auto"/>
        <w:ind w:right="-233" w:firstLine="708"/>
        <w:jc w:val="both"/>
        <w:rPr>
          <w:rFonts w:ascii="Arial" w:hAnsi="Arial" w:cs="Arial"/>
          <w:sz w:val="24"/>
          <w:szCs w:val="24"/>
          <w:u w:val="single"/>
        </w:rPr>
      </w:pPr>
      <w:r w:rsidRPr="00D84979">
        <w:rPr>
          <w:rFonts w:ascii="Arial" w:hAnsi="Arial" w:cs="Arial"/>
          <w:sz w:val="24"/>
          <w:szCs w:val="24"/>
        </w:rPr>
        <w:t>En el ejercicio de las referidas funciones, para la revisión de la C</w:t>
      </w:r>
      <w:r w:rsidR="00974277">
        <w:rPr>
          <w:rFonts w:ascii="Arial" w:hAnsi="Arial" w:cs="Arial"/>
          <w:sz w:val="24"/>
          <w:szCs w:val="24"/>
        </w:rPr>
        <w:t>uenta Pública del ejercicio 2015</w:t>
      </w:r>
      <w:r>
        <w:rPr>
          <w:rFonts w:ascii="Arial" w:hAnsi="Arial" w:cs="Arial"/>
          <w:sz w:val="24"/>
          <w:szCs w:val="24"/>
        </w:rPr>
        <w:t xml:space="preserve"> </w:t>
      </w:r>
      <w:r w:rsidRPr="00D84979">
        <w:rPr>
          <w:rFonts w:ascii="Arial" w:hAnsi="Arial" w:cs="Arial"/>
          <w:sz w:val="24"/>
          <w:szCs w:val="24"/>
        </w:rPr>
        <w:t xml:space="preserve">del </w:t>
      </w:r>
      <w:r w:rsidR="004B1929" w:rsidRPr="00F8371D">
        <w:rPr>
          <w:rFonts w:ascii="Arial" w:hAnsi="Arial" w:cs="Arial"/>
          <w:b/>
          <w:color w:val="000000"/>
          <w:sz w:val="24"/>
          <w:szCs w:val="24"/>
        </w:rPr>
        <w:t>FIDEICOMISO PÚBLICO DE ADMINISTRACIÓN Y TRASLATIVO DE DOMINIO CIUDAD SOLIDARIDAD</w:t>
      </w:r>
      <w:r>
        <w:rPr>
          <w:rFonts w:ascii="Arial" w:hAnsi="Arial" w:cs="Arial"/>
          <w:color w:val="000000"/>
          <w:sz w:val="24"/>
          <w:szCs w:val="24"/>
        </w:rPr>
        <w:t xml:space="preserve"> </w:t>
      </w:r>
      <w:r w:rsidR="00974277">
        <w:rPr>
          <w:rFonts w:ascii="Arial" w:hAnsi="Arial" w:cs="Arial"/>
          <w:sz w:val="24"/>
          <w:szCs w:val="24"/>
        </w:rPr>
        <w:t>recibida el 22</w:t>
      </w:r>
      <w:r w:rsidRPr="00D84979">
        <w:rPr>
          <w:rFonts w:ascii="Arial" w:hAnsi="Arial" w:cs="Arial"/>
          <w:sz w:val="24"/>
          <w:szCs w:val="24"/>
        </w:rPr>
        <w:t xml:space="preserve"> de abril de</w:t>
      </w:r>
      <w:r>
        <w:rPr>
          <w:rFonts w:ascii="Arial" w:hAnsi="Arial" w:cs="Arial"/>
          <w:sz w:val="24"/>
          <w:szCs w:val="24"/>
        </w:rPr>
        <w:t xml:space="preserve"> </w:t>
      </w:r>
      <w:r w:rsidR="00974277">
        <w:rPr>
          <w:rFonts w:ascii="Arial" w:hAnsi="Arial" w:cs="Arial"/>
          <w:sz w:val="24"/>
          <w:szCs w:val="24"/>
        </w:rPr>
        <w:t>2016</w:t>
      </w:r>
      <w:r w:rsidRPr="00D84979">
        <w:rPr>
          <w:rFonts w:ascii="Arial" w:hAnsi="Arial" w:cs="Arial"/>
          <w:sz w:val="24"/>
          <w:szCs w:val="24"/>
        </w:rPr>
        <w:t>,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r w:rsidR="000E309E" w:rsidRPr="000E309E">
        <w:rPr>
          <w:rFonts w:ascii="Arial" w:hAnsi="Arial" w:cs="Arial"/>
          <w:sz w:val="24"/>
          <w:szCs w:val="24"/>
        </w:rPr>
        <w:t>.</w:t>
      </w:r>
    </w:p>
    <w:p w:rsidR="000E309E" w:rsidRPr="000E309E" w:rsidRDefault="00AC2B07" w:rsidP="000E309E">
      <w:pPr>
        <w:spacing w:line="360" w:lineRule="auto"/>
        <w:ind w:right="-233" w:firstLine="708"/>
        <w:jc w:val="both"/>
        <w:rPr>
          <w:rFonts w:ascii="Arial" w:hAnsi="Arial" w:cs="Arial"/>
          <w:sz w:val="24"/>
          <w:szCs w:val="24"/>
        </w:rPr>
      </w:pPr>
      <w:r w:rsidRPr="00D84979">
        <w:rPr>
          <w:rFonts w:ascii="Arial" w:hAnsi="Arial" w:cs="Arial"/>
          <w:sz w:val="24"/>
          <w:szCs w:val="24"/>
        </w:rPr>
        <w:t>En tal sentido, y en cumplimiento de lo preceptuado en los artículos 137 segundo párrafo de la Constitución Política del Estado Libre y Soberano de Nuevo León, 20 fracción XXXI, 48 primer párrafo y 82 fracción XV de la Ley de Fiscalización Superio</w:t>
      </w:r>
      <w:r w:rsidR="00CE3766">
        <w:rPr>
          <w:rFonts w:ascii="Arial" w:hAnsi="Arial" w:cs="Arial"/>
          <w:sz w:val="24"/>
          <w:szCs w:val="24"/>
        </w:rPr>
        <w:t>r del Estado de Nuevo León, la</w:t>
      </w:r>
      <w:r w:rsidRPr="00D84979">
        <w:rPr>
          <w:rFonts w:ascii="Arial" w:hAnsi="Arial" w:cs="Arial"/>
          <w:sz w:val="24"/>
          <w:szCs w:val="24"/>
        </w:rPr>
        <w:t xml:space="preserve"> Auditoría Superior del Estado tiene a bien rendir el Informe del Resultado de la revisión practicada a la C</w:t>
      </w:r>
      <w:r w:rsidR="00CE3766">
        <w:rPr>
          <w:rFonts w:ascii="Arial" w:hAnsi="Arial" w:cs="Arial"/>
          <w:sz w:val="24"/>
          <w:szCs w:val="24"/>
        </w:rPr>
        <w:t>uenta Pública del ejercicio 2015</w:t>
      </w:r>
      <w:r w:rsidRPr="00D84979">
        <w:rPr>
          <w:rFonts w:ascii="Arial" w:hAnsi="Arial" w:cs="Arial"/>
          <w:sz w:val="24"/>
          <w:szCs w:val="24"/>
        </w:rPr>
        <w:t xml:space="preserve"> del referido </w:t>
      </w:r>
      <w:r>
        <w:rPr>
          <w:rFonts w:ascii="Arial" w:hAnsi="Arial" w:cs="Arial"/>
          <w:sz w:val="24"/>
          <w:szCs w:val="24"/>
        </w:rPr>
        <w:t>Fideicomiso</w:t>
      </w:r>
      <w:r w:rsidRPr="00D84979">
        <w:rPr>
          <w:rFonts w:ascii="Arial" w:hAnsi="Arial" w:cs="Arial"/>
          <w:sz w:val="24"/>
          <w:szCs w:val="24"/>
        </w:rPr>
        <w:t>, al H. Congreso del Estado</w:t>
      </w:r>
      <w:r>
        <w:rPr>
          <w:rFonts w:ascii="Arial" w:hAnsi="Arial" w:cs="Arial"/>
          <w:sz w:val="24"/>
          <w:szCs w:val="24"/>
        </w:rPr>
        <w:t>.</w:t>
      </w:r>
    </w:p>
    <w:p w:rsidR="000E309E" w:rsidRPr="000E309E" w:rsidRDefault="00AC2B07" w:rsidP="000E309E">
      <w:pPr>
        <w:spacing w:line="360" w:lineRule="auto"/>
        <w:ind w:firstLine="708"/>
        <w:jc w:val="both"/>
        <w:rPr>
          <w:rFonts w:ascii="Arial" w:hAnsi="Arial" w:cs="Arial"/>
          <w:sz w:val="24"/>
          <w:szCs w:val="24"/>
        </w:rPr>
      </w:pPr>
      <w:r w:rsidRPr="00D84979">
        <w:rPr>
          <w:rFonts w:ascii="Arial" w:hAnsi="Arial" w:cs="Arial"/>
          <w:sz w:val="24"/>
          <w:szCs w:val="24"/>
        </w:rPr>
        <w:t>El Dictamen que se presenta al inicio de este Informe del Resultado, refleja la evaluación practicada al manejo y aplicación de los recursos públicos y al cumplimiento de las Normas de Información Financiera aplicables</w:t>
      </w:r>
      <w:r w:rsidR="000E309E" w:rsidRPr="000E309E">
        <w:rPr>
          <w:rFonts w:ascii="Arial" w:hAnsi="Arial" w:cs="Arial"/>
          <w:sz w:val="24"/>
          <w:szCs w:val="24"/>
        </w:rPr>
        <w:t>.</w:t>
      </w:r>
    </w:p>
    <w:p w:rsidR="000E309E" w:rsidRPr="000E309E" w:rsidRDefault="000E309E" w:rsidP="000E309E">
      <w:pPr>
        <w:spacing w:line="360" w:lineRule="auto"/>
        <w:jc w:val="both"/>
        <w:rPr>
          <w:rFonts w:ascii="Arial" w:hAnsi="Arial" w:cs="Arial"/>
          <w:sz w:val="24"/>
          <w:szCs w:val="24"/>
        </w:rPr>
      </w:pPr>
    </w:p>
    <w:p w:rsidR="000E309E" w:rsidRPr="000E309E" w:rsidRDefault="00AC2B07" w:rsidP="000E309E">
      <w:pPr>
        <w:spacing w:line="360" w:lineRule="auto"/>
        <w:ind w:firstLine="708"/>
        <w:jc w:val="both"/>
        <w:rPr>
          <w:rFonts w:ascii="Arial" w:hAnsi="Arial" w:cs="Arial"/>
          <w:sz w:val="24"/>
          <w:szCs w:val="24"/>
        </w:rPr>
      </w:pPr>
      <w:r w:rsidRPr="00D84979">
        <w:rPr>
          <w:rFonts w:ascii="Arial" w:hAnsi="Arial" w:cs="Arial"/>
          <w:sz w:val="24"/>
          <w:szCs w:val="24"/>
        </w:rPr>
        <w:t>En el apartado III de este Informe, se incluyen los objetivos y alcances de la revisión practicada tanto a la gestión como en su caso al desempeño, incluyendo los criterios de selección y descripción de los procedimientos de auditoría aplicados</w:t>
      </w:r>
      <w:r w:rsidR="000E309E" w:rsidRPr="000E309E">
        <w:rPr>
          <w:rFonts w:ascii="Arial" w:hAnsi="Arial" w:cs="Arial"/>
          <w:sz w:val="24"/>
          <w:szCs w:val="24"/>
        </w:rPr>
        <w:t>.</w:t>
      </w:r>
    </w:p>
    <w:p w:rsidR="00896146" w:rsidRPr="000E309E" w:rsidRDefault="00AC2B07" w:rsidP="000E309E">
      <w:pPr>
        <w:spacing w:line="360" w:lineRule="auto"/>
        <w:ind w:firstLine="708"/>
        <w:jc w:val="both"/>
        <w:rPr>
          <w:rFonts w:ascii="Arial" w:hAnsi="Arial" w:cs="Arial"/>
          <w:sz w:val="24"/>
          <w:szCs w:val="24"/>
        </w:rPr>
      </w:pPr>
      <w:r w:rsidRPr="00D84979">
        <w:rPr>
          <w:rFonts w:ascii="Arial" w:hAnsi="Arial" w:cs="Arial"/>
          <w:sz w:val="24"/>
          <w:szCs w:val="24"/>
        </w:rPr>
        <w:t>En el apartado IV se presenta una descripción de los elementos revisados y resultados obtenidos en la revisión, respecto de</w:t>
      </w:r>
      <w:r w:rsidR="00F3591A" w:rsidRPr="000E309E">
        <w:rPr>
          <w:rFonts w:ascii="Arial" w:hAnsi="Arial" w:cs="Arial"/>
          <w:sz w:val="24"/>
          <w:szCs w:val="24"/>
        </w:rPr>
        <w:t>:</w:t>
      </w:r>
    </w:p>
    <w:p w:rsidR="003E68FF" w:rsidRPr="003C7A5D" w:rsidRDefault="003E68FF" w:rsidP="00F3591A">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 la gestión financiera y del gasto público;</w:t>
      </w:r>
    </w:p>
    <w:p w:rsidR="003E68FF" w:rsidRPr="003C7A5D" w:rsidRDefault="000E309E" w:rsidP="00F3591A">
      <w:pPr>
        <w:numPr>
          <w:ilvl w:val="0"/>
          <w:numId w:val="2"/>
        </w:numPr>
        <w:spacing w:after="0" w:line="360" w:lineRule="auto"/>
        <w:ind w:left="357" w:hanging="357"/>
        <w:contextualSpacing/>
        <w:jc w:val="both"/>
        <w:rPr>
          <w:rFonts w:ascii="Arial" w:hAnsi="Arial" w:cs="Arial"/>
          <w:sz w:val="24"/>
          <w:szCs w:val="24"/>
        </w:rPr>
      </w:pPr>
      <w:r w:rsidRPr="0063532E">
        <w:rPr>
          <w:rFonts w:ascii="Arial" w:hAnsi="Arial" w:cs="Arial"/>
          <w:sz w:val="24"/>
          <w:szCs w:val="24"/>
        </w:rPr>
        <w:t xml:space="preserve">Cumplimiento de las </w:t>
      </w:r>
      <w:r>
        <w:rPr>
          <w:rFonts w:ascii="Arial" w:hAnsi="Arial" w:cs="Arial"/>
          <w:sz w:val="24"/>
          <w:szCs w:val="24"/>
        </w:rPr>
        <w:t>Normas de Información F</w:t>
      </w:r>
      <w:r w:rsidRPr="0063532E">
        <w:rPr>
          <w:rFonts w:ascii="Arial" w:hAnsi="Arial" w:cs="Arial"/>
          <w:sz w:val="24"/>
          <w:szCs w:val="24"/>
        </w:rPr>
        <w:t>inanciera aplicables y de las disposiciones contenidas en los ordenamientos y normativa correspondientes</w:t>
      </w:r>
      <w:r w:rsidR="003E68FF" w:rsidRPr="003C7A5D">
        <w:rPr>
          <w:rFonts w:ascii="Arial" w:hAnsi="Arial" w:cs="Arial"/>
          <w:sz w:val="24"/>
          <w:szCs w:val="24"/>
        </w:rPr>
        <w:t>;</w:t>
      </w:r>
    </w:p>
    <w:p w:rsidR="003E68FF" w:rsidRPr="003C7A5D" w:rsidRDefault="003E68FF" w:rsidP="00F3591A">
      <w:pPr>
        <w:numPr>
          <w:ilvl w:val="0"/>
          <w:numId w:val="2"/>
        </w:numPr>
        <w:spacing w:after="0" w:line="360" w:lineRule="auto"/>
        <w:ind w:left="357" w:hanging="357"/>
        <w:contextualSpacing/>
        <w:jc w:val="both"/>
        <w:rPr>
          <w:rFonts w:ascii="Arial" w:hAnsi="Arial" w:cs="Arial"/>
          <w:sz w:val="24"/>
          <w:szCs w:val="24"/>
        </w:rPr>
      </w:pPr>
      <w:r w:rsidRPr="003C7A5D">
        <w:rPr>
          <w:rFonts w:ascii="Arial" w:hAnsi="Arial" w:cs="Arial"/>
          <w:sz w:val="24"/>
          <w:szCs w:val="24"/>
        </w:rPr>
        <w:t>La evaluación del avance o cumplimiento de los programas y subprogramas aprobados.</w:t>
      </w:r>
    </w:p>
    <w:p w:rsidR="00F216C1" w:rsidRDefault="00F216C1" w:rsidP="00F3591A">
      <w:pPr>
        <w:spacing w:line="360" w:lineRule="auto"/>
        <w:ind w:firstLine="708"/>
        <w:jc w:val="both"/>
        <w:rPr>
          <w:rFonts w:ascii="Arial" w:hAnsi="Arial" w:cs="Arial"/>
          <w:sz w:val="24"/>
          <w:szCs w:val="24"/>
        </w:rPr>
      </w:pPr>
    </w:p>
    <w:p w:rsidR="00FD741F" w:rsidRPr="00D5483F" w:rsidRDefault="006D03BB" w:rsidP="00FD741F">
      <w:pPr>
        <w:spacing w:line="360" w:lineRule="auto"/>
        <w:ind w:firstLine="708"/>
        <w:jc w:val="both"/>
        <w:rPr>
          <w:rFonts w:ascii="Arial" w:hAnsi="Arial" w:cs="Arial"/>
          <w:sz w:val="24"/>
          <w:szCs w:val="24"/>
        </w:rPr>
      </w:pPr>
      <w:r w:rsidRPr="00D84979">
        <w:rPr>
          <w:rFonts w:ascii="Arial" w:hAnsi="Arial" w:cs="Arial"/>
          <w:sz w:val="24"/>
          <w:szCs w:val="24"/>
        </w:rPr>
        <w:t>En el apartado V del presente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r w:rsidR="00FD741F">
        <w:rPr>
          <w:rFonts w:ascii="Arial" w:hAnsi="Arial" w:cs="Arial"/>
          <w:sz w:val="24"/>
          <w:szCs w:val="24"/>
        </w:rPr>
        <w:t xml:space="preserve">. </w:t>
      </w:r>
      <w:r w:rsidRPr="00D84979">
        <w:rPr>
          <w:rFonts w:ascii="Arial" w:hAnsi="Arial" w:cs="Arial"/>
          <w:sz w:val="24"/>
          <w:szCs w:val="24"/>
        </w:rPr>
        <w:t xml:space="preserve">Finalmente, se informa sobre la situación que guardan las observaciones, recomendaciones y acciones promovidas por </w:t>
      </w:r>
      <w:r w:rsidR="00CE3766">
        <w:rPr>
          <w:rFonts w:ascii="Arial" w:hAnsi="Arial" w:cs="Arial"/>
          <w:sz w:val="24"/>
          <w:szCs w:val="24"/>
        </w:rPr>
        <w:t>la</w:t>
      </w:r>
      <w:r w:rsidRPr="00D84979">
        <w:rPr>
          <w:rFonts w:ascii="Arial" w:hAnsi="Arial" w:cs="Arial"/>
          <w:sz w:val="24"/>
          <w:szCs w:val="24"/>
        </w:rPr>
        <w:t xml:space="preserve"> </w:t>
      </w:r>
      <w:r w:rsidRPr="00D84979">
        <w:rPr>
          <w:rFonts w:ascii="Arial" w:hAnsi="Arial" w:cs="Arial"/>
          <w:sz w:val="24"/>
          <w:szCs w:val="24"/>
        </w:rPr>
        <w:lastRenderedPageBreak/>
        <w:t>Auditoría Superior del Estado en la fiscalización de las Cuentas Públicas de ejercicios anteriores</w:t>
      </w:r>
      <w:r w:rsidR="00FD741F" w:rsidRPr="00D5483F">
        <w:rPr>
          <w:rFonts w:ascii="Arial" w:hAnsi="Arial" w:cs="Arial"/>
          <w:sz w:val="24"/>
          <w:szCs w:val="24"/>
        </w:rPr>
        <w:t>.</w:t>
      </w:r>
    </w:p>
    <w:p w:rsidR="00F3591A" w:rsidRPr="00264418" w:rsidRDefault="00F3591A" w:rsidP="00F3591A">
      <w:pPr>
        <w:spacing w:line="360" w:lineRule="auto"/>
        <w:contextualSpacing/>
        <w:jc w:val="both"/>
        <w:rPr>
          <w:rFonts w:ascii="Arial" w:hAnsi="Arial" w:cs="Arial"/>
          <w:sz w:val="24"/>
          <w:szCs w:val="24"/>
        </w:rPr>
      </w:pPr>
    </w:p>
    <w:p w:rsidR="00FD741F" w:rsidRPr="00FD741F" w:rsidRDefault="003E68FF" w:rsidP="00FD741F">
      <w:pPr>
        <w:pStyle w:val="Piedepgina"/>
        <w:numPr>
          <w:ilvl w:val="0"/>
          <w:numId w:val="30"/>
        </w:numPr>
        <w:tabs>
          <w:tab w:val="clear" w:pos="4252"/>
          <w:tab w:val="clear" w:pos="8504"/>
        </w:tabs>
        <w:spacing w:line="360" w:lineRule="auto"/>
        <w:jc w:val="both"/>
        <w:rPr>
          <w:rFonts w:ascii="Arial" w:hAnsi="Arial" w:cs="Arial"/>
          <w:b/>
          <w:sz w:val="24"/>
          <w:szCs w:val="24"/>
          <w:lang w:val="es-MX"/>
        </w:rPr>
      </w:pPr>
      <w:r w:rsidRPr="003C7A5D">
        <w:rPr>
          <w:rFonts w:ascii="Arial" w:hAnsi="Arial" w:cs="Arial"/>
          <w:b/>
          <w:sz w:val="24"/>
          <w:szCs w:val="24"/>
          <w:lang w:val="es-MX"/>
        </w:rPr>
        <w:t>Entidad objeto de la revisión</w:t>
      </w:r>
    </w:p>
    <w:p w:rsidR="00F3591A" w:rsidRDefault="00F3591A" w:rsidP="00FD741F">
      <w:pPr>
        <w:pStyle w:val="Piedepgina"/>
        <w:tabs>
          <w:tab w:val="clear" w:pos="4252"/>
          <w:tab w:val="clear" w:pos="8504"/>
        </w:tabs>
        <w:spacing w:line="360" w:lineRule="auto"/>
        <w:jc w:val="both"/>
        <w:rPr>
          <w:rFonts w:ascii="Arial" w:hAnsi="Arial" w:cs="Arial"/>
          <w:b/>
          <w:sz w:val="24"/>
          <w:szCs w:val="24"/>
          <w:lang w:val="es-MX"/>
        </w:rPr>
      </w:pPr>
    </w:p>
    <w:p w:rsidR="00FD741F" w:rsidRDefault="006D03BB" w:rsidP="00FD741F">
      <w:pPr>
        <w:pStyle w:val="Piedepgina"/>
        <w:tabs>
          <w:tab w:val="clear" w:pos="4252"/>
          <w:tab w:val="clear" w:pos="8504"/>
        </w:tabs>
        <w:spacing w:line="360" w:lineRule="auto"/>
        <w:jc w:val="both"/>
        <w:rPr>
          <w:rFonts w:ascii="Arial" w:hAnsi="Arial" w:cs="Arial"/>
          <w:sz w:val="24"/>
          <w:szCs w:val="24"/>
          <w:lang w:val="es-MX"/>
        </w:rPr>
      </w:pPr>
      <w:r w:rsidRPr="00F8371D">
        <w:rPr>
          <w:rFonts w:ascii="Arial" w:hAnsi="Arial" w:cs="Arial"/>
          <w:b/>
          <w:color w:val="000000"/>
          <w:sz w:val="24"/>
          <w:szCs w:val="24"/>
        </w:rPr>
        <w:t xml:space="preserve">El </w:t>
      </w:r>
      <w:r w:rsidR="004B1929" w:rsidRPr="00F8371D">
        <w:rPr>
          <w:rFonts w:ascii="Arial" w:hAnsi="Arial" w:cs="Arial"/>
          <w:b/>
          <w:color w:val="000000"/>
          <w:sz w:val="24"/>
          <w:szCs w:val="24"/>
        </w:rPr>
        <w:t>FIDEICOMISO PÚBLICO DE ADMINISTRACIÓN Y TRASLATIVO DE DOMINIO CIUDAD SOLIDARIDAD</w:t>
      </w:r>
      <w:r>
        <w:rPr>
          <w:rFonts w:ascii="Arial" w:hAnsi="Arial" w:cs="Arial"/>
          <w:color w:val="000000"/>
          <w:sz w:val="24"/>
          <w:szCs w:val="24"/>
        </w:rPr>
        <w:t xml:space="preserve"> fue creado mediante Escritura Pública 3608 el 2 de mayo de 1994 ante el Notario Público No. 80 Licenciado Rodolfo Vela de León</w:t>
      </w:r>
      <w:r w:rsidR="00FD741F">
        <w:rPr>
          <w:rFonts w:ascii="Arial" w:hAnsi="Arial" w:cs="Arial"/>
          <w:sz w:val="24"/>
          <w:szCs w:val="24"/>
          <w:lang w:val="es-MX"/>
        </w:rPr>
        <w:t>.</w:t>
      </w:r>
    </w:p>
    <w:p w:rsidR="00FD741F" w:rsidRDefault="00FD741F" w:rsidP="00FD741F">
      <w:pPr>
        <w:pStyle w:val="Piedepgina"/>
        <w:tabs>
          <w:tab w:val="clear" w:pos="4252"/>
          <w:tab w:val="clear" w:pos="8504"/>
        </w:tabs>
        <w:spacing w:line="360" w:lineRule="auto"/>
        <w:jc w:val="both"/>
        <w:rPr>
          <w:rFonts w:ascii="Arial" w:hAnsi="Arial" w:cs="Arial"/>
          <w:sz w:val="24"/>
          <w:szCs w:val="24"/>
          <w:lang w:val="es-MX"/>
        </w:rPr>
      </w:pPr>
    </w:p>
    <w:p w:rsidR="00FD741F" w:rsidRDefault="006D03BB" w:rsidP="00FD741F">
      <w:pPr>
        <w:pStyle w:val="Piedepgina"/>
        <w:tabs>
          <w:tab w:val="clear" w:pos="4252"/>
          <w:tab w:val="clear" w:pos="8504"/>
        </w:tabs>
        <w:spacing w:line="360" w:lineRule="auto"/>
        <w:jc w:val="both"/>
        <w:rPr>
          <w:rFonts w:ascii="Arial" w:hAnsi="Arial" w:cs="Arial"/>
          <w:sz w:val="24"/>
          <w:szCs w:val="24"/>
          <w:lang w:val="es-MX"/>
        </w:rPr>
      </w:pPr>
      <w:r>
        <w:rPr>
          <w:rFonts w:ascii="Arial" w:hAnsi="Arial" w:cs="Arial"/>
          <w:color w:val="000000"/>
          <w:sz w:val="24"/>
          <w:szCs w:val="24"/>
        </w:rPr>
        <w:t>Dentro de éste contrato forman parte como Fideicomitente y Fideicomisario el Gobierno del Estado de Nuevo León y como Fiduciario Banca Serfín, S.A. (ahora Santander México, S.A.). El objetivo del Fideicomiso es llevar a cabo las actividades tendientes a utilizar y disponer de las superficies de terreno, que se expropió al ejido San Bernabé, para uso habitacional, comercial, industrial, recreativo y de servicios sociales, sin el afán primordial de lucro ni de especulación comercial, siendo en consecuencia y en su conjunto un proyecto de interés público</w:t>
      </w:r>
      <w:r w:rsidR="00FD741F">
        <w:rPr>
          <w:rFonts w:ascii="Arial" w:hAnsi="Arial" w:cs="Arial"/>
          <w:sz w:val="24"/>
          <w:szCs w:val="24"/>
          <w:lang w:val="es-MX"/>
        </w:rPr>
        <w:t>.</w:t>
      </w:r>
    </w:p>
    <w:p w:rsidR="00FD741F" w:rsidRDefault="00FD741F" w:rsidP="00FD741F">
      <w:pPr>
        <w:pStyle w:val="Piedepgina"/>
        <w:tabs>
          <w:tab w:val="clear" w:pos="4252"/>
          <w:tab w:val="clear" w:pos="8504"/>
        </w:tabs>
        <w:spacing w:line="360" w:lineRule="auto"/>
        <w:jc w:val="both"/>
        <w:rPr>
          <w:rFonts w:ascii="Arial" w:hAnsi="Arial" w:cs="Arial"/>
          <w:sz w:val="24"/>
          <w:szCs w:val="24"/>
          <w:lang w:val="es-MX"/>
        </w:rPr>
      </w:pPr>
    </w:p>
    <w:p w:rsidR="00FD741F" w:rsidRDefault="006D03BB" w:rsidP="00FD741F">
      <w:pPr>
        <w:pStyle w:val="Piedepgina"/>
        <w:tabs>
          <w:tab w:val="clear" w:pos="4252"/>
          <w:tab w:val="clear" w:pos="8504"/>
        </w:tabs>
        <w:spacing w:line="360" w:lineRule="auto"/>
        <w:jc w:val="both"/>
        <w:rPr>
          <w:rFonts w:ascii="Arial" w:hAnsi="Arial" w:cs="Arial"/>
          <w:b/>
          <w:sz w:val="24"/>
          <w:szCs w:val="24"/>
          <w:lang w:val="es-MX"/>
        </w:rPr>
      </w:pPr>
      <w:r w:rsidRPr="006E7609">
        <w:rPr>
          <w:rFonts w:ascii="Arial" w:hAnsi="Arial" w:cs="Arial"/>
          <w:color w:val="000000"/>
          <w:sz w:val="24"/>
          <w:szCs w:val="24"/>
        </w:rPr>
        <w:t xml:space="preserve">El Comité Técnico en acta de sesión No. 40 de fecha 8 de enero de 2004, aprobó que el </w:t>
      </w:r>
      <w:r w:rsidR="004B1929" w:rsidRPr="00F8371D">
        <w:rPr>
          <w:rFonts w:ascii="Arial" w:hAnsi="Arial" w:cs="Arial"/>
          <w:b/>
          <w:color w:val="000000"/>
          <w:sz w:val="24"/>
          <w:szCs w:val="24"/>
        </w:rPr>
        <w:t>FIDEICOMISO PÚBLICO DE ADMINISTRACIÓN Y TRASLATIVO DE DOMINIO CIUDAD SOLIDARIDAD</w:t>
      </w:r>
      <w:r w:rsidRPr="006E7609">
        <w:rPr>
          <w:rFonts w:ascii="Arial" w:hAnsi="Arial" w:cs="Arial"/>
          <w:color w:val="000000"/>
          <w:sz w:val="24"/>
          <w:szCs w:val="24"/>
        </w:rPr>
        <w:t xml:space="preserve"> desarrollara sus actividades en el edificio que ocupa el Fideicomiso Fomento Metropolitano de Monterrey (Fomerrey) y que éste se encargara de financiar sus operaciones, </w:t>
      </w:r>
      <w:r w:rsidRPr="006E7609">
        <w:rPr>
          <w:rFonts w:ascii="Arial" w:hAnsi="Arial" w:cs="Arial"/>
          <w:color w:val="000000"/>
          <w:sz w:val="24"/>
          <w:szCs w:val="24"/>
        </w:rPr>
        <w:lastRenderedPageBreak/>
        <w:t>sin que represente una carga económica para el Estado, subsistiendo su figura jurídica hasta que se efectúen las obligaciones pendientes de cumplir</w:t>
      </w:r>
      <w:r w:rsidR="00FD741F">
        <w:rPr>
          <w:rFonts w:ascii="Arial" w:hAnsi="Arial" w:cs="Arial"/>
          <w:sz w:val="24"/>
          <w:szCs w:val="24"/>
          <w:lang w:val="es-MX"/>
        </w:rPr>
        <w:t>.</w:t>
      </w:r>
    </w:p>
    <w:p w:rsidR="00FD741F" w:rsidRDefault="00FD741F" w:rsidP="00FD741F">
      <w:pPr>
        <w:pStyle w:val="Piedepgina"/>
        <w:tabs>
          <w:tab w:val="clear" w:pos="4252"/>
          <w:tab w:val="clear" w:pos="8504"/>
        </w:tabs>
        <w:spacing w:line="360" w:lineRule="auto"/>
        <w:jc w:val="both"/>
        <w:rPr>
          <w:rFonts w:ascii="Arial" w:hAnsi="Arial" w:cs="Arial"/>
          <w:b/>
          <w:sz w:val="24"/>
          <w:szCs w:val="24"/>
          <w:lang w:val="es-MX"/>
        </w:rPr>
      </w:pPr>
    </w:p>
    <w:p w:rsidR="00FD741F" w:rsidRDefault="00FD741F" w:rsidP="00FD741F">
      <w:pPr>
        <w:pStyle w:val="Piedepgina"/>
        <w:tabs>
          <w:tab w:val="clear" w:pos="4252"/>
          <w:tab w:val="clear" w:pos="8504"/>
        </w:tabs>
        <w:spacing w:line="360" w:lineRule="auto"/>
        <w:jc w:val="both"/>
        <w:rPr>
          <w:rFonts w:ascii="Arial" w:hAnsi="Arial" w:cs="Arial"/>
          <w:b/>
          <w:sz w:val="24"/>
          <w:szCs w:val="24"/>
          <w:lang w:val="es-MX"/>
        </w:rPr>
      </w:pPr>
    </w:p>
    <w:p w:rsidR="003E68FF" w:rsidRPr="006D03BB" w:rsidRDefault="003E68FF" w:rsidP="00EC1833">
      <w:pPr>
        <w:pStyle w:val="Piedepgina"/>
        <w:numPr>
          <w:ilvl w:val="0"/>
          <w:numId w:val="30"/>
        </w:numPr>
        <w:tabs>
          <w:tab w:val="clear" w:pos="4252"/>
          <w:tab w:val="clear" w:pos="8504"/>
        </w:tabs>
        <w:jc w:val="both"/>
        <w:rPr>
          <w:rFonts w:ascii="Arial" w:hAnsi="Arial" w:cs="Arial"/>
          <w:b/>
          <w:sz w:val="24"/>
          <w:szCs w:val="24"/>
          <w:lang w:val="es-MX"/>
        </w:rPr>
      </w:pPr>
      <w:r w:rsidRPr="006D03BB">
        <w:rPr>
          <w:rFonts w:ascii="Arial" w:hAnsi="Arial" w:cs="Arial"/>
          <w:b/>
          <w:sz w:val="24"/>
          <w:szCs w:val="24"/>
          <w:lang w:val="es-MX"/>
        </w:rPr>
        <w:t>Objetivos y alcances de la revisión practicada tanto a la gestión como al desempeño, incluyendo los criterios de selección y descripción de los procedimientos de auditoría aplicados</w:t>
      </w:r>
    </w:p>
    <w:p w:rsidR="003E68FF" w:rsidRPr="006D03BB" w:rsidRDefault="003E68FF" w:rsidP="003E68FF">
      <w:pPr>
        <w:pStyle w:val="Textoindependiente"/>
        <w:rPr>
          <w:rFonts w:ascii="Arial" w:hAnsi="Arial" w:cs="Arial"/>
          <w:b/>
          <w:sz w:val="24"/>
          <w:szCs w:val="24"/>
          <w:lang w:val="es-MX"/>
        </w:rPr>
      </w:pPr>
    </w:p>
    <w:p w:rsidR="003E68FF" w:rsidRPr="003C7A5D" w:rsidRDefault="003E68FF" w:rsidP="003E68FF">
      <w:pPr>
        <w:pStyle w:val="Prrafodelista"/>
        <w:numPr>
          <w:ilvl w:val="0"/>
          <w:numId w:val="1"/>
        </w:numPr>
        <w:spacing w:after="0" w:line="240" w:lineRule="auto"/>
        <w:ind w:left="426" w:hanging="426"/>
        <w:contextualSpacing/>
        <w:jc w:val="both"/>
        <w:rPr>
          <w:rFonts w:ascii="Arial" w:hAnsi="Arial" w:cs="Arial"/>
          <w:b/>
          <w:bCs/>
          <w:lang w:eastAsia="es-ES"/>
        </w:rPr>
      </w:pPr>
      <w:r w:rsidRPr="006D03BB">
        <w:rPr>
          <w:rFonts w:ascii="Arial" w:hAnsi="Arial" w:cs="Arial"/>
          <w:b/>
          <w:bCs/>
          <w:sz w:val="24"/>
          <w:szCs w:val="24"/>
          <w:lang w:eastAsia="es-ES"/>
        </w:rPr>
        <w:t>Auditorías programadas por tipo o materia</w:t>
      </w:r>
    </w:p>
    <w:p w:rsidR="003E68FF" w:rsidRPr="003C7A5D" w:rsidRDefault="003E68FF" w:rsidP="003E68FF">
      <w:pPr>
        <w:pStyle w:val="Prrafodelista"/>
        <w:ind w:left="0"/>
        <w:jc w:val="both"/>
        <w:rPr>
          <w:rFonts w:ascii="Arial" w:hAnsi="Arial" w:cs="Arial"/>
          <w:b/>
          <w:bCs/>
          <w:lang w:eastAsia="es-ES"/>
        </w:rPr>
      </w:pPr>
    </w:p>
    <w:p w:rsidR="009C0345" w:rsidRPr="00B67BEE" w:rsidRDefault="006D03BB" w:rsidP="00277848">
      <w:pPr>
        <w:spacing w:after="0" w:line="360" w:lineRule="auto"/>
        <w:ind w:firstLine="709"/>
        <w:jc w:val="both"/>
        <w:rPr>
          <w:rFonts w:ascii="Arial" w:eastAsia="Times New Roman" w:hAnsi="Arial" w:cs="Arial"/>
          <w:bCs/>
          <w:sz w:val="18"/>
          <w:lang w:eastAsia="es-ES"/>
        </w:rPr>
      </w:pPr>
      <w:r w:rsidRPr="00D84979">
        <w:rPr>
          <w:rFonts w:ascii="Arial" w:hAnsi="Arial" w:cs="Arial"/>
          <w:bCs/>
          <w:iCs/>
          <w:sz w:val="24"/>
        </w:rPr>
        <w:t xml:space="preserve">Con base en los criterios generales y particulares para la planeación específica utilizada en la integración del </w:t>
      </w:r>
      <w:r w:rsidR="00974277">
        <w:rPr>
          <w:rFonts w:ascii="Arial" w:hAnsi="Arial" w:cs="Arial"/>
          <w:bCs/>
          <w:iCs/>
          <w:sz w:val="24"/>
        </w:rPr>
        <w:t>Programa Anual de Auditoría 2016</w:t>
      </w:r>
      <w:r w:rsidRPr="00D84979">
        <w:rPr>
          <w:rFonts w:ascii="Arial" w:hAnsi="Arial" w:cs="Arial"/>
          <w:bCs/>
          <w:iCs/>
          <w:sz w:val="24"/>
        </w:rPr>
        <w:t xml:space="preserve"> para la Fiscalización de las Cuentas Públicas co</w:t>
      </w:r>
      <w:r w:rsidR="00974277">
        <w:rPr>
          <w:rFonts w:ascii="Arial" w:hAnsi="Arial" w:cs="Arial"/>
          <w:bCs/>
          <w:iCs/>
          <w:sz w:val="24"/>
        </w:rPr>
        <w:t>rrespondientes al ejercicio 2015</w:t>
      </w:r>
      <w:r w:rsidRPr="00D84979">
        <w:rPr>
          <w:rFonts w:ascii="Arial" w:hAnsi="Arial" w:cs="Arial"/>
          <w:bCs/>
          <w:iCs/>
          <w:sz w:val="24"/>
        </w:rPr>
        <w:t xml:space="preserve">, presentado ante ese H. Congreso del Estado, para su conocimiento, por conducto de la Comisión de Vigilancia, en fecha </w:t>
      </w:r>
      <w:r w:rsidR="00974277">
        <w:rPr>
          <w:rFonts w:ascii="Arial" w:hAnsi="Arial" w:cs="Arial"/>
          <w:bCs/>
          <w:iCs/>
          <w:sz w:val="24"/>
        </w:rPr>
        <w:t>14 de Junio</w:t>
      </w:r>
      <w:r w:rsidRPr="00D84979">
        <w:rPr>
          <w:rFonts w:ascii="Arial" w:hAnsi="Arial" w:cs="Arial"/>
          <w:bCs/>
          <w:iCs/>
          <w:sz w:val="24"/>
        </w:rPr>
        <w:t xml:space="preserve"> del presente año, y considerando la importancia, pertinencia y factibilidad de su realización, </w:t>
      </w:r>
      <w:r w:rsidRPr="00D84979">
        <w:rPr>
          <w:rFonts w:ascii="Arial" w:hAnsi="Arial" w:cs="Arial"/>
          <w:bCs/>
          <w:sz w:val="24"/>
        </w:rPr>
        <w:t xml:space="preserve">se determinaron las siguientes auditorías a practicar al </w:t>
      </w:r>
      <w:r>
        <w:rPr>
          <w:rFonts w:ascii="Arial" w:hAnsi="Arial" w:cs="Arial"/>
          <w:bCs/>
          <w:sz w:val="24"/>
        </w:rPr>
        <w:t xml:space="preserve">Fideicomiso </w:t>
      </w:r>
      <w:r w:rsidRPr="00D84979">
        <w:rPr>
          <w:rFonts w:ascii="Arial" w:hAnsi="Arial" w:cs="Arial"/>
          <w:bCs/>
          <w:sz w:val="24"/>
        </w:rPr>
        <w:t>en cuestión, por tipo o materia, a saber</w:t>
      </w:r>
      <w:r>
        <w:rPr>
          <w:rFonts w:ascii="Arial" w:hAnsi="Arial" w:cs="Arial"/>
          <w:bCs/>
          <w:sz w:val="24"/>
        </w:rPr>
        <w:t>:</w:t>
      </w:r>
    </w:p>
    <w:p w:rsidR="009C0345" w:rsidRPr="00B67BEE" w:rsidRDefault="009C0345" w:rsidP="009C0345">
      <w:pPr>
        <w:spacing w:after="0"/>
        <w:jc w:val="both"/>
        <w:rPr>
          <w:rFonts w:ascii="Arial" w:eastAsia="Times New Roman" w:hAnsi="Arial" w:cs="Arial"/>
          <w:bCs/>
          <w:sz w:val="18"/>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5"/>
        <w:gridCol w:w="950"/>
        <w:gridCol w:w="936"/>
        <w:gridCol w:w="803"/>
        <w:gridCol w:w="936"/>
        <w:gridCol w:w="936"/>
        <w:gridCol w:w="936"/>
        <w:gridCol w:w="618"/>
      </w:tblGrid>
      <w:tr w:rsidR="00974277" w:rsidRPr="00190CC1" w:rsidTr="00974277">
        <w:trPr>
          <w:trHeight w:val="300"/>
          <w:tblHeader/>
          <w:jc w:val="center"/>
        </w:trPr>
        <w:tc>
          <w:tcPr>
            <w:tcW w:w="119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974277" w:rsidRPr="00190CC1" w:rsidRDefault="00974277" w:rsidP="004B055C">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974277" w:rsidRPr="00190CC1" w:rsidRDefault="00974277" w:rsidP="004B055C">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sidRPr="004A6BC7">
              <w:rPr>
                <w:rFonts w:ascii="Arial" w:hAnsi="Arial" w:cs="Arial"/>
                <w:b/>
                <w:bCs/>
                <w:color w:val="000000"/>
                <w:sz w:val="18"/>
                <w:szCs w:val="18"/>
                <w:lang w:eastAsia="es-MX"/>
              </w:rPr>
              <w:t>2015</w:t>
            </w:r>
          </w:p>
        </w:tc>
      </w:tr>
      <w:tr w:rsidR="00974277" w:rsidRPr="00190CC1" w:rsidTr="00974277">
        <w:trPr>
          <w:trHeight w:val="375"/>
          <w:tblHeader/>
          <w:jc w:val="center"/>
        </w:trPr>
        <w:tc>
          <w:tcPr>
            <w:tcW w:w="119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974277" w:rsidRPr="00190CC1" w:rsidRDefault="00974277" w:rsidP="004B055C">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74277" w:rsidRPr="00190CC1" w:rsidRDefault="00974277" w:rsidP="004B055C">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974277" w:rsidRPr="004A6BC7" w:rsidTr="00974277">
        <w:trPr>
          <w:cantSplit/>
          <w:trHeight w:val="315"/>
          <w:jc w:val="center"/>
        </w:trPr>
        <w:tc>
          <w:tcPr>
            <w:tcW w:w="119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74277" w:rsidRPr="004A6BC7" w:rsidRDefault="00974277" w:rsidP="004B055C">
            <w:r w:rsidRPr="004A6BC7">
              <w:rPr>
                <w:rFonts w:ascii="Arial" w:hAnsi="Arial" w:cs="Arial"/>
                <w:sz w:val="14"/>
                <w:szCs w:val="24"/>
              </w:rPr>
              <w:t>Fideicomiso Público de Administración y Traslativo de Dominio Ciudad Solidaridad</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sidRPr="004A6BC7">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sidRPr="004A6BC7">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sidRPr="004A6BC7">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74277" w:rsidRPr="004A6BC7" w:rsidRDefault="00974277" w:rsidP="004B055C">
            <w:pPr>
              <w:jc w:val="center"/>
              <w:rPr>
                <w:rFonts w:ascii="Arial" w:hAnsi="Arial" w:cs="Arial"/>
                <w:b/>
                <w:bCs/>
                <w:sz w:val="14"/>
                <w:szCs w:val="14"/>
                <w:lang w:eastAsia="es-MX"/>
              </w:rPr>
            </w:pPr>
            <w:r>
              <w:rPr>
                <w:rFonts w:ascii="Arial" w:hAnsi="Arial" w:cs="Arial"/>
                <w:b/>
                <w:bCs/>
                <w:sz w:val="14"/>
                <w:szCs w:val="14"/>
                <w:lang w:eastAsia="es-MX"/>
              </w:rPr>
              <w:t>1</w:t>
            </w:r>
          </w:p>
        </w:tc>
      </w:tr>
    </w:tbl>
    <w:p w:rsidR="009C0345" w:rsidRPr="00974277" w:rsidRDefault="00974277" w:rsidP="00974277">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9C0345" w:rsidRPr="00B67BEE" w:rsidRDefault="009C0345" w:rsidP="009C0345">
      <w:pPr>
        <w:spacing w:before="34" w:after="0"/>
        <w:ind w:right="49"/>
        <w:jc w:val="center"/>
        <w:rPr>
          <w:rFonts w:ascii="Arial" w:eastAsia="Arial" w:hAnsi="Arial" w:cs="Arial"/>
          <w:bCs/>
          <w:smallCaps/>
          <w:sz w:val="16"/>
          <w:szCs w:val="20"/>
        </w:rPr>
      </w:pPr>
    </w:p>
    <w:p w:rsidR="009C0345" w:rsidRPr="00B67BEE" w:rsidRDefault="009C0345" w:rsidP="009C0345">
      <w:pPr>
        <w:pStyle w:val="Prrafodelista"/>
        <w:numPr>
          <w:ilvl w:val="0"/>
          <w:numId w:val="1"/>
        </w:numPr>
        <w:spacing w:after="0"/>
        <w:ind w:left="426" w:hanging="426"/>
        <w:contextualSpacing/>
        <w:jc w:val="both"/>
        <w:rPr>
          <w:rFonts w:ascii="Arial" w:eastAsia="Times New Roman" w:hAnsi="Arial" w:cs="Arial"/>
          <w:sz w:val="24"/>
          <w:lang w:eastAsia="es-ES"/>
        </w:rPr>
      </w:pPr>
      <w:r w:rsidRPr="00B67BEE">
        <w:rPr>
          <w:rFonts w:ascii="Arial" w:eastAsia="Times New Roman" w:hAnsi="Arial" w:cs="Arial"/>
          <w:b/>
          <w:bCs/>
          <w:sz w:val="24"/>
          <w:lang w:eastAsia="es-ES"/>
        </w:rPr>
        <w:lastRenderedPageBreak/>
        <w:t xml:space="preserve">Objetivos y alcances de la revisión practicada </w:t>
      </w:r>
    </w:p>
    <w:p w:rsidR="009C0345" w:rsidRPr="006D03BB" w:rsidRDefault="009C0345" w:rsidP="009C0345">
      <w:pPr>
        <w:spacing w:after="0"/>
        <w:jc w:val="both"/>
        <w:rPr>
          <w:rFonts w:ascii="Arial" w:eastAsia="Times New Roman" w:hAnsi="Arial" w:cs="Arial"/>
          <w:sz w:val="24"/>
          <w:szCs w:val="24"/>
          <w:lang w:eastAsia="es-ES"/>
        </w:rPr>
      </w:pPr>
    </w:p>
    <w:p w:rsidR="000E309E" w:rsidRPr="006D03BB" w:rsidRDefault="00FD741F" w:rsidP="000E309E">
      <w:pPr>
        <w:spacing w:line="360" w:lineRule="auto"/>
        <w:ind w:firstLine="708"/>
        <w:jc w:val="both"/>
        <w:rPr>
          <w:rFonts w:ascii="Arial" w:hAnsi="Arial" w:cs="Arial"/>
          <w:sz w:val="24"/>
          <w:szCs w:val="24"/>
        </w:rPr>
      </w:pPr>
      <w:r w:rsidRPr="006D03BB">
        <w:rPr>
          <w:rFonts w:ascii="Arial" w:hAnsi="Arial" w:cs="Arial"/>
          <w:sz w:val="24"/>
          <w:szCs w:val="24"/>
        </w:rPr>
        <w:t>En la implementación y ejecución del programa anual de auditoría para la revisión y fiscalización de las Cuentas Públicas co</w:t>
      </w:r>
      <w:r w:rsidR="00974277">
        <w:rPr>
          <w:rFonts w:ascii="Arial" w:hAnsi="Arial" w:cs="Arial"/>
          <w:sz w:val="24"/>
          <w:szCs w:val="24"/>
        </w:rPr>
        <w:t>rrespondientes al ejercicio 2015</w:t>
      </w:r>
      <w:r w:rsidRPr="006D03BB">
        <w:rPr>
          <w:rFonts w:ascii="Arial" w:hAnsi="Arial" w:cs="Arial"/>
          <w:sz w:val="24"/>
          <w:szCs w:val="24"/>
        </w:rPr>
        <w:t>, entre las cuales se encuentra el Ente Público auditado en cuestión, se observaron métodos y criterios objetivos, aplicando las mejores prácticas y procedimientos de auditoría</w:t>
      </w:r>
      <w:r w:rsidR="000E309E" w:rsidRPr="006D03BB">
        <w:rPr>
          <w:rFonts w:ascii="Arial" w:hAnsi="Arial" w:cs="Arial"/>
          <w:sz w:val="24"/>
          <w:szCs w:val="24"/>
        </w:rPr>
        <w:t>.</w:t>
      </w:r>
    </w:p>
    <w:p w:rsidR="00EC1833" w:rsidRPr="006D03BB" w:rsidRDefault="006D03BB" w:rsidP="000E309E">
      <w:pPr>
        <w:spacing w:line="360" w:lineRule="auto"/>
        <w:ind w:firstLine="709"/>
        <w:contextualSpacing/>
        <w:jc w:val="both"/>
        <w:rPr>
          <w:rFonts w:ascii="Arial" w:hAnsi="Arial" w:cs="Arial"/>
          <w:sz w:val="24"/>
          <w:szCs w:val="24"/>
        </w:rPr>
      </w:pPr>
      <w:r w:rsidRPr="006D03BB">
        <w:rPr>
          <w:rFonts w:ascii="Arial" w:hAnsi="Arial" w:cs="Arial"/>
          <w:sz w:val="24"/>
          <w:szCs w:val="24"/>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r w:rsidR="00AD0A85" w:rsidRPr="006D03BB">
        <w:rPr>
          <w:rFonts w:ascii="Arial" w:hAnsi="Arial" w:cs="Arial"/>
          <w:sz w:val="24"/>
          <w:szCs w:val="24"/>
        </w:rPr>
        <w:t>:</w:t>
      </w:r>
    </w:p>
    <w:p w:rsidR="00AD0A85" w:rsidRPr="006D03BB" w:rsidRDefault="00AD0A85" w:rsidP="00AD0A85">
      <w:pPr>
        <w:spacing w:line="360" w:lineRule="auto"/>
        <w:contextualSpacing/>
        <w:jc w:val="both"/>
        <w:rPr>
          <w:rFonts w:ascii="Arial" w:hAnsi="Arial" w:cs="Arial"/>
          <w:sz w:val="24"/>
          <w:szCs w:val="24"/>
        </w:rPr>
      </w:pPr>
    </w:p>
    <w:p w:rsidR="00AD0A85" w:rsidRPr="006D03BB" w:rsidRDefault="00AD0A85" w:rsidP="00E523C4">
      <w:pPr>
        <w:numPr>
          <w:ilvl w:val="0"/>
          <w:numId w:val="6"/>
        </w:numPr>
        <w:spacing w:after="0" w:line="360" w:lineRule="auto"/>
        <w:ind w:left="993" w:hanging="284"/>
        <w:contextualSpacing/>
        <w:jc w:val="both"/>
        <w:rPr>
          <w:rFonts w:ascii="Arial" w:hAnsi="Arial" w:cs="Arial"/>
          <w:sz w:val="24"/>
          <w:szCs w:val="24"/>
        </w:rPr>
      </w:pPr>
      <w:r w:rsidRPr="006D03BB">
        <w:rPr>
          <w:rFonts w:ascii="Arial" w:hAnsi="Arial" w:cs="Arial"/>
          <w:sz w:val="24"/>
          <w:szCs w:val="24"/>
        </w:rPr>
        <w:t>Para evaluar los resultados de la Gestión Financiera, se verificó:</w:t>
      </w:r>
    </w:p>
    <w:p w:rsidR="000E309E" w:rsidRPr="006D03BB" w:rsidRDefault="006D03BB" w:rsidP="000E309E">
      <w:pPr>
        <w:numPr>
          <w:ilvl w:val="1"/>
          <w:numId w:val="5"/>
        </w:numPr>
        <w:spacing w:after="0" w:line="360" w:lineRule="auto"/>
        <w:ind w:left="851"/>
        <w:jc w:val="both"/>
        <w:rPr>
          <w:rFonts w:ascii="Arial" w:hAnsi="Arial" w:cs="Arial"/>
          <w:sz w:val="24"/>
          <w:szCs w:val="24"/>
        </w:rPr>
      </w:pPr>
      <w:r w:rsidRPr="006D03BB">
        <w:rPr>
          <w:rFonts w:ascii="Arial" w:hAnsi="Arial" w:cs="Arial"/>
          <w:sz w:val="24"/>
          <w:szCs w:val="24"/>
        </w:rPr>
        <w:t>Si se cumplió con las disposiciones jurídicas aplicables en materia de sistemas de registro y contabilidad; contratación de servicios, obra pública, adquisiciones, arrendamientos, conservación, uso, usufructo, destino, afectación, enajenación y baja de bienes muebles e inmuebles; almacenes y demás activos; recursos materiales, y demás normatividad aplicable al ejercicio del gasto público</w:t>
      </w:r>
      <w:r w:rsidR="000E309E" w:rsidRPr="006D03BB">
        <w:rPr>
          <w:rFonts w:ascii="Arial" w:hAnsi="Arial" w:cs="Arial"/>
          <w:sz w:val="24"/>
          <w:szCs w:val="24"/>
        </w:rPr>
        <w:t>; y</w:t>
      </w:r>
    </w:p>
    <w:p w:rsidR="000E309E" w:rsidRPr="006D03BB" w:rsidRDefault="000E309E" w:rsidP="000E309E">
      <w:pPr>
        <w:spacing w:line="360" w:lineRule="auto"/>
        <w:ind w:left="993" w:hanging="284"/>
        <w:jc w:val="both"/>
        <w:rPr>
          <w:rFonts w:ascii="Arial" w:hAnsi="Arial" w:cs="Arial"/>
          <w:sz w:val="24"/>
          <w:szCs w:val="24"/>
        </w:rPr>
      </w:pPr>
    </w:p>
    <w:p w:rsidR="00AD0A85" w:rsidRPr="006D03BB" w:rsidRDefault="006D03BB" w:rsidP="000E309E">
      <w:pPr>
        <w:numPr>
          <w:ilvl w:val="1"/>
          <w:numId w:val="5"/>
        </w:numPr>
        <w:spacing w:after="0" w:line="360" w:lineRule="auto"/>
        <w:ind w:left="851"/>
        <w:jc w:val="both"/>
        <w:rPr>
          <w:rFonts w:ascii="Arial" w:hAnsi="Arial" w:cs="Arial"/>
          <w:sz w:val="24"/>
          <w:szCs w:val="24"/>
        </w:rPr>
      </w:pPr>
      <w:r w:rsidRPr="006D03BB">
        <w:rPr>
          <w:rFonts w:ascii="Arial" w:hAnsi="Arial" w:cs="Arial"/>
          <w:sz w:val="24"/>
          <w:szCs w:val="24"/>
        </w:rPr>
        <w:t xml:space="preserve">Si la captación, recaudación, administración, custodia, manejo, ejercicio y aplicación de recursos, incluyendo subsidios, transferencias y donativos, y si los actos, contratos, convenios, mandatos, fondos, fideicomisos, prestación de servicios públicos, </w:t>
      </w:r>
      <w:r w:rsidRPr="006D03BB">
        <w:rPr>
          <w:rFonts w:ascii="Arial" w:hAnsi="Arial" w:cs="Arial"/>
          <w:sz w:val="24"/>
          <w:szCs w:val="24"/>
        </w:rPr>
        <w:lastRenderedPageBreak/>
        <w:t>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r w:rsidR="00AD0A85" w:rsidRPr="006D03BB">
        <w:rPr>
          <w:rFonts w:ascii="Arial" w:hAnsi="Arial" w:cs="Arial"/>
          <w:sz w:val="24"/>
          <w:szCs w:val="24"/>
        </w:rPr>
        <w:t>.</w:t>
      </w:r>
    </w:p>
    <w:p w:rsidR="00AD0A85" w:rsidRPr="006D03BB" w:rsidRDefault="00AD0A85" w:rsidP="00AD0A85">
      <w:pPr>
        <w:spacing w:line="360" w:lineRule="auto"/>
        <w:ind w:left="993" w:hanging="284"/>
        <w:jc w:val="both"/>
        <w:rPr>
          <w:rFonts w:ascii="Arial" w:hAnsi="Arial" w:cs="Arial"/>
          <w:sz w:val="24"/>
          <w:szCs w:val="24"/>
        </w:rPr>
      </w:pPr>
    </w:p>
    <w:p w:rsidR="00AD0A85" w:rsidRPr="006D03BB" w:rsidRDefault="006D03BB" w:rsidP="00AD0A85">
      <w:pPr>
        <w:numPr>
          <w:ilvl w:val="0"/>
          <w:numId w:val="6"/>
        </w:numPr>
        <w:spacing w:after="0" w:line="360" w:lineRule="auto"/>
        <w:ind w:left="567" w:hanging="425"/>
        <w:contextualSpacing/>
        <w:jc w:val="both"/>
        <w:rPr>
          <w:rFonts w:ascii="Arial" w:hAnsi="Arial" w:cs="Arial"/>
          <w:sz w:val="24"/>
          <w:szCs w:val="24"/>
        </w:rPr>
      </w:pPr>
      <w:r w:rsidRPr="006D03BB">
        <w:rPr>
          <w:rFonts w:ascii="Arial" w:hAnsi="Arial" w:cs="Arial"/>
          <w:sz w:val="24"/>
          <w:szCs w:val="24"/>
        </w:rPr>
        <w:t>Para comprobar si el ejercicio de las Leyes de Ingresos y Egresos, y sus respectivos presupuestos se ajustaron a los criterios señalados en los mismos; se revisó</w:t>
      </w:r>
      <w:r w:rsidR="00AD0A85" w:rsidRPr="006D03BB">
        <w:rPr>
          <w:rFonts w:ascii="Arial" w:hAnsi="Arial" w:cs="Arial"/>
          <w:sz w:val="24"/>
          <w:szCs w:val="24"/>
        </w:rPr>
        <w:t>:</w:t>
      </w:r>
    </w:p>
    <w:p w:rsidR="00AD0A85" w:rsidRPr="006D03BB" w:rsidRDefault="006D03BB" w:rsidP="00665E9C">
      <w:pPr>
        <w:pStyle w:val="Prrafodelista"/>
        <w:numPr>
          <w:ilvl w:val="0"/>
          <w:numId w:val="49"/>
        </w:numPr>
        <w:spacing w:line="360" w:lineRule="auto"/>
        <w:jc w:val="both"/>
        <w:rPr>
          <w:rFonts w:ascii="Arial" w:hAnsi="Arial" w:cs="Arial"/>
          <w:sz w:val="24"/>
          <w:szCs w:val="24"/>
        </w:rPr>
      </w:pPr>
      <w:r w:rsidRPr="006D03BB">
        <w:rPr>
          <w:rFonts w:ascii="Arial" w:hAnsi="Arial" w:cs="Arial"/>
          <w:sz w:val="24"/>
          <w:szCs w:val="24"/>
        </w:rPr>
        <w:t>Si las cantidades correspondientes a los ingresos y a los egresos, se ajustaron o corresponden a los conceptos y a las partidas respectivas</w:t>
      </w:r>
      <w:r w:rsidR="00665E9C" w:rsidRPr="006D03BB">
        <w:rPr>
          <w:rFonts w:ascii="Arial" w:hAnsi="Arial" w:cs="Arial"/>
          <w:sz w:val="24"/>
          <w:szCs w:val="24"/>
        </w:rPr>
        <w:t>,</w:t>
      </w:r>
    </w:p>
    <w:p w:rsidR="00665E9C" w:rsidRPr="006D03BB" w:rsidRDefault="006D03BB" w:rsidP="00665E9C">
      <w:pPr>
        <w:pStyle w:val="Prrafodelista"/>
        <w:numPr>
          <w:ilvl w:val="0"/>
          <w:numId w:val="49"/>
        </w:numPr>
        <w:spacing w:line="360" w:lineRule="auto"/>
        <w:jc w:val="both"/>
        <w:rPr>
          <w:rFonts w:ascii="Arial" w:hAnsi="Arial" w:cs="Arial"/>
          <w:sz w:val="24"/>
          <w:szCs w:val="24"/>
        </w:rPr>
      </w:pPr>
      <w:r w:rsidRPr="006D03BB">
        <w:rPr>
          <w:rFonts w:ascii="Arial" w:hAnsi="Arial" w:cs="Arial"/>
          <w:sz w:val="24"/>
          <w:szCs w:val="24"/>
        </w:rPr>
        <w:t>Si los programas y su ejecución se ajustaron a los términos y montos aprobados en el presupuesto</w:t>
      </w:r>
      <w:r w:rsidR="00665E9C" w:rsidRPr="006D03BB">
        <w:rPr>
          <w:rFonts w:ascii="Arial" w:hAnsi="Arial" w:cs="Arial"/>
          <w:sz w:val="24"/>
          <w:szCs w:val="24"/>
        </w:rPr>
        <w:t>; y</w:t>
      </w:r>
    </w:p>
    <w:p w:rsidR="00665E9C" w:rsidRPr="006D03BB" w:rsidRDefault="006D03BB" w:rsidP="00665E9C">
      <w:pPr>
        <w:pStyle w:val="Prrafodelista"/>
        <w:numPr>
          <w:ilvl w:val="0"/>
          <w:numId w:val="49"/>
        </w:numPr>
        <w:spacing w:line="360" w:lineRule="auto"/>
        <w:jc w:val="both"/>
        <w:rPr>
          <w:rFonts w:ascii="Arial" w:hAnsi="Arial" w:cs="Arial"/>
          <w:sz w:val="24"/>
          <w:szCs w:val="24"/>
        </w:rPr>
      </w:pPr>
      <w:r w:rsidRPr="006D03BB">
        <w:rPr>
          <w:rFonts w:ascii="Arial" w:hAnsi="Arial" w:cs="Arial"/>
          <w:sz w:val="24"/>
          <w:szCs w:val="24"/>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r w:rsidR="00665E9C" w:rsidRPr="006D03BB">
        <w:rPr>
          <w:rFonts w:ascii="Arial" w:hAnsi="Arial" w:cs="Arial"/>
          <w:sz w:val="24"/>
          <w:szCs w:val="24"/>
        </w:rPr>
        <w:t>.</w:t>
      </w:r>
    </w:p>
    <w:p w:rsidR="00AD0A85" w:rsidRPr="006D03BB" w:rsidRDefault="006D03BB" w:rsidP="00AD0A85">
      <w:pPr>
        <w:numPr>
          <w:ilvl w:val="0"/>
          <w:numId w:val="6"/>
        </w:numPr>
        <w:spacing w:after="0" w:line="360" w:lineRule="auto"/>
        <w:ind w:left="567" w:hanging="425"/>
        <w:contextualSpacing/>
        <w:jc w:val="both"/>
        <w:rPr>
          <w:rFonts w:ascii="Arial" w:hAnsi="Arial" w:cs="Arial"/>
          <w:sz w:val="24"/>
          <w:szCs w:val="24"/>
        </w:rPr>
      </w:pPr>
      <w:r w:rsidRPr="006D03BB">
        <w:rPr>
          <w:rFonts w:ascii="Arial" w:hAnsi="Arial" w:cs="Arial"/>
          <w:sz w:val="24"/>
          <w:szCs w:val="24"/>
        </w:rPr>
        <w:t>Se realizaron pruebas de auditoría a fin de evaluar el cumplimiento de las leyes, los reglamentos y la normatividad aplicables en la materia de la gestión financiera, así como de los planes de desarrollo y los programas operativos anuales</w:t>
      </w:r>
      <w:r w:rsidR="00AD0A85" w:rsidRPr="006D03BB">
        <w:rPr>
          <w:rFonts w:ascii="Arial" w:hAnsi="Arial" w:cs="Arial"/>
          <w:sz w:val="24"/>
          <w:szCs w:val="24"/>
        </w:rPr>
        <w:t>.</w:t>
      </w:r>
    </w:p>
    <w:p w:rsidR="006D03BB" w:rsidRPr="006D03BB" w:rsidRDefault="006D03BB" w:rsidP="00AD0A85">
      <w:pPr>
        <w:numPr>
          <w:ilvl w:val="0"/>
          <w:numId w:val="6"/>
        </w:numPr>
        <w:spacing w:after="0" w:line="360" w:lineRule="auto"/>
        <w:ind w:left="567" w:hanging="425"/>
        <w:contextualSpacing/>
        <w:jc w:val="both"/>
        <w:rPr>
          <w:rFonts w:ascii="Arial" w:hAnsi="Arial" w:cs="Arial"/>
          <w:sz w:val="24"/>
          <w:szCs w:val="24"/>
        </w:rPr>
      </w:pPr>
      <w:r w:rsidRPr="006D03BB">
        <w:rPr>
          <w:rFonts w:ascii="Arial" w:hAnsi="Arial" w:cs="Arial"/>
          <w:sz w:val="24"/>
          <w:szCs w:val="24"/>
          <w:lang w:val="es-ES_tradnl" w:eastAsia="es-ES"/>
        </w:rPr>
        <w:t xml:space="preserve">De conformidad con lo estipulado en el inciso a) de la fracción I, del artículo 19 de la Ley de Fiscalización Superior del Estado de Nuevo </w:t>
      </w:r>
      <w:r w:rsidRPr="006D03BB">
        <w:rPr>
          <w:rFonts w:ascii="Arial" w:hAnsi="Arial" w:cs="Arial"/>
          <w:sz w:val="24"/>
          <w:szCs w:val="24"/>
          <w:lang w:val="es-ES_tradnl" w:eastAsia="es-ES"/>
        </w:rPr>
        <w:lastRenderedPageBreak/>
        <w:t xml:space="preserve">León, se verificó la aplicación por parte del Ente Fiscalizado, de </w:t>
      </w:r>
      <w:r w:rsidRPr="006D03BB">
        <w:rPr>
          <w:rFonts w:ascii="Arial" w:hAnsi="Arial" w:cs="Arial"/>
          <w:sz w:val="24"/>
          <w:szCs w:val="24"/>
        </w:rPr>
        <w:t>las Normas de Información Financiera aplicables.</w:t>
      </w:r>
    </w:p>
    <w:p w:rsidR="00AD0A85" w:rsidRPr="00AD0A85" w:rsidRDefault="00AD0A85" w:rsidP="00AD0A85">
      <w:pPr>
        <w:spacing w:line="360" w:lineRule="auto"/>
        <w:ind w:left="567"/>
        <w:contextualSpacing/>
        <w:jc w:val="both"/>
        <w:rPr>
          <w:rFonts w:ascii="Arial" w:hAnsi="Arial" w:cs="Arial"/>
          <w:sz w:val="24"/>
          <w:szCs w:val="24"/>
        </w:rPr>
      </w:pPr>
    </w:p>
    <w:p w:rsidR="00AD0A85" w:rsidRPr="00AD0A85" w:rsidRDefault="006D03BB" w:rsidP="00AD0A85">
      <w:pPr>
        <w:pStyle w:val="Prrafodelista"/>
        <w:numPr>
          <w:ilvl w:val="0"/>
          <w:numId w:val="1"/>
        </w:numPr>
        <w:spacing w:after="0" w:line="360" w:lineRule="auto"/>
        <w:ind w:left="426" w:hanging="426"/>
        <w:contextualSpacing/>
        <w:jc w:val="both"/>
        <w:rPr>
          <w:rFonts w:ascii="Arial" w:hAnsi="Arial" w:cs="Arial"/>
          <w:b/>
          <w:bCs/>
          <w:iCs/>
          <w:sz w:val="24"/>
          <w:szCs w:val="24"/>
        </w:rPr>
      </w:pPr>
      <w:r>
        <w:rPr>
          <w:rFonts w:ascii="Arial" w:hAnsi="Arial" w:cs="Arial"/>
          <w:b/>
          <w:bCs/>
          <w:sz w:val="24"/>
          <w:szCs w:val="24"/>
        </w:rPr>
        <w:t>C</w:t>
      </w:r>
      <w:r w:rsidR="00AD0A85" w:rsidRPr="00AD0A85">
        <w:rPr>
          <w:rFonts w:ascii="Arial" w:hAnsi="Arial" w:cs="Arial"/>
          <w:b/>
          <w:bCs/>
          <w:sz w:val="24"/>
          <w:szCs w:val="24"/>
        </w:rPr>
        <w:t xml:space="preserve">riterios de selección y descripción de los procedimientos de auditoría aplicados </w:t>
      </w:r>
    </w:p>
    <w:p w:rsidR="00AD0A85" w:rsidRPr="00AD0A85" w:rsidRDefault="00AD0A85" w:rsidP="00AD0A85">
      <w:pPr>
        <w:spacing w:line="360" w:lineRule="auto"/>
        <w:jc w:val="both"/>
        <w:rPr>
          <w:rFonts w:ascii="Arial" w:hAnsi="Arial" w:cs="Arial"/>
          <w:bCs/>
          <w:iCs/>
          <w:sz w:val="24"/>
          <w:szCs w:val="24"/>
        </w:rPr>
      </w:pPr>
    </w:p>
    <w:p w:rsidR="00665E9C" w:rsidRDefault="006D03BB" w:rsidP="00665E9C">
      <w:pPr>
        <w:spacing w:line="360" w:lineRule="auto"/>
        <w:ind w:firstLine="708"/>
        <w:jc w:val="both"/>
        <w:rPr>
          <w:rFonts w:ascii="Arial" w:hAnsi="Arial" w:cs="Arial"/>
          <w:bCs/>
          <w:iCs/>
          <w:sz w:val="24"/>
        </w:rPr>
      </w:pPr>
      <w:r w:rsidRPr="00D84979">
        <w:rPr>
          <w:rFonts w:ascii="Arial" w:hAnsi="Arial" w:cs="Arial"/>
          <w:bCs/>
          <w:iCs/>
          <w:sz w:val="24"/>
        </w:rPr>
        <w:t>Las auditorías practicadas se seleccionaron con base en los criterios establecidos para la planeación específica utilizada en la integración del Programa Anual de Auditoría</w:t>
      </w:r>
      <w:r>
        <w:rPr>
          <w:rFonts w:ascii="Arial" w:hAnsi="Arial" w:cs="Arial"/>
          <w:bCs/>
          <w:iCs/>
          <w:sz w:val="24"/>
        </w:rPr>
        <w:t xml:space="preserve"> </w:t>
      </w:r>
      <w:r w:rsidR="00974277">
        <w:rPr>
          <w:rFonts w:ascii="Arial" w:hAnsi="Arial" w:cs="Arial"/>
          <w:bCs/>
          <w:iCs/>
          <w:sz w:val="24"/>
        </w:rPr>
        <w:t>2016</w:t>
      </w:r>
      <w:r w:rsidRPr="00D84979">
        <w:rPr>
          <w:rFonts w:ascii="Arial" w:hAnsi="Arial" w:cs="Arial"/>
          <w:bCs/>
          <w:iCs/>
          <w:sz w:val="24"/>
        </w:rPr>
        <w:t xml:space="preserve"> para la fiscalización de las Cuentas Públicas co</w:t>
      </w:r>
      <w:r w:rsidR="00974277">
        <w:rPr>
          <w:rFonts w:ascii="Arial" w:hAnsi="Arial" w:cs="Arial"/>
          <w:bCs/>
          <w:iCs/>
          <w:sz w:val="24"/>
        </w:rPr>
        <w:t>rrespondientes al ejercicio 2015</w:t>
      </w:r>
      <w:r w:rsidRPr="00D84979">
        <w:rPr>
          <w:rFonts w:ascii="Arial" w:hAnsi="Arial" w:cs="Arial"/>
          <w:bCs/>
          <w:iCs/>
          <w:sz w:val="24"/>
        </w:rPr>
        <w:t>, considerando la importancia, pertinencia y factibilidad de su realización</w:t>
      </w:r>
      <w:r w:rsidR="00665E9C" w:rsidRPr="0059021A">
        <w:rPr>
          <w:rFonts w:ascii="Arial" w:hAnsi="Arial" w:cs="Arial"/>
          <w:bCs/>
          <w:iCs/>
          <w:sz w:val="24"/>
        </w:rPr>
        <w:t>.</w:t>
      </w:r>
    </w:p>
    <w:p w:rsidR="00665E9C" w:rsidRPr="00073F36" w:rsidRDefault="006D03BB" w:rsidP="00665E9C">
      <w:pPr>
        <w:spacing w:line="360" w:lineRule="auto"/>
        <w:ind w:firstLine="708"/>
        <w:jc w:val="both"/>
        <w:rPr>
          <w:rFonts w:ascii="Arial" w:hAnsi="Arial" w:cs="Arial"/>
          <w:bCs/>
          <w:iCs/>
          <w:sz w:val="24"/>
        </w:rPr>
      </w:pPr>
      <w:bookmarkStart w:id="0" w:name="_Toc140992160"/>
      <w:r w:rsidRPr="00D84979">
        <w:rPr>
          <w:rFonts w:ascii="Arial" w:hAnsi="Arial" w:cs="Arial"/>
          <w:bCs/>
          <w:iCs/>
          <w:sz w:val="24"/>
        </w:rPr>
        <w:t xml:space="preserve">El universo seleccionado para la revisión fue el conjunto de operaciones, registros o movimientos de entre los cuales, se seleccionaron muestras para aplicarles procedimientos o pruebas de auditoría, partiendo esencialmente, del presupuesto asignado al </w:t>
      </w:r>
      <w:r>
        <w:rPr>
          <w:rFonts w:ascii="Arial" w:hAnsi="Arial" w:cs="Arial"/>
          <w:bCs/>
          <w:iCs/>
          <w:sz w:val="24"/>
        </w:rPr>
        <w:t>Fideicomiso</w:t>
      </w:r>
      <w:r w:rsidRPr="00D84979">
        <w:rPr>
          <w:rFonts w:ascii="Arial" w:hAnsi="Arial" w:cs="Arial"/>
          <w:bCs/>
          <w:iCs/>
          <w:sz w:val="24"/>
        </w:rPr>
        <w:t>, y ejercido en los capítulos, conceptos, partidas, proyectos de inversión, programas presupuestarios y fondos, así como los conceptos de ingreso, en su caso, y en general cualquier otro concepto que se estimó pertinente incluir en el alcance de la revisión</w:t>
      </w:r>
      <w:r w:rsidR="00665E9C" w:rsidRPr="00073F36">
        <w:rPr>
          <w:rFonts w:ascii="Arial" w:hAnsi="Arial" w:cs="Arial"/>
          <w:bCs/>
          <w:iCs/>
          <w:sz w:val="24"/>
        </w:rPr>
        <w:t>.</w:t>
      </w:r>
    </w:p>
    <w:bookmarkEnd w:id="0"/>
    <w:p w:rsidR="00665E9C" w:rsidRPr="00073F36" w:rsidRDefault="006D03BB" w:rsidP="00665E9C">
      <w:pPr>
        <w:spacing w:line="360" w:lineRule="auto"/>
        <w:ind w:firstLine="708"/>
        <w:jc w:val="both"/>
        <w:rPr>
          <w:rFonts w:ascii="Arial" w:hAnsi="Arial" w:cs="Arial"/>
          <w:bCs/>
          <w:iCs/>
          <w:sz w:val="24"/>
        </w:rPr>
      </w:pPr>
      <w:r w:rsidRPr="00D84979">
        <w:rPr>
          <w:rFonts w:ascii="Arial" w:hAnsi="Arial" w:cs="Arial"/>
          <w:bCs/>
          <w:iCs/>
          <w:sz w:val="24"/>
        </w:rPr>
        <w:t>La muestra auditada</w:t>
      </w:r>
      <w:r>
        <w:rPr>
          <w:rFonts w:ascii="Arial" w:hAnsi="Arial" w:cs="Arial"/>
          <w:bCs/>
          <w:iCs/>
          <w:sz w:val="24"/>
        </w:rPr>
        <w:t xml:space="preserve"> </w:t>
      </w:r>
      <w:r w:rsidRPr="00D84979">
        <w:rPr>
          <w:rFonts w:ascii="Arial" w:hAnsi="Arial" w:cs="Arial"/>
          <w:bCs/>
          <w:iCs/>
          <w:sz w:val="24"/>
        </w:rPr>
        <w:t>consistió en</w:t>
      </w:r>
      <w:r>
        <w:rPr>
          <w:rFonts w:ascii="Arial" w:hAnsi="Arial" w:cs="Arial"/>
          <w:bCs/>
          <w:iCs/>
          <w:sz w:val="24"/>
        </w:rPr>
        <w:t xml:space="preserve"> </w:t>
      </w:r>
      <w:r w:rsidRPr="00D84979">
        <w:rPr>
          <w:rFonts w:ascii="Arial" w:hAnsi="Arial" w:cs="Arial"/>
          <w:bCs/>
          <w:iCs/>
          <w:sz w:val="24"/>
        </w:rPr>
        <w:t xml:space="preserve">las operaciones, registros o movimientos fiscalizados a través de procedimientos o pruebas de auditoría, cuyos resultados permitieron la emisión, debidamente soportada y fundamentada del dictamen de la revisión. Asimismo, </w:t>
      </w:r>
      <w:bookmarkStart w:id="1" w:name="_Toc140992162"/>
      <w:r w:rsidRPr="00D84979">
        <w:rPr>
          <w:rFonts w:ascii="Arial" w:hAnsi="Arial" w:cs="Arial"/>
          <w:bCs/>
          <w:iCs/>
          <w:sz w:val="24"/>
        </w:rPr>
        <w:t xml:space="preserve">las áreas revisadas, </w:t>
      </w:r>
      <w:r w:rsidRPr="00D84979">
        <w:rPr>
          <w:rFonts w:ascii="Arial" w:hAnsi="Arial" w:cs="Arial"/>
          <w:bCs/>
          <w:iCs/>
          <w:sz w:val="24"/>
        </w:rPr>
        <w:lastRenderedPageBreak/>
        <w:t xml:space="preserve">fueron esencialmente </w:t>
      </w:r>
      <w:bookmarkEnd w:id="1"/>
      <w:r w:rsidRPr="00D84979">
        <w:rPr>
          <w:rFonts w:ascii="Arial" w:hAnsi="Arial" w:cs="Arial"/>
          <w:bCs/>
          <w:iCs/>
          <w:sz w:val="24"/>
        </w:rPr>
        <w:t>las unidades administrativas de la entidad fiscalizada responsables de la ejecución de las operaciones, actividades o programas objeto de la revisión</w:t>
      </w:r>
      <w:r w:rsidR="00665E9C" w:rsidRPr="00073F36">
        <w:rPr>
          <w:rFonts w:ascii="Arial" w:hAnsi="Arial" w:cs="Arial"/>
          <w:bCs/>
          <w:iCs/>
          <w:sz w:val="24"/>
        </w:rPr>
        <w:t>.</w:t>
      </w:r>
    </w:p>
    <w:p w:rsidR="00AD0A85" w:rsidRPr="00AD0A85" w:rsidRDefault="006D03BB" w:rsidP="00665E9C">
      <w:pPr>
        <w:spacing w:line="360" w:lineRule="auto"/>
        <w:ind w:firstLine="708"/>
        <w:jc w:val="both"/>
        <w:rPr>
          <w:rFonts w:ascii="Arial" w:hAnsi="Arial" w:cs="Arial"/>
          <w:bCs/>
          <w:iCs/>
          <w:sz w:val="24"/>
          <w:szCs w:val="24"/>
        </w:rPr>
      </w:pPr>
      <w:r w:rsidRPr="00D84979">
        <w:rPr>
          <w:rFonts w:ascii="Arial" w:hAnsi="Arial" w:cs="Arial"/>
          <w:bCs/>
          <w:iCs/>
          <w:sz w:val="24"/>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r w:rsidR="00AD0A85" w:rsidRPr="00AD0A85">
        <w:rPr>
          <w:rFonts w:ascii="Arial" w:hAnsi="Arial" w:cs="Arial"/>
          <w:bCs/>
          <w:iCs/>
          <w:sz w:val="24"/>
          <w:szCs w:val="24"/>
        </w:rPr>
        <w:t>.</w:t>
      </w:r>
    </w:p>
    <w:p w:rsidR="00AD0A85" w:rsidRPr="003C7A5D" w:rsidRDefault="00AD0A85" w:rsidP="00EC1833">
      <w:pPr>
        <w:pStyle w:val="Textoindependiente"/>
        <w:rPr>
          <w:rFonts w:ascii="Arial" w:hAnsi="Arial" w:cs="Arial"/>
          <w:b/>
          <w:sz w:val="24"/>
          <w:szCs w:val="24"/>
          <w:lang w:val="es-ES_tradnl"/>
        </w:rPr>
      </w:pPr>
    </w:p>
    <w:p w:rsidR="00EC1833" w:rsidRPr="003C7A5D" w:rsidRDefault="00EC1833" w:rsidP="00EC1833">
      <w:pPr>
        <w:pStyle w:val="Piedepgina"/>
        <w:numPr>
          <w:ilvl w:val="0"/>
          <w:numId w:val="30"/>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Descripción de los elementos revisados y resultados obtenidos en la revisión</w:t>
      </w:r>
    </w:p>
    <w:p w:rsidR="00EC1833" w:rsidRPr="003C7A5D" w:rsidRDefault="00EC1833" w:rsidP="00EC1833">
      <w:pPr>
        <w:pStyle w:val="Textoindependiente"/>
        <w:rPr>
          <w:rFonts w:ascii="Arial" w:hAnsi="Arial" w:cs="Arial"/>
          <w:b/>
          <w:sz w:val="24"/>
          <w:szCs w:val="24"/>
          <w:lang w:val="es-MX"/>
        </w:rPr>
      </w:pPr>
    </w:p>
    <w:p w:rsidR="00EC1833" w:rsidRPr="003C7A5D" w:rsidRDefault="00EC1833" w:rsidP="00EC1833">
      <w:pPr>
        <w:pStyle w:val="Textoindependiente"/>
        <w:numPr>
          <w:ilvl w:val="0"/>
          <w:numId w:val="23"/>
        </w:numPr>
        <w:suppressAutoHyphens w:val="0"/>
        <w:ind w:left="360"/>
        <w:rPr>
          <w:rFonts w:ascii="Arial" w:hAnsi="Arial" w:cs="Arial"/>
          <w:b/>
          <w:sz w:val="24"/>
          <w:szCs w:val="24"/>
          <w:lang w:val="es-MX"/>
        </w:rPr>
      </w:pPr>
      <w:r w:rsidRPr="003C7A5D">
        <w:rPr>
          <w:rFonts w:ascii="Arial" w:hAnsi="Arial" w:cs="Arial"/>
          <w:b/>
          <w:sz w:val="24"/>
          <w:szCs w:val="24"/>
          <w:lang w:val="es-MX"/>
        </w:rPr>
        <w:t>La evaluación de la gestión financiera y del gasto público</w:t>
      </w:r>
    </w:p>
    <w:p w:rsidR="00EC1833" w:rsidRPr="003C7A5D" w:rsidRDefault="00EC1833" w:rsidP="005A07EB">
      <w:pPr>
        <w:pStyle w:val="Textoindependiente"/>
        <w:rPr>
          <w:rFonts w:ascii="Arial" w:hAnsi="Arial" w:cs="Arial"/>
          <w:sz w:val="24"/>
          <w:szCs w:val="24"/>
          <w:lang w:val="es-MX"/>
        </w:rPr>
      </w:pPr>
    </w:p>
    <w:p w:rsidR="00665E9C" w:rsidRPr="00C431F6" w:rsidRDefault="006D03BB" w:rsidP="00665E9C">
      <w:pPr>
        <w:spacing w:line="360" w:lineRule="auto"/>
        <w:ind w:firstLine="708"/>
        <w:jc w:val="both"/>
        <w:rPr>
          <w:rFonts w:ascii="Arial" w:hAnsi="Arial" w:cs="Arial"/>
          <w:sz w:val="24"/>
          <w:szCs w:val="24"/>
          <w:lang w:val="es-MX"/>
        </w:rPr>
      </w:pPr>
      <w:r w:rsidRPr="00D84979">
        <w:rPr>
          <w:rFonts w:ascii="Arial" w:hAnsi="Arial" w:cs="Arial"/>
          <w:sz w:val="24"/>
          <w:szCs w:val="24"/>
          <w:lang w:val="es-MX"/>
        </w:rPr>
        <w:t xml:space="preserve">Para tal efecto se consideraron los Estados Financieros adjuntos, y su presupuesto por el período del 1 de </w:t>
      </w:r>
      <w:r w:rsidR="001C12FB">
        <w:rPr>
          <w:rFonts w:ascii="Arial" w:hAnsi="Arial" w:cs="Arial"/>
          <w:sz w:val="24"/>
          <w:szCs w:val="24"/>
          <w:lang w:val="es-MX"/>
        </w:rPr>
        <w:t>enero al 31 de diciembre de 2015</w:t>
      </w:r>
      <w:r w:rsidRPr="00D84979">
        <w:rPr>
          <w:rFonts w:ascii="Arial" w:hAnsi="Arial" w:cs="Arial"/>
          <w:sz w:val="24"/>
          <w:szCs w:val="24"/>
          <w:lang w:val="es-MX"/>
        </w:rPr>
        <w:t xml:space="preserve">, que el </w:t>
      </w:r>
      <w:r w:rsidR="004B1929">
        <w:rPr>
          <w:rFonts w:ascii="Arial" w:hAnsi="Arial" w:cs="Arial"/>
          <w:color w:val="000000"/>
          <w:sz w:val="24"/>
          <w:szCs w:val="24"/>
        </w:rPr>
        <w:t>FIDEICOMISO PÚBLICO DE ADMINISTRACIÓN Y TRASLATIVO DE DOMINIO CIUDAD SOLIDARIDAD</w:t>
      </w:r>
      <w:r>
        <w:rPr>
          <w:rFonts w:ascii="Arial" w:hAnsi="Arial" w:cs="Arial"/>
          <w:color w:val="000000"/>
          <w:sz w:val="24"/>
          <w:szCs w:val="24"/>
        </w:rPr>
        <w:t xml:space="preserve"> </w:t>
      </w:r>
      <w:r w:rsidRPr="00D84979">
        <w:rPr>
          <w:rFonts w:ascii="Arial" w:hAnsi="Arial" w:cs="Arial"/>
          <w:sz w:val="24"/>
          <w:szCs w:val="24"/>
          <w:lang w:val="es-MX"/>
        </w:rPr>
        <w:t>presentó como parte de la información que integra la Cuenta Pública</w:t>
      </w:r>
      <w:r w:rsidR="00665E9C" w:rsidRPr="00C431F6">
        <w:rPr>
          <w:rFonts w:ascii="Arial" w:hAnsi="Arial" w:cs="Arial"/>
          <w:sz w:val="24"/>
          <w:szCs w:val="24"/>
          <w:lang w:val="es-MX"/>
        </w:rPr>
        <w:t>.</w:t>
      </w:r>
    </w:p>
    <w:p w:rsidR="00665E9C" w:rsidRPr="00C431F6" w:rsidRDefault="00312341" w:rsidP="00665E9C">
      <w:pPr>
        <w:spacing w:line="360" w:lineRule="auto"/>
        <w:ind w:firstLine="708"/>
        <w:jc w:val="both"/>
        <w:rPr>
          <w:rFonts w:ascii="Arial" w:hAnsi="Arial" w:cs="Arial"/>
          <w:sz w:val="24"/>
          <w:szCs w:val="24"/>
          <w:lang w:val="es-MX"/>
        </w:rPr>
      </w:pPr>
      <w:r w:rsidRPr="00D84979">
        <w:rPr>
          <w:rFonts w:ascii="Arial" w:hAnsi="Arial" w:cs="Arial"/>
          <w:sz w:val="24"/>
          <w:szCs w:val="24"/>
          <w:lang w:val="es-MX"/>
        </w:rPr>
        <w:t>Para el desarrollo de la revisión de la i</w:t>
      </w:r>
      <w:r w:rsidR="00CE3766">
        <w:rPr>
          <w:rFonts w:ascii="Arial" w:hAnsi="Arial" w:cs="Arial"/>
          <w:sz w:val="24"/>
          <w:szCs w:val="24"/>
          <w:lang w:val="es-MX"/>
        </w:rPr>
        <w:t>nformación antes mencionada, la</w:t>
      </w:r>
      <w:r w:rsidRPr="00D84979">
        <w:rPr>
          <w:rFonts w:ascii="Arial" w:hAnsi="Arial" w:cs="Arial"/>
          <w:sz w:val="24"/>
          <w:szCs w:val="24"/>
          <w:lang w:val="es-MX"/>
        </w:rPr>
        <w:t xml:space="preserve">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w:t>
      </w:r>
      <w:r w:rsidRPr="00D84979">
        <w:rPr>
          <w:rFonts w:ascii="Arial" w:hAnsi="Arial" w:cs="Arial"/>
          <w:sz w:val="24"/>
          <w:szCs w:val="24"/>
          <w:lang w:val="es-MX"/>
        </w:rPr>
        <w:lastRenderedPageBreak/>
        <w:t>aplicables y al cumplimiento de los objetivos y metas establecidas en los programas</w:t>
      </w:r>
      <w:r w:rsidR="00665E9C" w:rsidRPr="00C431F6">
        <w:rPr>
          <w:rFonts w:ascii="Arial" w:hAnsi="Arial" w:cs="Arial"/>
          <w:sz w:val="24"/>
          <w:szCs w:val="24"/>
          <w:lang w:val="es-MX"/>
        </w:rPr>
        <w:t>.</w:t>
      </w:r>
    </w:p>
    <w:p w:rsidR="005A07EB" w:rsidRPr="00AD0A85" w:rsidRDefault="00312341" w:rsidP="00665E9C">
      <w:pPr>
        <w:spacing w:line="360" w:lineRule="auto"/>
        <w:ind w:firstLine="708"/>
        <w:jc w:val="both"/>
        <w:rPr>
          <w:rFonts w:ascii="Arial" w:hAnsi="Arial" w:cs="Arial"/>
          <w:sz w:val="24"/>
          <w:szCs w:val="24"/>
        </w:rPr>
      </w:pPr>
      <w:r w:rsidRPr="00D84979">
        <w:rPr>
          <w:rFonts w:ascii="Arial" w:hAnsi="Arial" w:cs="Arial"/>
          <w:sz w:val="24"/>
          <w:szCs w:val="24"/>
          <w:lang w:val="es-MX"/>
        </w:rPr>
        <w:t>Los Estados Financieros presentados en</w:t>
      </w:r>
      <w:r>
        <w:rPr>
          <w:rFonts w:ascii="Arial" w:hAnsi="Arial" w:cs="Arial"/>
          <w:sz w:val="24"/>
          <w:szCs w:val="24"/>
          <w:lang w:val="es-MX"/>
        </w:rPr>
        <w:t xml:space="preserve"> </w:t>
      </w:r>
      <w:r w:rsidRPr="00D84979">
        <w:rPr>
          <w:rFonts w:ascii="Arial" w:hAnsi="Arial" w:cs="Arial"/>
          <w:sz w:val="24"/>
          <w:szCs w:val="24"/>
          <w:lang w:val="es-MX"/>
        </w:rPr>
        <w:t xml:space="preserve">pesos del </w:t>
      </w:r>
      <w:r w:rsidR="004B1929">
        <w:rPr>
          <w:rFonts w:ascii="Arial" w:hAnsi="Arial" w:cs="Arial"/>
          <w:color w:val="000000"/>
          <w:sz w:val="24"/>
          <w:szCs w:val="24"/>
        </w:rPr>
        <w:t>FIDEICOMISO PÚBLICO DE ADMINISTRACIÓN Y TRASLATIVO DE DOMINIO CIUDAD SOLIDARIDAD</w:t>
      </w:r>
      <w:r>
        <w:rPr>
          <w:rFonts w:ascii="Arial" w:hAnsi="Arial" w:cs="Arial"/>
          <w:color w:val="000000"/>
          <w:sz w:val="24"/>
          <w:szCs w:val="24"/>
        </w:rPr>
        <w:t xml:space="preserve"> </w:t>
      </w:r>
      <w:r w:rsidR="001C12FB">
        <w:rPr>
          <w:rFonts w:ascii="Arial" w:hAnsi="Arial" w:cs="Arial"/>
          <w:sz w:val="24"/>
          <w:szCs w:val="24"/>
          <w:lang w:val="es-MX"/>
        </w:rPr>
        <w:t>al 31 de diciembre de 2015</w:t>
      </w:r>
      <w:r w:rsidRPr="00D84979">
        <w:rPr>
          <w:rFonts w:ascii="Arial" w:hAnsi="Arial" w:cs="Arial"/>
          <w:sz w:val="24"/>
          <w:szCs w:val="24"/>
          <w:lang w:val="es-MX"/>
        </w:rPr>
        <w:t>, que se mencionan en la Cuenta Pública, son los que se muestran a continuación</w:t>
      </w:r>
      <w:r w:rsidR="005A07EB" w:rsidRPr="00AD0A85">
        <w:rPr>
          <w:rFonts w:ascii="Arial" w:hAnsi="Arial" w:cs="Arial"/>
          <w:sz w:val="24"/>
          <w:szCs w:val="24"/>
        </w:rPr>
        <w:t>:</w:t>
      </w:r>
    </w:p>
    <w:p w:rsidR="00EC1833" w:rsidRDefault="001C12FB" w:rsidP="005A07EB">
      <w:pPr>
        <w:jc w:val="both"/>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5023485" cy="539623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396230"/>
                    </a:xfrm>
                    <a:prstGeom prst="rect">
                      <a:avLst/>
                    </a:prstGeom>
                    <a:noFill/>
                    <a:ln>
                      <a:noFill/>
                    </a:ln>
                  </pic:spPr>
                </pic:pic>
              </a:graphicData>
            </a:graphic>
          </wp:inline>
        </w:drawing>
      </w:r>
    </w:p>
    <w:p w:rsidR="001C12FB" w:rsidRDefault="001C12FB" w:rsidP="005A07EB">
      <w:pPr>
        <w:jc w:val="both"/>
        <w:rPr>
          <w:rFonts w:ascii="Arial" w:hAnsi="Arial" w:cs="Arial"/>
          <w:sz w:val="24"/>
          <w:szCs w:val="24"/>
          <w:lang w:val="es-MX"/>
        </w:rPr>
      </w:pPr>
    </w:p>
    <w:p w:rsidR="001C12FB" w:rsidRDefault="001C12FB" w:rsidP="005A07EB">
      <w:pPr>
        <w:jc w:val="both"/>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5170170" cy="53848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170" cy="5384800"/>
                    </a:xfrm>
                    <a:prstGeom prst="rect">
                      <a:avLst/>
                    </a:prstGeom>
                    <a:noFill/>
                    <a:ln>
                      <a:noFill/>
                    </a:ln>
                  </pic:spPr>
                </pic:pic>
              </a:graphicData>
            </a:graphic>
          </wp:inline>
        </w:drawing>
      </w:r>
    </w:p>
    <w:p w:rsidR="001C12FB" w:rsidRDefault="001C12FB" w:rsidP="001C12FB">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Arial" w:hAnsi="Arial" w:cs="Arial"/>
          <w:b/>
          <w:bCs/>
          <w:sz w:val="13"/>
          <w:szCs w:val="13"/>
          <w:lang w:val="es-MX" w:eastAsia="es-ES"/>
        </w:rPr>
        <w:t xml:space="preserve">1 </w:t>
      </w:r>
      <w:r>
        <w:rPr>
          <w:rFonts w:ascii="Arial" w:hAnsi="Arial" w:cs="Arial"/>
          <w:sz w:val="24"/>
          <w:szCs w:val="24"/>
          <w:lang w:val="es-MX" w:eastAsia="es-ES"/>
        </w:rPr>
        <w:t>En la columna 2014 debe ser $6,624,638</w:t>
      </w:r>
    </w:p>
    <w:p w:rsidR="001C12FB" w:rsidRDefault="001C12FB" w:rsidP="001C12FB">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 xml:space="preserve">[sic]² </w:t>
      </w:r>
      <w:r>
        <w:rPr>
          <w:rFonts w:ascii="Arial" w:hAnsi="Arial" w:cs="Arial"/>
          <w:sz w:val="24"/>
          <w:szCs w:val="24"/>
          <w:lang w:val="es-MX" w:eastAsia="es-ES"/>
        </w:rPr>
        <w:t>En la columna 2015 y 2014 debe ser $353,849,434</w:t>
      </w:r>
    </w:p>
    <w:p w:rsidR="001C12FB" w:rsidRDefault="001C12FB" w:rsidP="001C12FB">
      <w:pPr>
        <w:autoSpaceDE w:val="0"/>
        <w:autoSpaceDN w:val="0"/>
        <w:adjustRightInd w:val="0"/>
        <w:spacing w:after="0" w:line="240" w:lineRule="auto"/>
        <w:rPr>
          <w:rFonts w:ascii="Arial" w:hAnsi="Arial" w:cs="Arial"/>
          <w:sz w:val="24"/>
          <w:szCs w:val="24"/>
          <w:lang w:val="es-MX" w:eastAsia="es-ES"/>
        </w:rPr>
      </w:pPr>
      <w:r>
        <w:rPr>
          <w:rFonts w:ascii="Arial-BoldMT" w:eastAsia="Arial-BoldMT" w:hAnsi="Arial" w:cs="Arial-BoldMT"/>
          <w:b/>
          <w:bCs/>
          <w:sz w:val="20"/>
          <w:szCs w:val="20"/>
          <w:lang w:val="es-MX" w:eastAsia="es-ES"/>
        </w:rPr>
        <w:t>[sic]</w:t>
      </w:r>
      <w:r>
        <w:rPr>
          <w:rFonts w:ascii="Arial-BoldMT" w:eastAsia="Arial-BoldMT" w:hAnsi="Arial" w:cs="Arial-BoldMT" w:hint="eastAsia"/>
          <w:b/>
          <w:bCs/>
          <w:sz w:val="20"/>
          <w:szCs w:val="20"/>
          <w:lang w:val="es-MX" w:eastAsia="es-ES"/>
        </w:rPr>
        <w:t>ᶾ</w:t>
      </w:r>
      <w:r>
        <w:rPr>
          <w:rFonts w:ascii="Arial-BoldMT" w:eastAsia="Arial-BoldMT" w:hAnsi="Arial" w:cs="Arial-BoldMT"/>
          <w:b/>
          <w:bCs/>
          <w:sz w:val="20"/>
          <w:szCs w:val="20"/>
          <w:lang w:val="es-MX" w:eastAsia="es-ES"/>
        </w:rPr>
        <w:t xml:space="preserve"> </w:t>
      </w:r>
      <w:r>
        <w:rPr>
          <w:rFonts w:ascii="Arial" w:hAnsi="Arial" w:cs="Arial"/>
          <w:sz w:val="24"/>
          <w:szCs w:val="24"/>
          <w:lang w:val="es-MX" w:eastAsia="es-ES"/>
        </w:rPr>
        <w:t>En la columna 2014 debe ser $788,981</w:t>
      </w:r>
    </w:p>
    <w:p w:rsidR="001C12FB" w:rsidRDefault="001C12FB" w:rsidP="001C12FB">
      <w:pPr>
        <w:autoSpaceDE w:val="0"/>
        <w:autoSpaceDN w:val="0"/>
        <w:adjustRightInd w:val="0"/>
        <w:spacing w:after="0" w:line="240" w:lineRule="auto"/>
        <w:rPr>
          <w:rFonts w:ascii="Arial" w:hAnsi="Arial" w:cs="Arial"/>
          <w:sz w:val="24"/>
          <w:szCs w:val="24"/>
          <w:lang w:val="es-MX" w:eastAsia="es-ES"/>
        </w:rPr>
      </w:pPr>
      <w:r>
        <w:rPr>
          <w:rFonts w:ascii="Arial" w:hAnsi="Arial" w:cs="Arial"/>
          <w:b/>
          <w:bCs/>
          <w:sz w:val="20"/>
          <w:szCs w:val="20"/>
          <w:lang w:val="es-MX" w:eastAsia="es-ES"/>
        </w:rPr>
        <w:t>[sic]</w:t>
      </w:r>
      <w:r>
        <w:rPr>
          <w:rFonts w:ascii="Calibri-Bold" w:eastAsia="Calibri-Bold" w:hAnsi="Arial" w:cs="Calibri-Bold" w:hint="eastAsia"/>
          <w:b/>
          <w:bCs/>
          <w:sz w:val="20"/>
          <w:szCs w:val="20"/>
          <w:lang w:val="es-MX" w:eastAsia="es-ES"/>
        </w:rPr>
        <w:t>⁴</w:t>
      </w:r>
      <w:r>
        <w:rPr>
          <w:rFonts w:ascii="Calibri-Bold" w:eastAsia="Calibri-Bold" w:hAnsi="Arial" w:cs="Calibri-Bold"/>
          <w:b/>
          <w:bCs/>
          <w:sz w:val="20"/>
          <w:szCs w:val="20"/>
          <w:lang w:val="es-MX" w:eastAsia="es-ES"/>
        </w:rPr>
        <w:t xml:space="preserve"> </w:t>
      </w:r>
      <w:r>
        <w:rPr>
          <w:rFonts w:ascii="Arial" w:hAnsi="Arial" w:cs="Arial"/>
          <w:sz w:val="24"/>
          <w:szCs w:val="24"/>
          <w:lang w:val="es-MX" w:eastAsia="es-ES"/>
        </w:rPr>
        <w:t>En la columna 2015 debe ser $7,393,098</w:t>
      </w:r>
    </w:p>
    <w:p w:rsidR="001C12FB" w:rsidRDefault="001C12FB" w:rsidP="001C12FB">
      <w:pPr>
        <w:autoSpaceDE w:val="0"/>
        <w:autoSpaceDN w:val="0"/>
        <w:adjustRightInd w:val="0"/>
        <w:spacing w:after="0" w:line="240" w:lineRule="auto"/>
        <w:rPr>
          <w:rFonts w:ascii="Arial" w:hAnsi="Arial" w:cs="Arial"/>
          <w:sz w:val="24"/>
          <w:szCs w:val="24"/>
          <w:lang w:val="es-MX" w:eastAsia="es-ES"/>
        </w:rPr>
      </w:pPr>
      <w:r>
        <w:rPr>
          <w:rFonts w:ascii="Arial-BoldMT" w:eastAsia="Arial-BoldMT" w:hAnsi="Arial" w:cs="Arial-BoldMT"/>
          <w:b/>
          <w:bCs/>
          <w:sz w:val="20"/>
          <w:szCs w:val="20"/>
          <w:lang w:val="es-MX" w:eastAsia="es-ES"/>
        </w:rPr>
        <w:t>[sic]</w:t>
      </w:r>
      <w:r>
        <w:rPr>
          <w:rFonts w:ascii="Arial-BoldMT" w:eastAsia="Arial-BoldMT" w:hAnsi="Arial" w:cs="Arial-BoldMT" w:hint="eastAsia"/>
          <w:b/>
          <w:bCs/>
          <w:sz w:val="20"/>
          <w:szCs w:val="20"/>
          <w:lang w:val="es-MX" w:eastAsia="es-ES"/>
        </w:rPr>
        <w:t>⁵</w:t>
      </w:r>
      <w:r>
        <w:rPr>
          <w:rFonts w:ascii="Arial-BoldMT" w:eastAsia="Arial-BoldMT" w:hAnsi="Arial" w:cs="Arial-BoldMT"/>
          <w:b/>
          <w:bCs/>
          <w:sz w:val="20"/>
          <w:szCs w:val="20"/>
          <w:lang w:val="es-MX" w:eastAsia="es-ES"/>
        </w:rPr>
        <w:t xml:space="preserve"> </w:t>
      </w:r>
      <w:r>
        <w:rPr>
          <w:rFonts w:ascii="Arial" w:hAnsi="Arial" w:cs="Arial"/>
          <w:sz w:val="24"/>
          <w:szCs w:val="24"/>
          <w:lang w:val="es-MX" w:eastAsia="es-ES"/>
        </w:rPr>
        <w:t>En la columna 2014 debe ser $132,914</w:t>
      </w:r>
    </w:p>
    <w:p w:rsidR="00AD0A85" w:rsidRPr="001C12FB" w:rsidRDefault="001C12FB" w:rsidP="001C12FB">
      <w:pPr>
        <w:jc w:val="both"/>
        <w:rPr>
          <w:rFonts w:ascii="Arial" w:hAnsi="Arial" w:cs="Arial"/>
          <w:sz w:val="24"/>
          <w:szCs w:val="24"/>
          <w:lang w:val="es-MX"/>
        </w:rPr>
      </w:pPr>
      <w:r>
        <w:rPr>
          <w:rFonts w:ascii="Arial" w:hAnsi="Arial" w:cs="Arial"/>
          <w:b/>
          <w:bCs/>
          <w:sz w:val="20"/>
          <w:szCs w:val="20"/>
          <w:lang w:val="es-MX" w:eastAsia="es-ES"/>
        </w:rPr>
        <w:t>[sic]</w:t>
      </w:r>
      <w:r>
        <w:rPr>
          <w:rFonts w:ascii="Arial" w:hAnsi="Arial" w:cs="Arial"/>
          <w:b/>
          <w:bCs/>
          <w:sz w:val="12"/>
          <w:szCs w:val="12"/>
          <w:lang w:val="es-MX" w:eastAsia="es-ES"/>
        </w:rPr>
        <w:t xml:space="preserve">6 </w:t>
      </w:r>
      <w:r>
        <w:rPr>
          <w:rFonts w:ascii="Arial" w:hAnsi="Arial" w:cs="Arial"/>
          <w:sz w:val="24"/>
          <w:szCs w:val="24"/>
          <w:lang w:val="es-MX" w:eastAsia="es-ES"/>
        </w:rPr>
        <w:t>En la columna 2014 y 2015, son presentadas cifras con decimales</w:t>
      </w:r>
      <w:r>
        <w:rPr>
          <w:rFonts w:ascii="Arial" w:hAnsi="Arial" w:cs="Arial"/>
          <w:sz w:val="24"/>
          <w:szCs w:val="24"/>
          <w:lang w:val="es-MX"/>
        </w:rPr>
        <w:t>.</w:t>
      </w:r>
    </w:p>
    <w:p w:rsidR="00FA11AA" w:rsidRDefault="005F70BF" w:rsidP="00F67026">
      <w:pPr>
        <w:ind w:firstLine="708"/>
        <w:jc w:val="both"/>
        <w:rPr>
          <w:rFonts w:ascii="Arial" w:hAnsi="Arial" w:cs="Arial"/>
          <w:sz w:val="24"/>
          <w:szCs w:val="24"/>
        </w:rPr>
      </w:pPr>
      <w:r w:rsidRPr="00D84979">
        <w:rPr>
          <w:rFonts w:ascii="Arial" w:hAnsi="Arial" w:cs="Arial"/>
          <w:sz w:val="24"/>
          <w:szCs w:val="24"/>
        </w:rPr>
        <w:lastRenderedPageBreak/>
        <w:t>Los datos sobresalientes de los Estados Financ</w:t>
      </w:r>
      <w:r w:rsidR="001C12FB">
        <w:rPr>
          <w:rFonts w:ascii="Arial" w:hAnsi="Arial" w:cs="Arial"/>
          <w:sz w:val="24"/>
          <w:szCs w:val="24"/>
        </w:rPr>
        <w:t>ieros al 31 de diciembre de 2015</w:t>
      </w:r>
      <w:r w:rsidRPr="00D84979">
        <w:rPr>
          <w:rFonts w:ascii="Arial" w:hAnsi="Arial" w:cs="Arial"/>
          <w:sz w:val="24"/>
          <w:szCs w:val="24"/>
        </w:rPr>
        <w:t>, son los que se indican a continuación y están presentados en pesos</w:t>
      </w:r>
      <w:r w:rsidR="00FA11AA" w:rsidRPr="003C7A5D">
        <w:rPr>
          <w:rFonts w:ascii="Arial" w:hAnsi="Arial" w:cs="Arial"/>
          <w:sz w:val="24"/>
          <w:szCs w:val="24"/>
        </w:rPr>
        <w:t>:</w:t>
      </w:r>
    </w:p>
    <w:p w:rsidR="001C12FB" w:rsidRPr="003C7A5D" w:rsidRDefault="001C12FB" w:rsidP="00F67026">
      <w:pPr>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lang w:val="es-MX" w:eastAsia="es-MX"/>
        </w:rPr>
        <w:drawing>
          <wp:inline distT="0" distB="0" distL="0" distR="0">
            <wp:extent cx="2088515" cy="73406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15" cy="734060"/>
                    </a:xfrm>
                    <a:prstGeom prst="rect">
                      <a:avLst/>
                    </a:prstGeom>
                    <a:noFill/>
                    <a:ln>
                      <a:noFill/>
                    </a:ln>
                  </pic:spPr>
                </pic:pic>
              </a:graphicData>
            </a:graphic>
          </wp:inline>
        </w:drawing>
      </w:r>
    </w:p>
    <w:p w:rsidR="00F67026" w:rsidRPr="003C7A5D" w:rsidRDefault="00F67026" w:rsidP="00FA11AA">
      <w:pPr>
        <w:rPr>
          <w:rFonts w:ascii="Arial" w:hAnsi="Arial" w:cs="Arial"/>
          <w:sz w:val="24"/>
          <w:szCs w:val="24"/>
        </w:rPr>
      </w:pPr>
    </w:p>
    <w:p w:rsidR="00A32881" w:rsidRPr="00A73D28" w:rsidRDefault="00A32881" w:rsidP="00A32881">
      <w:pPr>
        <w:pStyle w:val="Textoindependiente"/>
        <w:numPr>
          <w:ilvl w:val="0"/>
          <w:numId w:val="23"/>
        </w:numPr>
        <w:suppressAutoHyphens w:val="0"/>
        <w:ind w:left="426" w:hanging="426"/>
        <w:rPr>
          <w:rFonts w:ascii="Arial" w:hAnsi="Arial" w:cs="Arial"/>
          <w:b/>
          <w:sz w:val="24"/>
          <w:szCs w:val="24"/>
          <w:lang w:val="es-MX"/>
        </w:rPr>
      </w:pPr>
      <w:r w:rsidRPr="00A73D28">
        <w:rPr>
          <w:rFonts w:ascii="Arial" w:hAnsi="Arial" w:cs="Arial"/>
          <w:b/>
          <w:sz w:val="24"/>
          <w:szCs w:val="24"/>
          <w:lang w:val="es-MX"/>
        </w:rPr>
        <w:t>Cumplimiento de la Ley General de Contabilidad Gubernamental y de las disposiciones contenidas en los ordenamientos y normativa correspondientes</w:t>
      </w:r>
    </w:p>
    <w:p w:rsidR="00A32881" w:rsidRPr="00A73D28" w:rsidRDefault="00A32881" w:rsidP="00A32881">
      <w:pPr>
        <w:pStyle w:val="Textoindependiente"/>
        <w:rPr>
          <w:rFonts w:ascii="Arial" w:hAnsi="Arial" w:cs="Arial"/>
          <w:sz w:val="2"/>
          <w:szCs w:val="2"/>
          <w:lang w:val="es-MX"/>
        </w:rPr>
      </w:pPr>
    </w:p>
    <w:p w:rsidR="00A32881" w:rsidRPr="00A73D28" w:rsidRDefault="00A32881" w:rsidP="00A32881">
      <w:pPr>
        <w:jc w:val="both"/>
        <w:rPr>
          <w:rFonts w:ascii="Arial" w:hAnsi="Arial" w:cs="Arial"/>
          <w:sz w:val="24"/>
          <w:szCs w:val="24"/>
          <w:lang w:val="es-MX"/>
        </w:rPr>
      </w:pPr>
    </w:p>
    <w:p w:rsidR="005F70BF" w:rsidRDefault="005F70BF" w:rsidP="004E5232">
      <w:pPr>
        <w:spacing w:line="360" w:lineRule="auto"/>
        <w:ind w:firstLine="709"/>
        <w:jc w:val="both"/>
        <w:rPr>
          <w:rFonts w:ascii="Arial" w:hAnsi="Arial" w:cs="Arial"/>
          <w:sz w:val="24"/>
          <w:szCs w:val="24"/>
        </w:rPr>
      </w:pPr>
      <w:r>
        <w:rPr>
          <w:rFonts w:ascii="Arial" w:eastAsiaTheme="minorHAnsi" w:hAnsi="Arial" w:cs="Arial"/>
          <w:sz w:val="24"/>
          <w:szCs w:val="24"/>
          <w:lang w:val="es-MX"/>
        </w:rPr>
        <w:t>Con posterioridad a la verificación realizada por este Órgano Técnico Fiscalizador, con relación a los Estados Financieros que se incluyen en la Cuenta Pública, se concluye que su presentación, está de acuerdo con las Normas de Información Financiera, normatividad aplicable a este tipo de Entidad, que se apegó al cumplimiento de la Ley de Egresos para el Estado de Nuevo León y demás Ordenamientos aplicables en la materia, excepto por lo mencionado en el apartado V de este Informe</w:t>
      </w:r>
      <w:r w:rsidR="004E5232" w:rsidRPr="002B0DF8">
        <w:rPr>
          <w:rFonts w:ascii="Arial" w:hAnsi="Arial" w:cs="Arial"/>
          <w:sz w:val="24"/>
          <w:szCs w:val="24"/>
        </w:rPr>
        <w:t>.</w:t>
      </w:r>
    </w:p>
    <w:p w:rsidR="00A43E8F" w:rsidRPr="002B0DF8" w:rsidRDefault="00A43E8F" w:rsidP="004E5232">
      <w:pPr>
        <w:spacing w:line="360" w:lineRule="auto"/>
        <w:ind w:firstLine="709"/>
        <w:jc w:val="both"/>
        <w:rPr>
          <w:rFonts w:ascii="Arial" w:hAnsi="Arial" w:cs="Arial"/>
          <w:color w:val="000000" w:themeColor="text1"/>
          <w:sz w:val="24"/>
          <w:szCs w:val="24"/>
        </w:rPr>
      </w:pPr>
      <w:r w:rsidRPr="002B0DF8">
        <w:rPr>
          <w:rFonts w:ascii="Arial" w:hAnsi="Arial" w:cs="Arial"/>
          <w:color w:val="000000" w:themeColor="text1"/>
          <w:sz w:val="24"/>
          <w:szCs w:val="24"/>
        </w:rPr>
        <w:t xml:space="preserve"> </w:t>
      </w:r>
    </w:p>
    <w:p w:rsidR="00A32881" w:rsidRPr="00A73D28" w:rsidRDefault="00A32881" w:rsidP="00A32881">
      <w:pPr>
        <w:pStyle w:val="Textoindependiente"/>
        <w:numPr>
          <w:ilvl w:val="0"/>
          <w:numId w:val="23"/>
        </w:numPr>
        <w:suppressAutoHyphens w:val="0"/>
        <w:ind w:left="360"/>
        <w:rPr>
          <w:rFonts w:ascii="Arial" w:hAnsi="Arial" w:cs="Arial"/>
          <w:b/>
          <w:sz w:val="24"/>
          <w:szCs w:val="24"/>
          <w:lang w:val="es-MX"/>
        </w:rPr>
      </w:pPr>
      <w:r w:rsidRPr="00A73D28">
        <w:rPr>
          <w:rFonts w:ascii="Arial" w:hAnsi="Arial" w:cs="Arial"/>
          <w:b/>
          <w:sz w:val="24"/>
          <w:szCs w:val="24"/>
          <w:lang w:val="es-MX"/>
        </w:rPr>
        <w:t>La evaluación del avance o cumplimiento de los programas y subprogramas aprobados</w:t>
      </w:r>
      <w:r w:rsidR="00807C3F">
        <w:rPr>
          <w:rFonts w:ascii="Arial" w:hAnsi="Arial" w:cs="Arial"/>
          <w:b/>
          <w:sz w:val="24"/>
          <w:szCs w:val="24"/>
          <w:lang w:val="es-MX"/>
        </w:rPr>
        <w:t>.</w:t>
      </w:r>
    </w:p>
    <w:p w:rsidR="00A32881" w:rsidRDefault="00A32881" w:rsidP="00A32881">
      <w:pPr>
        <w:pStyle w:val="Textoindependiente"/>
        <w:rPr>
          <w:rFonts w:ascii="Arial" w:hAnsi="Arial" w:cs="Arial"/>
          <w:sz w:val="24"/>
          <w:szCs w:val="24"/>
          <w:lang w:val="es-MX"/>
        </w:rPr>
      </w:pPr>
    </w:p>
    <w:p w:rsidR="00A32881" w:rsidRDefault="00501C0C" w:rsidP="002B0DF8">
      <w:pPr>
        <w:pStyle w:val="Textoindependiente"/>
        <w:spacing w:line="360" w:lineRule="auto"/>
        <w:ind w:firstLine="708"/>
        <w:rPr>
          <w:rFonts w:ascii="Arial" w:hAnsi="Arial" w:cs="Arial"/>
          <w:sz w:val="24"/>
          <w:szCs w:val="24"/>
          <w:lang w:val="es-MX"/>
        </w:rPr>
      </w:pPr>
      <w:r w:rsidRPr="00EE7547">
        <w:rPr>
          <w:rFonts w:ascii="Arial" w:hAnsi="Arial" w:cs="Arial"/>
          <w:sz w:val="24"/>
          <w:szCs w:val="24"/>
        </w:rPr>
        <w:t>Durante el presente ejercicio el Fideicomiso no determinó ind</w:t>
      </w:r>
      <w:r w:rsidR="00F8371D">
        <w:rPr>
          <w:rFonts w:ascii="Arial" w:hAnsi="Arial" w:cs="Arial"/>
          <w:sz w:val="24"/>
          <w:szCs w:val="24"/>
        </w:rPr>
        <w:t>icadores de gestión.</w:t>
      </w:r>
    </w:p>
    <w:p w:rsidR="004E5232" w:rsidRDefault="004E5232" w:rsidP="00A32881">
      <w:pPr>
        <w:pStyle w:val="Textoindependiente"/>
        <w:rPr>
          <w:rFonts w:ascii="Arial" w:hAnsi="Arial" w:cs="Arial"/>
          <w:sz w:val="24"/>
          <w:szCs w:val="24"/>
          <w:lang w:val="es-MX"/>
        </w:rPr>
      </w:pPr>
    </w:p>
    <w:p w:rsidR="000E716B" w:rsidRDefault="000E716B" w:rsidP="00A32881">
      <w:pPr>
        <w:pStyle w:val="Textoindependiente"/>
        <w:rPr>
          <w:rFonts w:ascii="Arial" w:hAnsi="Arial" w:cs="Arial"/>
          <w:sz w:val="24"/>
          <w:szCs w:val="24"/>
          <w:lang w:val="es-MX"/>
        </w:rPr>
      </w:pPr>
    </w:p>
    <w:p w:rsidR="00C4516F" w:rsidRPr="00A32881" w:rsidRDefault="00A32881" w:rsidP="00A32881">
      <w:pPr>
        <w:pStyle w:val="Prrafodelista"/>
        <w:numPr>
          <w:ilvl w:val="0"/>
          <w:numId w:val="30"/>
        </w:numPr>
        <w:contextualSpacing/>
        <w:jc w:val="both"/>
        <w:rPr>
          <w:rFonts w:ascii="Arial" w:hAnsi="Arial" w:cs="Arial"/>
          <w:sz w:val="24"/>
        </w:rPr>
      </w:pPr>
      <w:r w:rsidRPr="00A32881">
        <w:rPr>
          <w:rFonts w:ascii="Arial" w:eastAsia="Times New Roman" w:hAnsi="Arial" w:cs="Arial"/>
          <w:b/>
          <w:bCs/>
          <w:color w:val="000000"/>
          <w:sz w:val="24"/>
          <w:szCs w:val="24"/>
          <w:lang w:eastAsia="es-MX"/>
        </w:rPr>
        <w:lastRenderedPageBreak/>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eastAsia="Times New Roman" w:hAnsi="Arial" w:cs="Arial"/>
          <w:b/>
          <w:bCs/>
          <w:color w:val="000000"/>
          <w:sz w:val="24"/>
          <w:szCs w:val="24"/>
          <w:lang w:eastAsia="es-MX"/>
        </w:rPr>
        <w:t>.</w:t>
      </w:r>
    </w:p>
    <w:p w:rsidR="004E5232" w:rsidRDefault="004E5232" w:rsidP="00B768B2">
      <w:pPr>
        <w:contextualSpacing/>
        <w:jc w:val="both"/>
        <w:rPr>
          <w:rFonts w:ascii="Arial" w:hAnsi="Arial" w:cs="Arial"/>
          <w:b/>
          <w:sz w:val="24"/>
        </w:rPr>
      </w:pPr>
    </w:p>
    <w:p w:rsidR="00D81C9D" w:rsidRPr="00D81C9D" w:rsidRDefault="00D81C9D" w:rsidP="00D81C9D">
      <w:pPr>
        <w:spacing w:line="360" w:lineRule="auto"/>
        <w:contextualSpacing/>
        <w:jc w:val="both"/>
        <w:rPr>
          <w:rFonts w:ascii="Arial" w:hAnsi="Arial" w:cs="Arial"/>
          <w:b/>
          <w:sz w:val="24"/>
        </w:rPr>
      </w:pPr>
      <w:r w:rsidRPr="00D81C9D">
        <w:rPr>
          <w:rFonts w:ascii="Arial" w:hAnsi="Arial" w:cs="Arial"/>
          <w:b/>
          <w:sz w:val="24"/>
        </w:rPr>
        <w:t>GESTIÓN FINANCIERA</w:t>
      </w:r>
    </w:p>
    <w:p w:rsidR="00D81C9D" w:rsidRPr="00D81C9D" w:rsidRDefault="00D81C9D" w:rsidP="00D81C9D">
      <w:pPr>
        <w:spacing w:line="360" w:lineRule="auto"/>
        <w:contextualSpacing/>
        <w:jc w:val="both"/>
        <w:rPr>
          <w:rFonts w:ascii="Arial" w:hAnsi="Arial" w:cs="Arial"/>
          <w:b/>
          <w:sz w:val="24"/>
        </w:rPr>
      </w:pPr>
      <w:r w:rsidRPr="00D81C9D">
        <w:rPr>
          <w:rFonts w:ascii="Arial" w:hAnsi="Arial" w:cs="Arial"/>
          <w:b/>
          <w:sz w:val="24"/>
        </w:rPr>
        <w:t>Proceso de extinción no concluido</w:t>
      </w:r>
    </w:p>
    <w:p w:rsidR="00D81C9D" w:rsidRDefault="00D81C9D" w:rsidP="00D81C9D">
      <w:pPr>
        <w:spacing w:line="360" w:lineRule="auto"/>
        <w:contextualSpacing/>
        <w:jc w:val="both"/>
        <w:rPr>
          <w:rFonts w:ascii="Arial" w:hAnsi="Arial" w:cs="Arial"/>
          <w:sz w:val="24"/>
        </w:rPr>
      </w:pPr>
      <w:r w:rsidRPr="00D81C9D">
        <w:rPr>
          <w:rFonts w:ascii="Arial" w:hAnsi="Arial" w:cs="Arial"/>
          <w:b/>
          <w:sz w:val="24"/>
        </w:rPr>
        <w:t xml:space="preserve">1. </w:t>
      </w:r>
      <w:r w:rsidRPr="00D81C9D">
        <w:rPr>
          <w:rFonts w:ascii="Arial" w:hAnsi="Arial" w:cs="Arial"/>
          <w:sz w:val="24"/>
        </w:rPr>
        <w:t>El Ente Público fue constituido el 2 de mayo de 1994 me</w:t>
      </w:r>
      <w:r>
        <w:rPr>
          <w:rFonts w:ascii="Arial" w:hAnsi="Arial" w:cs="Arial"/>
          <w:sz w:val="24"/>
        </w:rPr>
        <w:t xml:space="preserve">diante Contrato del Fideicomiso </w:t>
      </w:r>
      <w:r w:rsidRPr="00D81C9D">
        <w:rPr>
          <w:rFonts w:ascii="Arial" w:hAnsi="Arial" w:cs="Arial"/>
          <w:sz w:val="24"/>
        </w:rPr>
        <w:t>Público de Administración y Traslativo de Dominio deno</w:t>
      </w:r>
      <w:r>
        <w:rPr>
          <w:rFonts w:ascii="Arial" w:hAnsi="Arial" w:cs="Arial"/>
          <w:sz w:val="24"/>
        </w:rPr>
        <w:t xml:space="preserve">minado Cuidad Solidaridad según </w:t>
      </w:r>
      <w:r w:rsidRPr="00D81C9D">
        <w:rPr>
          <w:rFonts w:ascii="Arial" w:hAnsi="Arial" w:cs="Arial"/>
          <w:sz w:val="24"/>
        </w:rPr>
        <w:t xml:space="preserve">consta en Escritura Pública 3608. El principal objetivo de </w:t>
      </w:r>
      <w:r>
        <w:rPr>
          <w:rFonts w:ascii="Arial" w:hAnsi="Arial" w:cs="Arial"/>
          <w:sz w:val="24"/>
        </w:rPr>
        <w:t xml:space="preserve">éste, fue consolidar una Ciudad </w:t>
      </w:r>
      <w:r w:rsidRPr="00D81C9D">
        <w:rPr>
          <w:rFonts w:ascii="Arial" w:hAnsi="Arial" w:cs="Arial"/>
          <w:sz w:val="24"/>
        </w:rPr>
        <w:t>que mejore la calidad de vida de sus habitantes a travé</w:t>
      </w:r>
      <w:r>
        <w:rPr>
          <w:rFonts w:ascii="Arial" w:hAnsi="Arial" w:cs="Arial"/>
          <w:sz w:val="24"/>
        </w:rPr>
        <w:t xml:space="preserve">s de la integración urbana y el </w:t>
      </w:r>
      <w:r w:rsidRPr="00D81C9D">
        <w:rPr>
          <w:rFonts w:ascii="Arial" w:hAnsi="Arial" w:cs="Arial"/>
          <w:sz w:val="24"/>
        </w:rPr>
        <w:t>desarrollo social de la comunidad, mediante programas. A par</w:t>
      </w:r>
      <w:r>
        <w:rPr>
          <w:rFonts w:ascii="Arial" w:hAnsi="Arial" w:cs="Arial"/>
          <w:sz w:val="24"/>
        </w:rPr>
        <w:t xml:space="preserve">tir del ejercicio 2005, éste no </w:t>
      </w:r>
      <w:r w:rsidRPr="00D81C9D">
        <w:rPr>
          <w:rFonts w:ascii="Arial" w:hAnsi="Arial" w:cs="Arial"/>
          <w:sz w:val="24"/>
        </w:rPr>
        <w:t>cuenta con personal en nómina y sus obligaciones son cubiertas por el Fideico</w:t>
      </w:r>
      <w:r>
        <w:rPr>
          <w:rFonts w:ascii="Arial" w:hAnsi="Arial" w:cs="Arial"/>
          <w:sz w:val="24"/>
        </w:rPr>
        <w:t xml:space="preserve">miso Fomento </w:t>
      </w:r>
      <w:r w:rsidRPr="00D81C9D">
        <w:rPr>
          <w:rFonts w:ascii="Arial" w:hAnsi="Arial" w:cs="Arial"/>
          <w:sz w:val="24"/>
        </w:rPr>
        <w:t>Metropolitano de Monterrey (Fomerrey), según lo establ</w:t>
      </w:r>
      <w:r>
        <w:rPr>
          <w:rFonts w:ascii="Arial" w:hAnsi="Arial" w:cs="Arial"/>
          <w:sz w:val="24"/>
        </w:rPr>
        <w:t xml:space="preserve">ecido en Acta de Comité Técnico </w:t>
      </w:r>
      <w:r w:rsidRPr="00D81C9D">
        <w:rPr>
          <w:rFonts w:ascii="Arial" w:hAnsi="Arial" w:cs="Arial"/>
          <w:sz w:val="24"/>
        </w:rPr>
        <w:t xml:space="preserve">número 47 del 6 de diciembre de 2004, sin embargo, al </w:t>
      </w:r>
      <w:r>
        <w:rPr>
          <w:rFonts w:ascii="Arial" w:hAnsi="Arial" w:cs="Arial"/>
          <w:sz w:val="24"/>
        </w:rPr>
        <w:t xml:space="preserve">31 de diciembre de 2015 cumplió </w:t>
      </w:r>
      <w:r w:rsidRPr="00D81C9D">
        <w:rPr>
          <w:rFonts w:ascii="Arial" w:hAnsi="Arial" w:cs="Arial"/>
          <w:sz w:val="24"/>
        </w:rPr>
        <w:t>21 años, siguientes a la fecha de su constitución, derivado a lo anteri</w:t>
      </w:r>
      <w:r>
        <w:rPr>
          <w:rFonts w:ascii="Arial" w:hAnsi="Arial" w:cs="Arial"/>
          <w:sz w:val="24"/>
        </w:rPr>
        <w:t xml:space="preserve">or y como resultado </w:t>
      </w:r>
      <w:r w:rsidRPr="00D81C9D">
        <w:rPr>
          <w:rFonts w:ascii="Arial" w:hAnsi="Arial" w:cs="Arial"/>
          <w:sz w:val="24"/>
        </w:rPr>
        <w:t>de nuestra revisión se observa lo siguiente:</w:t>
      </w:r>
    </w:p>
    <w:p w:rsidR="00D81C9D" w:rsidRPr="00D81C9D" w:rsidRDefault="00D81C9D" w:rsidP="00D81C9D">
      <w:pPr>
        <w:spacing w:line="360" w:lineRule="auto"/>
        <w:contextualSpacing/>
        <w:jc w:val="both"/>
        <w:rPr>
          <w:rFonts w:ascii="Arial" w:hAnsi="Arial" w:cs="Arial"/>
          <w:sz w:val="24"/>
        </w:rPr>
      </w:pP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a) Acorde al artículo 392, fracción III de la Ley Gene</w:t>
      </w:r>
      <w:r>
        <w:rPr>
          <w:rFonts w:ascii="Arial" w:hAnsi="Arial" w:cs="Arial"/>
          <w:sz w:val="24"/>
        </w:rPr>
        <w:t xml:space="preserve">ral de Títulos y Operaciones de </w:t>
      </w:r>
      <w:r w:rsidRPr="00D81C9D">
        <w:rPr>
          <w:rFonts w:ascii="Arial" w:hAnsi="Arial" w:cs="Arial"/>
          <w:sz w:val="24"/>
        </w:rPr>
        <w:t>Crédito debió extinguirse;</w:t>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b) El Ente Público no proporcionó ni exhibió evidencia documental que justifiq</w:t>
      </w:r>
      <w:r>
        <w:rPr>
          <w:rFonts w:ascii="Arial" w:hAnsi="Arial" w:cs="Arial"/>
          <w:sz w:val="24"/>
        </w:rPr>
        <w:t xml:space="preserve">ue la </w:t>
      </w:r>
      <w:r w:rsidRPr="00D81C9D">
        <w:rPr>
          <w:rFonts w:ascii="Arial" w:hAnsi="Arial" w:cs="Arial"/>
          <w:sz w:val="24"/>
        </w:rPr>
        <w:t>continuidad de éste;</w:t>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c) Muestra en el Estado de Situación Financiera al 31</w:t>
      </w:r>
      <w:r>
        <w:rPr>
          <w:rFonts w:ascii="Arial" w:hAnsi="Arial" w:cs="Arial"/>
          <w:sz w:val="24"/>
        </w:rPr>
        <w:t xml:space="preserve"> de diciembre de 2015, bienes y </w:t>
      </w:r>
      <w:r w:rsidRPr="00D81C9D">
        <w:rPr>
          <w:rFonts w:ascii="Arial" w:hAnsi="Arial" w:cs="Arial"/>
          <w:sz w:val="24"/>
        </w:rPr>
        <w:t>derechos por valor total de $7,397,097;</w:t>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lastRenderedPageBreak/>
        <w:t>d) Refleja en el Estado de Situación Financi</w:t>
      </w:r>
      <w:r w:rsidR="00590B88">
        <w:rPr>
          <w:rFonts w:ascii="Arial" w:hAnsi="Arial" w:cs="Arial"/>
          <w:sz w:val="24"/>
        </w:rPr>
        <w:t xml:space="preserve">era al 31 de diciembre de 2015, </w:t>
      </w:r>
      <w:r w:rsidRPr="00D81C9D">
        <w:rPr>
          <w:rFonts w:ascii="Arial" w:hAnsi="Arial" w:cs="Arial"/>
          <w:sz w:val="24"/>
        </w:rPr>
        <w:t>obligaciones y compromisos que ascienden a $6,750,352 y</w:t>
      </w:r>
    </w:p>
    <w:p w:rsidR="0020745C" w:rsidRDefault="00D81C9D" w:rsidP="00D81C9D">
      <w:pPr>
        <w:spacing w:line="360" w:lineRule="auto"/>
        <w:contextualSpacing/>
        <w:jc w:val="both"/>
        <w:rPr>
          <w:rFonts w:ascii="Arial" w:hAnsi="Arial" w:cs="Arial"/>
          <w:sz w:val="24"/>
        </w:rPr>
      </w:pPr>
      <w:r w:rsidRPr="00D81C9D">
        <w:rPr>
          <w:rFonts w:ascii="Arial" w:hAnsi="Arial" w:cs="Arial"/>
          <w:sz w:val="24"/>
        </w:rPr>
        <w:t>e) Registró erogaciones de $187,514 por concepto de p</w:t>
      </w:r>
      <w:r w:rsidR="00590B88">
        <w:rPr>
          <w:rFonts w:ascii="Arial" w:hAnsi="Arial" w:cs="Arial"/>
          <w:sz w:val="24"/>
        </w:rPr>
        <w:t xml:space="preserve">agos efectuados a la Fiduciaria </w:t>
      </w:r>
      <w:r w:rsidRPr="00D81C9D">
        <w:rPr>
          <w:rFonts w:ascii="Arial" w:hAnsi="Arial" w:cs="Arial"/>
          <w:sz w:val="24"/>
        </w:rPr>
        <w:t>por la administración y vigilancia del contrato del Fideicomiso.</w:t>
      </w:r>
    </w:p>
    <w:p w:rsidR="00590B88" w:rsidRDefault="00590B88"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Análisis de la Auditoría Superior del Estado</w:t>
      </w:r>
    </w:p>
    <w:p w:rsidR="00D81C9D" w:rsidRDefault="00D81C9D" w:rsidP="00D81C9D">
      <w:pPr>
        <w:spacing w:line="360" w:lineRule="auto"/>
        <w:contextualSpacing/>
        <w:jc w:val="both"/>
        <w:rPr>
          <w:rFonts w:ascii="Arial" w:hAnsi="Arial" w:cs="Arial"/>
          <w:sz w:val="24"/>
        </w:rPr>
      </w:pPr>
      <w:r w:rsidRPr="00D81C9D">
        <w:rPr>
          <w:rFonts w:ascii="Arial" w:hAnsi="Arial" w:cs="Arial"/>
          <w:sz w:val="24"/>
        </w:rPr>
        <w:t>Derivado del análisis de la respuesta y documentación presen</w:t>
      </w:r>
      <w:r w:rsidR="00590B88">
        <w:rPr>
          <w:rFonts w:ascii="Arial" w:hAnsi="Arial" w:cs="Arial"/>
          <w:sz w:val="24"/>
        </w:rPr>
        <w:t xml:space="preserve">tada por el Titular y Extitular </w:t>
      </w:r>
      <w:r w:rsidRPr="00D81C9D">
        <w:rPr>
          <w:rFonts w:ascii="Arial" w:hAnsi="Arial" w:cs="Arial"/>
          <w:sz w:val="24"/>
        </w:rPr>
        <w:t>del Ente Público, se solventa parcialmente lo observado, to</w:t>
      </w:r>
      <w:r w:rsidR="00590B88">
        <w:rPr>
          <w:rFonts w:ascii="Arial" w:hAnsi="Arial" w:cs="Arial"/>
          <w:sz w:val="24"/>
        </w:rPr>
        <w:t xml:space="preserve">da vez que no adjunta evidencia </w:t>
      </w:r>
      <w:r w:rsidRPr="00D81C9D">
        <w:rPr>
          <w:rFonts w:ascii="Arial" w:hAnsi="Arial" w:cs="Arial"/>
          <w:sz w:val="24"/>
        </w:rPr>
        <w:t>documental que demuestren las acciones llevadas a cabo</w:t>
      </w:r>
      <w:r w:rsidR="00590B88">
        <w:rPr>
          <w:rFonts w:ascii="Arial" w:hAnsi="Arial" w:cs="Arial"/>
          <w:sz w:val="24"/>
        </w:rPr>
        <w:t xml:space="preserve"> para gestionar los derechos de </w:t>
      </w:r>
      <w:r w:rsidRPr="00D81C9D">
        <w:rPr>
          <w:rFonts w:ascii="Arial" w:hAnsi="Arial" w:cs="Arial"/>
          <w:sz w:val="24"/>
        </w:rPr>
        <w:t>cobro y cubrir las obligaciones que presenta el Ente Públi</w:t>
      </w:r>
      <w:r w:rsidR="00590B88">
        <w:rPr>
          <w:rFonts w:ascii="Arial" w:hAnsi="Arial" w:cs="Arial"/>
          <w:sz w:val="24"/>
        </w:rPr>
        <w:t xml:space="preserve">co al 31 de diciembre de 2015 y </w:t>
      </w:r>
      <w:r w:rsidRPr="00D81C9D">
        <w:rPr>
          <w:rFonts w:ascii="Arial" w:hAnsi="Arial" w:cs="Arial"/>
          <w:sz w:val="24"/>
        </w:rPr>
        <w:t>justificar la continuidad de éste.</w:t>
      </w:r>
    </w:p>
    <w:p w:rsidR="00590B88" w:rsidRDefault="00590B88" w:rsidP="00D81C9D">
      <w:pPr>
        <w:spacing w:line="360" w:lineRule="auto"/>
        <w:contextualSpacing/>
        <w:jc w:val="both"/>
        <w:rPr>
          <w:rFonts w:ascii="Arial" w:hAnsi="Arial" w:cs="Arial"/>
          <w:sz w:val="24"/>
        </w:rPr>
      </w:pP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 xml:space="preserve">Así mismo, del oficio CS/DAF/015/2015 fechado el 04 de </w:t>
      </w:r>
      <w:r w:rsidR="00590B88">
        <w:rPr>
          <w:rFonts w:ascii="Arial" w:hAnsi="Arial" w:cs="Arial"/>
          <w:sz w:val="24"/>
        </w:rPr>
        <w:t xml:space="preserve">noviembre de 2015, se desprende </w:t>
      </w:r>
      <w:r w:rsidRPr="00D81C9D">
        <w:rPr>
          <w:rFonts w:ascii="Arial" w:hAnsi="Arial" w:cs="Arial"/>
          <w:sz w:val="24"/>
        </w:rPr>
        <w:t>que sus archivos se encuentran desorganizados e incompl</w:t>
      </w:r>
      <w:r w:rsidR="00590B88">
        <w:rPr>
          <w:rFonts w:ascii="Arial" w:hAnsi="Arial" w:cs="Arial"/>
          <w:sz w:val="24"/>
        </w:rPr>
        <w:t xml:space="preserve">etos, lo que demuestra la falta </w:t>
      </w:r>
      <w:r w:rsidRPr="00D81C9D">
        <w:rPr>
          <w:rFonts w:ascii="Arial" w:hAnsi="Arial" w:cs="Arial"/>
          <w:sz w:val="24"/>
        </w:rPr>
        <w:t>de acciones por parte del Ente Público.</w:t>
      </w:r>
    </w:p>
    <w:p w:rsidR="00590B88" w:rsidRDefault="00590B88" w:rsidP="00D81C9D">
      <w:pPr>
        <w:spacing w:line="360" w:lineRule="auto"/>
        <w:contextualSpacing/>
        <w:jc w:val="both"/>
        <w:rPr>
          <w:rFonts w:ascii="Arial" w:hAnsi="Arial" w:cs="Arial"/>
          <w:sz w:val="24"/>
        </w:rPr>
      </w:pPr>
    </w:p>
    <w:p w:rsidR="00D81C9D" w:rsidRPr="00D81C9D" w:rsidRDefault="00F8371D" w:rsidP="00D81C9D">
      <w:pPr>
        <w:spacing w:line="360" w:lineRule="auto"/>
        <w:contextualSpacing/>
        <w:jc w:val="both"/>
        <w:rPr>
          <w:rFonts w:ascii="Arial" w:hAnsi="Arial" w:cs="Arial"/>
          <w:sz w:val="24"/>
        </w:rPr>
      </w:pPr>
      <w:r>
        <w:rPr>
          <w:rFonts w:ascii="Arial" w:hAnsi="Arial" w:cs="Arial"/>
          <w:sz w:val="24"/>
        </w:rPr>
        <w:t>El</w:t>
      </w:r>
      <w:r w:rsidR="00D81C9D" w:rsidRPr="00D81C9D">
        <w:rPr>
          <w:rFonts w:ascii="Arial" w:hAnsi="Arial" w:cs="Arial"/>
          <w:sz w:val="24"/>
        </w:rPr>
        <w:t xml:space="preserve"> Órgano de Fiscalización dará seguimiento en la revisión de la Cuenta Pública 2016.</w:t>
      </w:r>
    </w:p>
    <w:p w:rsidR="00590B88" w:rsidRDefault="00590B88"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Acción(es) o recomendación(es) emitida(s)</w:t>
      </w:r>
    </w:p>
    <w:p w:rsidR="00D81C9D" w:rsidRPr="00590B88" w:rsidRDefault="00D81C9D" w:rsidP="00D81C9D">
      <w:pPr>
        <w:spacing w:line="360" w:lineRule="auto"/>
        <w:contextualSpacing/>
        <w:jc w:val="both"/>
        <w:rPr>
          <w:rFonts w:ascii="Arial" w:hAnsi="Arial" w:cs="Arial"/>
          <w:i/>
          <w:sz w:val="24"/>
        </w:rPr>
      </w:pPr>
      <w:r w:rsidRPr="00590B88">
        <w:rPr>
          <w:rFonts w:ascii="Arial" w:hAnsi="Arial" w:cs="Arial"/>
          <w:i/>
          <w:sz w:val="24"/>
        </w:rPr>
        <w:t>Promoción de Fincamiento de Responsabilidad Administrativa.</w:t>
      </w:r>
    </w:p>
    <w:p w:rsidR="00590B88" w:rsidRDefault="00590B88"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ACTIVO</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t>Activo circulante</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lastRenderedPageBreak/>
        <w:t>Efectivo y equivalentes</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t>Bancos / Tesorería</w:t>
      </w:r>
    </w:p>
    <w:p w:rsidR="00D81C9D" w:rsidRPr="00D81C9D" w:rsidRDefault="00D81C9D" w:rsidP="00D81C9D">
      <w:pPr>
        <w:spacing w:line="360" w:lineRule="auto"/>
        <w:contextualSpacing/>
        <w:jc w:val="both"/>
        <w:rPr>
          <w:rFonts w:ascii="Arial" w:hAnsi="Arial" w:cs="Arial"/>
          <w:sz w:val="24"/>
        </w:rPr>
      </w:pPr>
      <w:r w:rsidRPr="00590B88">
        <w:rPr>
          <w:rFonts w:ascii="Arial" w:hAnsi="Arial" w:cs="Arial"/>
          <w:b/>
          <w:sz w:val="24"/>
        </w:rPr>
        <w:t xml:space="preserve">2. </w:t>
      </w:r>
      <w:r w:rsidRPr="00D81C9D">
        <w:rPr>
          <w:rFonts w:ascii="Arial" w:hAnsi="Arial" w:cs="Arial"/>
          <w:sz w:val="24"/>
        </w:rPr>
        <w:t xml:space="preserve">Al revisar las conciliaciones bancarias al 31 de diciembre de </w:t>
      </w:r>
      <w:r w:rsidR="00590B88">
        <w:rPr>
          <w:rFonts w:ascii="Arial" w:hAnsi="Arial" w:cs="Arial"/>
          <w:sz w:val="24"/>
        </w:rPr>
        <w:t xml:space="preserve">2015, se observaron 12 partidas </w:t>
      </w:r>
      <w:r w:rsidRPr="00D81C9D">
        <w:rPr>
          <w:rFonts w:ascii="Arial" w:hAnsi="Arial" w:cs="Arial"/>
          <w:sz w:val="24"/>
        </w:rPr>
        <w:t>en tránsito en la cuenta bancaria 00048966-000 de Banco Santander (Mé</w:t>
      </w:r>
      <w:r w:rsidR="00590B88">
        <w:rPr>
          <w:rFonts w:ascii="Arial" w:hAnsi="Arial" w:cs="Arial"/>
          <w:sz w:val="24"/>
        </w:rPr>
        <w:t xml:space="preserve">xico), S.A., las </w:t>
      </w:r>
      <w:r w:rsidRPr="00D81C9D">
        <w:rPr>
          <w:rFonts w:ascii="Arial" w:hAnsi="Arial" w:cs="Arial"/>
          <w:sz w:val="24"/>
        </w:rPr>
        <w:t>cuales presentan una antigüedad superior a 14 años, mi</w:t>
      </w:r>
      <w:r w:rsidR="00590B88">
        <w:rPr>
          <w:rFonts w:ascii="Arial" w:hAnsi="Arial" w:cs="Arial"/>
          <w:sz w:val="24"/>
        </w:rPr>
        <w:t xml:space="preserve">smas que no han sido aclaradas, </w:t>
      </w:r>
      <w:r w:rsidRPr="00D81C9D">
        <w:rPr>
          <w:rFonts w:ascii="Arial" w:hAnsi="Arial" w:cs="Arial"/>
          <w:sz w:val="24"/>
        </w:rPr>
        <w:t>ni reconocidas y por lo tanto no registradas en la contabilidad del Ente Público.</w:t>
      </w:r>
    </w:p>
    <w:p w:rsidR="00590B88" w:rsidRDefault="00590B88" w:rsidP="00D81C9D">
      <w:pPr>
        <w:spacing w:line="360" w:lineRule="auto"/>
        <w:contextualSpacing/>
        <w:jc w:val="both"/>
        <w:rPr>
          <w:rFonts w:ascii="Arial" w:hAnsi="Arial" w:cs="Arial"/>
          <w:sz w:val="24"/>
        </w:rPr>
      </w:pPr>
    </w:p>
    <w:p w:rsidR="00D81C9D" w:rsidRDefault="00D81C9D" w:rsidP="00D81C9D">
      <w:pPr>
        <w:spacing w:line="360" w:lineRule="auto"/>
        <w:contextualSpacing/>
        <w:jc w:val="both"/>
        <w:rPr>
          <w:rFonts w:ascii="Arial" w:hAnsi="Arial" w:cs="Arial"/>
          <w:sz w:val="24"/>
        </w:rPr>
      </w:pPr>
      <w:r w:rsidRPr="00D81C9D">
        <w:rPr>
          <w:rFonts w:ascii="Arial" w:hAnsi="Arial" w:cs="Arial"/>
          <w:sz w:val="24"/>
        </w:rPr>
        <w:t>A continuación se muestra su integración:</w:t>
      </w:r>
    </w:p>
    <w:p w:rsidR="00D81C9D" w:rsidRDefault="00D81C9D" w:rsidP="00D81C9D">
      <w:pPr>
        <w:spacing w:line="360" w:lineRule="auto"/>
        <w:contextual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noProof/>
          <w:sz w:val="24"/>
          <w:lang w:val="es-MX" w:eastAsia="es-MX"/>
        </w:rPr>
        <w:drawing>
          <wp:inline distT="0" distB="0" distL="0" distR="0">
            <wp:extent cx="3228340" cy="155765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340" cy="1557655"/>
                    </a:xfrm>
                    <a:prstGeom prst="rect">
                      <a:avLst/>
                    </a:prstGeom>
                    <a:noFill/>
                    <a:ln>
                      <a:noFill/>
                    </a:ln>
                  </pic:spPr>
                </pic:pic>
              </a:graphicData>
            </a:graphic>
          </wp:inline>
        </w:drawing>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(1) Créditos del Banco no correspondidos por el Ente Público.</w:t>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(2) Cargos del Ente Público no correspondidos por el Banco.</w:t>
      </w:r>
    </w:p>
    <w:p w:rsidR="00D81C9D" w:rsidRDefault="00D81C9D" w:rsidP="00D81C9D">
      <w:pPr>
        <w:spacing w:line="360" w:lineRule="auto"/>
        <w:contextualSpacing/>
        <w:jc w:val="both"/>
        <w:rPr>
          <w:rFonts w:ascii="Arial" w:hAnsi="Arial" w:cs="Arial"/>
          <w:sz w:val="24"/>
        </w:rPr>
      </w:pPr>
      <w:r w:rsidRPr="00D81C9D">
        <w:rPr>
          <w:rFonts w:ascii="Arial" w:hAnsi="Arial" w:cs="Arial"/>
          <w:sz w:val="24"/>
        </w:rPr>
        <w:t>(3) Créditos del Ente Público no correspondidos por el Banco.</w:t>
      </w:r>
    </w:p>
    <w:p w:rsidR="00D81C9D" w:rsidRDefault="00D81C9D" w:rsidP="00D81C9D">
      <w:pPr>
        <w:spacing w:line="360" w:lineRule="auto"/>
        <w:contextualSpacing/>
        <w:jc w:val="both"/>
        <w:rPr>
          <w:rFonts w:ascii="Arial" w:hAnsi="Arial" w:cs="Arial"/>
          <w:sz w:val="24"/>
        </w:rPr>
      </w:pPr>
    </w:p>
    <w:p w:rsidR="00D81C9D" w:rsidRDefault="00D81C9D" w:rsidP="00D81C9D">
      <w:pPr>
        <w:spacing w:line="360" w:lineRule="auto"/>
        <w:contextualSpacing/>
        <w:jc w:val="both"/>
        <w:rPr>
          <w:rFonts w:ascii="Arial" w:hAnsi="Arial" w:cs="Arial"/>
          <w:sz w:val="24"/>
        </w:rPr>
      </w:pPr>
      <w:r w:rsidRPr="00D81C9D">
        <w:rPr>
          <w:rFonts w:ascii="Arial" w:hAnsi="Arial" w:cs="Arial"/>
          <w:sz w:val="24"/>
        </w:rPr>
        <w:t xml:space="preserve">Cabe señalar que esta observación es reincidente en </w:t>
      </w:r>
      <w:r w:rsidR="00590B88">
        <w:rPr>
          <w:rFonts w:ascii="Arial" w:hAnsi="Arial" w:cs="Arial"/>
          <w:sz w:val="24"/>
        </w:rPr>
        <w:t xml:space="preserve">relación a la Cuenta Pública de </w:t>
      </w:r>
      <w:r w:rsidRPr="00D81C9D">
        <w:rPr>
          <w:rFonts w:ascii="Arial" w:hAnsi="Arial" w:cs="Arial"/>
          <w:sz w:val="24"/>
        </w:rPr>
        <w:t>ejercicios anteriores.</w:t>
      </w:r>
    </w:p>
    <w:p w:rsidR="00D81C9D" w:rsidRDefault="00D81C9D"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Acción(es) o recomendación(es) emitida(s)</w:t>
      </w:r>
    </w:p>
    <w:p w:rsidR="00D81C9D" w:rsidRPr="00590B88" w:rsidRDefault="00D81C9D" w:rsidP="00D81C9D">
      <w:pPr>
        <w:spacing w:line="360" w:lineRule="auto"/>
        <w:contextualSpacing/>
        <w:jc w:val="both"/>
        <w:rPr>
          <w:rFonts w:ascii="Arial" w:hAnsi="Arial" w:cs="Arial"/>
          <w:i/>
          <w:sz w:val="24"/>
        </w:rPr>
      </w:pPr>
      <w:r w:rsidRPr="00590B88">
        <w:rPr>
          <w:rFonts w:ascii="Arial" w:hAnsi="Arial" w:cs="Arial"/>
          <w:i/>
          <w:sz w:val="24"/>
        </w:rPr>
        <w:t>Recomendaciones en Relación a la Gestión o Control Interno.</w:t>
      </w:r>
    </w:p>
    <w:p w:rsidR="00590B88" w:rsidRDefault="00590B88"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lastRenderedPageBreak/>
        <w:t>Derechos a recibir efectivo o equivalentes</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t>Deudores diversos por cobrar a corto plazo</w:t>
      </w:r>
    </w:p>
    <w:p w:rsidR="00D81C9D" w:rsidRPr="00D81C9D" w:rsidRDefault="00D81C9D" w:rsidP="00D81C9D">
      <w:pPr>
        <w:spacing w:line="360" w:lineRule="auto"/>
        <w:contextualSpacing/>
        <w:jc w:val="both"/>
        <w:rPr>
          <w:rFonts w:ascii="Arial" w:hAnsi="Arial" w:cs="Arial"/>
          <w:sz w:val="24"/>
        </w:rPr>
      </w:pPr>
      <w:r w:rsidRPr="00590B88">
        <w:rPr>
          <w:rFonts w:ascii="Arial" w:hAnsi="Arial" w:cs="Arial"/>
          <w:b/>
          <w:sz w:val="24"/>
        </w:rPr>
        <w:t>3.</w:t>
      </w:r>
      <w:r w:rsidRPr="00D81C9D">
        <w:rPr>
          <w:rFonts w:ascii="Arial" w:hAnsi="Arial" w:cs="Arial"/>
          <w:sz w:val="24"/>
        </w:rPr>
        <w:t xml:space="preserve"> Como resultado de nuestra revisión al rubro de Derechos a r</w:t>
      </w:r>
      <w:r w:rsidR="00590B88">
        <w:rPr>
          <w:rFonts w:ascii="Arial" w:hAnsi="Arial" w:cs="Arial"/>
          <w:sz w:val="24"/>
        </w:rPr>
        <w:t xml:space="preserve">ecibir efectivo o equivalentes, </w:t>
      </w:r>
      <w:r w:rsidRPr="00D81C9D">
        <w:rPr>
          <w:rFonts w:ascii="Arial" w:hAnsi="Arial" w:cs="Arial"/>
          <w:sz w:val="24"/>
        </w:rPr>
        <w:t>observamos que el Ente Público no proporcionó ni e</w:t>
      </w:r>
      <w:r w:rsidR="00590B88">
        <w:rPr>
          <w:rFonts w:ascii="Arial" w:hAnsi="Arial" w:cs="Arial"/>
          <w:sz w:val="24"/>
        </w:rPr>
        <w:t xml:space="preserve">xhibió evidencia documental que </w:t>
      </w:r>
      <w:r w:rsidRPr="00D81C9D">
        <w:rPr>
          <w:rFonts w:ascii="Arial" w:hAnsi="Arial" w:cs="Arial"/>
          <w:sz w:val="24"/>
        </w:rPr>
        <w:t>compruebe y justifique las gestiones de cobro realizadas para recuperar el saldo por</w:t>
      </w:r>
      <w:r>
        <w:rPr>
          <w:rFonts w:ascii="Arial" w:hAnsi="Arial" w:cs="Arial"/>
          <w:sz w:val="24"/>
        </w:rPr>
        <w:t xml:space="preserve"> </w:t>
      </w:r>
      <w:r w:rsidRPr="00D81C9D">
        <w:rPr>
          <w:rFonts w:ascii="Arial" w:hAnsi="Arial" w:cs="Arial"/>
          <w:sz w:val="24"/>
        </w:rPr>
        <w:t>$1,096,857 a cargo de la Secretaría de Finanzas y Tesorer</w:t>
      </w:r>
      <w:r w:rsidR="00590B88">
        <w:rPr>
          <w:rFonts w:ascii="Arial" w:hAnsi="Arial" w:cs="Arial"/>
          <w:sz w:val="24"/>
        </w:rPr>
        <w:t xml:space="preserve">ía General del Estado, toda vez </w:t>
      </w:r>
      <w:r w:rsidRPr="00D81C9D">
        <w:rPr>
          <w:rFonts w:ascii="Arial" w:hAnsi="Arial" w:cs="Arial"/>
          <w:sz w:val="24"/>
        </w:rPr>
        <w:t>que presenta una antigüedad de 6 años, correspondiente</w:t>
      </w:r>
      <w:r w:rsidR="00590B88">
        <w:rPr>
          <w:rFonts w:ascii="Arial" w:hAnsi="Arial" w:cs="Arial"/>
          <w:sz w:val="24"/>
        </w:rPr>
        <w:t xml:space="preserve"> a una fianza cuyo recurso ésta </w:t>
      </w:r>
      <w:r w:rsidRPr="00D81C9D">
        <w:rPr>
          <w:rFonts w:ascii="Arial" w:hAnsi="Arial" w:cs="Arial"/>
          <w:sz w:val="24"/>
        </w:rPr>
        <w:t>hizo efectiva, según oficio del 24 de septiembre de 2009.</w:t>
      </w:r>
    </w:p>
    <w:p w:rsidR="00590B88" w:rsidRDefault="00590B88" w:rsidP="00D81C9D">
      <w:pPr>
        <w:spacing w:line="360" w:lineRule="auto"/>
        <w:contextualSpacing/>
        <w:jc w:val="both"/>
        <w:rPr>
          <w:rFonts w:ascii="Arial" w:hAnsi="Arial" w:cs="Arial"/>
          <w:sz w:val="24"/>
        </w:rPr>
      </w:pPr>
    </w:p>
    <w:p w:rsidR="00D81C9D" w:rsidRDefault="00D81C9D" w:rsidP="00D81C9D">
      <w:pPr>
        <w:spacing w:line="360" w:lineRule="auto"/>
        <w:contextualSpacing/>
        <w:jc w:val="both"/>
        <w:rPr>
          <w:rFonts w:ascii="Arial" w:hAnsi="Arial" w:cs="Arial"/>
          <w:sz w:val="24"/>
        </w:rPr>
      </w:pPr>
      <w:r w:rsidRPr="00D81C9D">
        <w:rPr>
          <w:rFonts w:ascii="Arial" w:hAnsi="Arial" w:cs="Arial"/>
          <w:sz w:val="24"/>
        </w:rPr>
        <w:t xml:space="preserve">Cabe señalar que esta observación es reincidente en relación a la </w:t>
      </w:r>
      <w:r w:rsidR="00590B88">
        <w:rPr>
          <w:rFonts w:ascii="Arial" w:hAnsi="Arial" w:cs="Arial"/>
          <w:sz w:val="24"/>
        </w:rPr>
        <w:t xml:space="preserve">Cuenta Pública de </w:t>
      </w:r>
      <w:r w:rsidRPr="00D81C9D">
        <w:rPr>
          <w:rFonts w:ascii="Arial" w:hAnsi="Arial" w:cs="Arial"/>
          <w:sz w:val="24"/>
        </w:rPr>
        <w:t>ejercicios anteriores.</w:t>
      </w:r>
    </w:p>
    <w:p w:rsidR="00D81C9D" w:rsidRDefault="00D81C9D"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Análisis de la Auditoría Superior del Estado</w:t>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Derivado del análisis de la respuesta y documentación presentada por el Titular y Extitular</w:t>
      </w:r>
      <w:r w:rsidR="00590B88">
        <w:rPr>
          <w:rFonts w:ascii="Arial" w:hAnsi="Arial" w:cs="Arial"/>
          <w:sz w:val="24"/>
        </w:rPr>
        <w:t xml:space="preserve"> </w:t>
      </w:r>
      <w:r w:rsidRPr="00D81C9D">
        <w:rPr>
          <w:rFonts w:ascii="Arial" w:hAnsi="Arial" w:cs="Arial"/>
          <w:sz w:val="24"/>
        </w:rPr>
        <w:t>del Ente Público, se solventa parcialmente lo observado,</w:t>
      </w:r>
      <w:r w:rsidR="00590B88">
        <w:rPr>
          <w:rFonts w:ascii="Arial" w:hAnsi="Arial" w:cs="Arial"/>
          <w:sz w:val="24"/>
        </w:rPr>
        <w:t xml:space="preserve"> toda vez que si bien continúan </w:t>
      </w:r>
      <w:r w:rsidRPr="00D81C9D">
        <w:rPr>
          <w:rFonts w:ascii="Arial" w:hAnsi="Arial" w:cs="Arial"/>
          <w:sz w:val="24"/>
        </w:rPr>
        <w:t>realizando gestiones de cobro, no han contemplado acciones alternativas para</w:t>
      </w:r>
      <w:r w:rsidR="00590B88">
        <w:rPr>
          <w:rFonts w:ascii="Arial" w:hAnsi="Arial" w:cs="Arial"/>
          <w:sz w:val="24"/>
        </w:rPr>
        <w:t xml:space="preserve"> recuperar </w:t>
      </w:r>
      <w:r w:rsidRPr="00D81C9D">
        <w:rPr>
          <w:rFonts w:ascii="Arial" w:hAnsi="Arial" w:cs="Arial"/>
          <w:sz w:val="24"/>
        </w:rPr>
        <w:t>este saldo; es de comentarse que esta observación ya</w:t>
      </w:r>
      <w:r w:rsidR="00590B88">
        <w:rPr>
          <w:rFonts w:ascii="Arial" w:hAnsi="Arial" w:cs="Arial"/>
          <w:sz w:val="24"/>
        </w:rPr>
        <w:t xml:space="preserve"> ha sido señalada en revisiones </w:t>
      </w:r>
      <w:r w:rsidRPr="00D81C9D">
        <w:rPr>
          <w:rFonts w:ascii="Arial" w:hAnsi="Arial" w:cs="Arial"/>
          <w:sz w:val="24"/>
        </w:rPr>
        <w:t>anteriores, por lo que reviste gran importancia buscar otras alternativas de recuperación.</w:t>
      </w:r>
    </w:p>
    <w:p w:rsidR="00590B88" w:rsidRDefault="00590B88" w:rsidP="00D81C9D">
      <w:pPr>
        <w:spacing w:line="360" w:lineRule="auto"/>
        <w:contextualSpacing/>
        <w:jc w:val="both"/>
        <w:rPr>
          <w:rFonts w:ascii="Arial" w:hAnsi="Arial" w:cs="Arial"/>
          <w:sz w:val="24"/>
        </w:rPr>
      </w:pPr>
    </w:p>
    <w:p w:rsidR="00D81C9D" w:rsidRPr="00D81C9D" w:rsidRDefault="00F8371D" w:rsidP="00D81C9D">
      <w:pPr>
        <w:spacing w:line="360" w:lineRule="auto"/>
        <w:contextualSpacing/>
        <w:jc w:val="both"/>
        <w:rPr>
          <w:rFonts w:ascii="Arial" w:hAnsi="Arial" w:cs="Arial"/>
          <w:sz w:val="24"/>
        </w:rPr>
      </w:pPr>
      <w:r>
        <w:rPr>
          <w:rFonts w:ascii="Arial" w:hAnsi="Arial" w:cs="Arial"/>
          <w:sz w:val="24"/>
        </w:rPr>
        <w:t xml:space="preserve">El </w:t>
      </w:r>
      <w:r w:rsidR="00D81C9D" w:rsidRPr="00D81C9D">
        <w:rPr>
          <w:rFonts w:ascii="Arial" w:hAnsi="Arial" w:cs="Arial"/>
          <w:sz w:val="24"/>
        </w:rPr>
        <w:t>Órgano de Fiscalización dará seguimiento en la revisión de la Cuenta Pública 2016.</w:t>
      </w:r>
    </w:p>
    <w:p w:rsidR="00590B88" w:rsidRDefault="00590B88"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lastRenderedPageBreak/>
        <w:t>Acción(es) o recomendación(es) emitida(s)</w:t>
      </w:r>
    </w:p>
    <w:p w:rsidR="00D81C9D" w:rsidRPr="00590B88" w:rsidRDefault="00D81C9D" w:rsidP="00D81C9D">
      <w:pPr>
        <w:spacing w:line="360" w:lineRule="auto"/>
        <w:contextualSpacing/>
        <w:jc w:val="both"/>
        <w:rPr>
          <w:rFonts w:ascii="Arial" w:hAnsi="Arial" w:cs="Arial"/>
          <w:i/>
          <w:sz w:val="24"/>
        </w:rPr>
      </w:pPr>
      <w:r w:rsidRPr="00590B88">
        <w:rPr>
          <w:rFonts w:ascii="Arial" w:hAnsi="Arial" w:cs="Arial"/>
          <w:i/>
          <w:sz w:val="24"/>
        </w:rPr>
        <w:t>Recomendaciones en Relación a la Gestión o Control Interno.</w:t>
      </w:r>
    </w:p>
    <w:p w:rsidR="00D81C9D" w:rsidRDefault="00D81C9D"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PASIVO</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t>Pasivo circulante</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t>Cuentas por pagar a corto plazo</w:t>
      </w:r>
    </w:p>
    <w:p w:rsidR="00D81C9D" w:rsidRPr="00590B88" w:rsidRDefault="00D81C9D" w:rsidP="00D81C9D">
      <w:pPr>
        <w:spacing w:line="360" w:lineRule="auto"/>
        <w:contextualSpacing/>
        <w:jc w:val="both"/>
        <w:rPr>
          <w:rFonts w:ascii="Arial" w:hAnsi="Arial" w:cs="Arial"/>
          <w:b/>
          <w:sz w:val="24"/>
          <w:u w:val="single"/>
        </w:rPr>
      </w:pPr>
      <w:r w:rsidRPr="00590B88">
        <w:rPr>
          <w:rFonts w:ascii="Arial" w:hAnsi="Arial" w:cs="Arial"/>
          <w:b/>
          <w:sz w:val="24"/>
          <w:u w:val="single"/>
        </w:rPr>
        <w:t>Otras cuentas por pagar a corto plazo</w:t>
      </w:r>
    </w:p>
    <w:p w:rsidR="00D81C9D" w:rsidRPr="00D81C9D" w:rsidRDefault="00D81C9D" w:rsidP="00D81C9D">
      <w:pPr>
        <w:spacing w:line="360" w:lineRule="auto"/>
        <w:contextualSpacing/>
        <w:jc w:val="both"/>
        <w:rPr>
          <w:rFonts w:ascii="Arial" w:hAnsi="Arial" w:cs="Arial"/>
          <w:sz w:val="24"/>
        </w:rPr>
      </w:pPr>
      <w:r w:rsidRPr="00590B88">
        <w:rPr>
          <w:rFonts w:ascii="Arial" w:hAnsi="Arial" w:cs="Arial"/>
          <w:b/>
          <w:sz w:val="24"/>
        </w:rPr>
        <w:t xml:space="preserve">4. </w:t>
      </w:r>
      <w:r w:rsidRPr="00D81C9D">
        <w:rPr>
          <w:rFonts w:ascii="Arial" w:hAnsi="Arial" w:cs="Arial"/>
          <w:sz w:val="24"/>
        </w:rPr>
        <w:t>El Ente Público refleja al 31 de diciembre de 2015, una</w:t>
      </w:r>
      <w:r w:rsidR="00590B88">
        <w:rPr>
          <w:rFonts w:ascii="Arial" w:hAnsi="Arial" w:cs="Arial"/>
          <w:sz w:val="24"/>
        </w:rPr>
        <w:t xml:space="preserve"> Cuenta por pagar a corto plazo </w:t>
      </w:r>
      <w:r w:rsidRPr="00D81C9D">
        <w:rPr>
          <w:rFonts w:ascii="Arial" w:hAnsi="Arial" w:cs="Arial"/>
          <w:sz w:val="24"/>
        </w:rPr>
        <w:t>de $6,734,691 que presenta una antigüedad de 21 años</w:t>
      </w:r>
      <w:r w:rsidR="00590B88">
        <w:rPr>
          <w:rFonts w:ascii="Arial" w:hAnsi="Arial" w:cs="Arial"/>
          <w:sz w:val="24"/>
        </w:rPr>
        <w:t xml:space="preserve"> a favor de Servicios de Agua y </w:t>
      </w:r>
      <w:r w:rsidRPr="00D81C9D">
        <w:rPr>
          <w:rFonts w:ascii="Arial" w:hAnsi="Arial" w:cs="Arial"/>
          <w:sz w:val="24"/>
        </w:rPr>
        <w:t>Drenaje de Monterrey, I.P.D., determinada por la colaboració</w:t>
      </w:r>
      <w:r w:rsidR="00590B88">
        <w:rPr>
          <w:rFonts w:ascii="Arial" w:hAnsi="Arial" w:cs="Arial"/>
          <w:sz w:val="24"/>
        </w:rPr>
        <w:t xml:space="preserve">n de éste en la construcción de </w:t>
      </w:r>
      <w:r w:rsidRPr="00D81C9D">
        <w:rPr>
          <w:rFonts w:ascii="Arial" w:hAnsi="Arial" w:cs="Arial"/>
          <w:sz w:val="24"/>
        </w:rPr>
        <w:t>un colector y emisor de drenaje sanitario denominado "soli</w:t>
      </w:r>
      <w:r w:rsidR="00590B88">
        <w:rPr>
          <w:rFonts w:ascii="Arial" w:hAnsi="Arial" w:cs="Arial"/>
          <w:sz w:val="24"/>
        </w:rPr>
        <w:t xml:space="preserve">daridad" de acuerdo al convenio </w:t>
      </w:r>
      <w:r w:rsidRPr="00D81C9D">
        <w:rPr>
          <w:rFonts w:ascii="Arial" w:hAnsi="Arial" w:cs="Arial"/>
          <w:sz w:val="24"/>
        </w:rPr>
        <w:t xml:space="preserve">celebrado el 22 de abril de 1994, sin embargo, no ha sido liquidada dicha </w:t>
      </w:r>
      <w:r w:rsidR="00590B88">
        <w:rPr>
          <w:rFonts w:ascii="Arial" w:hAnsi="Arial" w:cs="Arial"/>
          <w:sz w:val="24"/>
        </w:rPr>
        <w:t xml:space="preserve">obligación, </w:t>
      </w:r>
      <w:r w:rsidRPr="00D81C9D">
        <w:rPr>
          <w:rFonts w:ascii="Arial" w:hAnsi="Arial" w:cs="Arial"/>
          <w:sz w:val="24"/>
        </w:rPr>
        <w:t>incumpliendo con lo establecido en el artículo 1156 del Código Civil para el Estado de Nuevo</w:t>
      </w:r>
      <w:r w:rsidR="00590B88">
        <w:rPr>
          <w:rFonts w:ascii="Arial" w:hAnsi="Arial" w:cs="Arial"/>
          <w:sz w:val="24"/>
        </w:rPr>
        <w:t xml:space="preserve"> </w:t>
      </w:r>
      <w:r w:rsidRPr="00D81C9D">
        <w:rPr>
          <w:rFonts w:ascii="Arial" w:hAnsi="Arial" w:cs="Arial"/>
          <w:sz w:val="24"/>
        </w:rPr>
        <w:t>León, el cual establece: "Fuera de los casos de excepción, se necesita el lapso de diez</w:t>
      </w:r>
      <w:r w:rsidR="00590B88">
        <w:rPr>
          <w:rFonts w:ascii="Arial" w:hAnsi="Arial" w:cs="Arial"/>
          <w:sz w:val="24"/>
        </w:rPr>
        <w:t xml:space="preserve"> </w:t>
      </w:r>
      <w:r w:rsidRPr="00D81C9D">
        <w:rPr>
          <w:rFonts w:ascii="Arial" w:hAnsi="Arial" w:cs="Arial"/>
          <w:sz w:val="24"/>
        </w:rPr>
        <w:t>años, contados desde que una obligación puede exigirse, para qu</w:t>
      </w:r>
      <w:r w:rsidR="00590B88">
        <w:rPr>
          <w:rFonts w:ascii="Arial" w:hAnsi="Arial" w:cs="Arial"/>
          <w:sz w:val="24"/>
        </w:rPr>
        <w:t xml:space="preserve">e se extinga el derecho </w:t>
      </w:r>
      <w:r w:rsidRPr="00D81C9D">
        <w:rPr>
          <w:rFonts w:ascii="Arial" w:hAnsi="Arial" w:cs="Arial"/>
          <w:sz w:val="24"/>
        </w:rPr>
        <w:t>de pedir su cumplimiento."</w:t>
      </w:r>
    </w:p>
    <w:p w:rsidR="00590B88" w:rsidRDefault="00590B88" w:rsidP="00D81C9D">
      <w:pPr>
        <w:spacing w:line="360" w:lineRule="auto"/>
        <w:contextualSpacing/>
        <w:jc w:val="both"/>
        <w:rPr>
          <w:rFonts w:ascii="Arial" w:hAnsi="Arial" w:cs="Arial"/>
          <w:sz w:val="24"/>
        </w:rPr>
      </w:pPr>
    </w:p>
    <w:p w:rsidR="00D81C9D" w:rsidRDefault="00D81C9D" w:rsidP="00D81C9D">
      <w:pPr>
        <w:spacing w:line="360" w:lineRule="auto"/>
        <w:contextualSpacing/>
        <w:jc w:val="both"/>
        <w:rPr>
          <w:rFonts w:ascii="Arial" w:hAnsi="Arial" w:cs="Arial"/>
          <w:sz w:val="24"/>
        </w:rPr>
      </w:pPr>
      <w:r w:rsidRPr="00D81C9D">
        <w:rPr>
          <w:rFonts w:ascii="Arial" w:hAnsi="Arial" w:cs="Arial"/>
          <w:sz w:val="24"/>
        </w:rPr>
        <w:t>Esta observación es reincidente en relación a la Cuenta Pública de ejercicios anteriores.</w:t>
      </w:r>
    </w:p>
    <w:p w:rsidR="00D81C9D" w:rsidRDefault="00D81C9D"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Análisis de la Auditoría Superior del Estado</w:t>
      </w:r>
    </w:p>
    <w:p w:rsidR="00D81C9D" w:rsidRPr="00D81C9D" w:rsidRDefault="00D81C9D" w:rsidP="00D81C9D">
      <w:pPr>
        <w:spacing w:line="360" w:lineRule="auto"/>
        <w:contextualSpacing/>
        <w:jc w:val="both"/>
        <w:rPr>
          <w:rFonts w:ascii="Arial" w:hAnsi="Arial" w:cs="Arial"/>
          <w:sz w:val="24"/>
        </w:rPr>
      </w:pPr>
      <w:r w:rsidRPr="00D81C9D">
        <w:rPr>
          <w:rFonts w:ascii="Arial" w:hAnsi="Arial" w:cs="Arial"/>
          <w:sz w:val="24"/>
        </w:rPr>
        <w:t>Derivado del análisis de la respuesta y documentación pre</w:t>
      </w:r>
      <w:r w:rsidR="00590B88">
        <w:rPr>
          <w:rFonts w:ascii="Arial" w:hAnsi="Arial" w:cs="Arial"/>
          <w:sz w:val="24"/>
        </w:rPr>
        <w:t xml:space="preserve">sentada por Titular y Extitular </w:t>
      </w:r>
      <w:r w:rsidRPr="00D81C9D">
        <w:rPr>
          <w:rFonts w:ascii="Arial" w:hAnsi="Arial" w:cs="Arial"/>
          <w:sz w:val="24"/>
        </w:rPr>
        <w:t>del Ente Público, se solventa parcialmente, toda vez que no se han contemplado ac</w:t>
      </w:r>
      <w:r w:rsidR="00590B88">
        <w:rPr>
          <w:rFonts w:ascii="Arial" w:hAnsi="Arial" w:cs="Arial"/>
          <w:sz w:val="24"/>
        </w:rPr>
        <w:t xml:space="preserve">ciones </w:t>
      </w:r>
      <w:r w:rsidRPr="00D81C9D">
        <w:rPr>
          <w:rFonts w:ascii="Arial" w:hAnsi="Arial" w:cs="Arial"/>
          <w:sz w:val="24"/>
        </w:rPr>
        <w:t xml:space="preserve">alternativas al envío de oficios a la Secretaría de </w:t>
      </w:r>
      <w:r w:rsidRPr="00D81C9D">
        <w:rPr>
          <w:rFonts w:ascii="Arial" w:hAnsi="Arial" w:cs="Arial"/>
          <w:sz w:val="24"/>
        </w:rPr>
        <w:lastRenderedPageBreak/>
        <w:t xml:space="preserve">Finanzas </w:t>
      </w:r>
      <w:r w:rsidR="00590B88">
        <w:rPr>
          <w:rFonts w:ascii="Arial" w:hAnsi="Arial" w:cs="Arial"/>
          <w:sz w:val="24"/>
        </w:rPr>
        <w:t xml:space="preserve">y Tesorería General del Estado, </w:t>
      </w:r>
      <w:r w:rsidRPr="00D81C9D">
        <w:rPr>
          <w:rFonts w:ascii="Arial" w:hAnsi="Arial" w:cs="Arial"/>
          <w:sz w:val="24"/>
        </w:rPr>
        <w:t>a fin de obtener los recursos financieros necesarios para cumplir con este pasivo.</w:t>
      </w:r>
    </w:p>
    <w:p w:rsidR="00590B88" w:rsidRDefault="00590B88" w:rsidP="00D81C9D">
      <w:pPr>
        <w:spacing w:line="360" w:lineRule="auto"/>
        <w:contextualSpacing/>
        <w:jc w:val="both"/>
        <w:rPr>
          <w:rFonts w:ascii="Arial" w:hAnsi="Arial" w:cs="Arial"/>
          <w:sz w:val="24"/>
        </w:rPr>
      </w:pPr>
    </w:p>
    <w:p w:rsidR="00D81C9D" w:rsidRPr="00D81C9D" w:rsidRDefault="00F8371D" w:rsidP="00D81C9D">
      <w:pPr>
        <w:spacing w:line="360" w:lineRule="auto"/>
        <w:contextualSpacing/>
        <w:jc w:val="both"/>
        <w:rPr>
          <w:rFonts w:ascii="Arial" w:hAnsi="Arial" w:cs="Arial"/>
          <w:sz w:val="24"/>
        </w:rPr>
      </w:pPr>
      <w:r>
        <w:rPr>
          <w:rFonts w:ascii="Arial" w:hAnsi="Arial" w:cs="Arial"/>
          <w:sz w:val="24"/>
        </w:rPr>
        <w:t>El</w:t>
      </w:r>
      <w:r w:rsidR="00D81C9D" w:rsidRPr="00D81C9D">
        <w:rPr>
          <w:rFonts w:ascii="Arial" w:hAnsi="Arial" w:cs="Arial"/>
          <w:sz w:val="24"/>
        </w:rPr>
        <w:t xml:space="preserve"> Órgano de Fiscalización dará seguimiento en la revisión de la Cuenta Pública 2016.</w:t>
      </w:r>
    </w:p>
    <w:p w:rsidR="00590B88" w:rsidRDefault="00590B88" w:rsidP="00D81C9D">
      <w:pPr>
        <w:spacing w:line="360" w:lineRule="auto"/>
        <w:contextualSpacing/>
        <w:jc w:val="both"/>
        <w:rPr>
          <w:rFonts w:ascii="Arial" w:hAnsi="Arial" w:cs="Arial"/>
          <w:sz w:val="24"/>
        </w:rPr>
      </w:pPr>
    </w:p>
    <w:p w:rsidR="00D81C9D" w:rsidRPr="00590B88" w:rsidRDefault="00D81C9D" w:rsidP="00D81C9D">
      <w:pPr>
        <w:spacing w:line="360" w:lineRule="auto"/>
        <w:contextualSpacing/>
        <w:jc w:val="both"/>
        <w:rPr>
          <w:rFonts w:ascii="Arial" w:hAnsi="Arial" w:cs="Arial"/>
          <w:b/>
          <w:sz w:val="24"/>
        </w:rPr>
      </w:pPr>
      <w:r w:rsidRPr="00590B88">
        <w:rPr>
          <w:rFonts w:ascii="Arial" w:hAnsi="Arial" w:cs="Arial"/>
          <w:b/>
          <w:sz w:val="24"/>
        </w:rPr>
        <w:t>Acción(es) o recomendación(es) emitida(s)</w:t>
      </w:r>
    </w:p>
    <w:p w:rsidR="00D81C9D" w:rsidRPr="00590B88" w:rsidRDefault="00D81C9D" w:rsidP="00D81C9D">
      <w:pPr>
        <w:spacing w:line="360" w:lineRule="auto"/>
        <w:contextualSpacing/>
        <w:jc w:val="both"/>
        <w:rPr>
          <w:rFonts w:ascii="Arial" w:hAnsi="Arial" w:cs="Arial"/>
          <w:i/>
          <w:sz w:val="24"/>
        </w:rPr>
      </w:pPr>
      <w:r w:rsidRPr="00590B88">
        <w:rPr>
          <w:rFonts w:ascii="Arial" w:hAnsi="Arial" w:cs="Arial"/>
          <w:i/>
          <w:sz w:val="24"/>
        </w:rPr>
        <w:t xml:space="preserve">Recomendaciones en Relación </w:t>
      </w:r>
      <w:r w:rsidR="00590B88">
        <w:rPr>
          <w:rFonts w:ascii="Arial" w:hAnsi="Arial" w:cs="Arial"/>
          <w:i/>
          <w:sz w:val="24"/>
        </w:rPr>
        <w:t>a la Gestión o Control Interno.</w:t>
      </w:r>
    </w:p>
    <w:p w:rsidR="009C0345" w:rsidRPr="008425A2" w:rsidRDefault="009C0345" w:rsidP="008425A2">
      <w:pPr>
        <w:pStyle w:val="Prrafodelista"/>
        <w:numPr>
          <w:ilvl w:val="0"/>
          <w:numId w:val="30"/>
        </w:numPr>
        <w:spacing w:after="0"/>
        <w:contextualSpacing/>
        <w:jc w:val="both"/>
        <w:rPr>
          <w:rFonts w:ascii="Arial" w:hAnsi="Arial" w:cs="Arial"/>
          <w:b/>
          <w:sz w:val="24"/>
        </w:rPr>
      </w:pPr>
      <w:r w:rsidRPr="008425A2">
        <w:rPr>
          <w:rFonts w:ascii="Arial" w:hAnsi="Arial" w:cs="Arial"/>
          <w:b/>
          <w:bCs/>
          <w:sz w:val="24"/>
        </w:rPr>
        <w:t>Trámite y resultados obtenidos, derivados de las solicitudes formuladas por el H. Congreso del Estado.</w:t>
      </w:r>
    </w:p>
    <w:p w:rsidR="009C0345" w:rsidRPr="00B67BEE" w:rsidRDefault="009C0345" w:rsidP="009C0345">
      <w:pPr>
        <w:spacing w:after="0"/>
        <w:rPr>
          <w:rFonts w:ascii="Arial" w:hAnsi="Arial" w:cs="Arial"/>
          <w:b/>
          <w:sz w:val="24"/>
        </w:rPr>
      </w:pPr>
    </w:p>
    <w:p w:rsidR="003D6A91" w:rsidRDefault="000350B0" w:rsidP="00F00305">
      <w:pPr>
        <w:spacing w:line="360" w:lineRule="auto"/>
        <w:ind w:firstLine="708"/>
        <w:jc w:val="both"/>
        <w:rPr>
          <w:rFonts w:ascii="Arial" w:hAnsi="Arial" w:cs="Arial"/>
          <w:sz w:val="24"/>
          <w:szCs w:val="24"/>
        </w:rPr>
      </w:pPr>
      <w:r w:rsidRPr="004A6D06">
        <w:rPr>
          <w:rFonts w:ascii="Arial" w:hAnsi="Arial" w:cs="Arial"/>
          <w:sz w:val="24"/>
          <w:szCs w:val="24"/>
        </w:rPr>
        <w:t>No se recibieron solicitudes del H. Congreso del Estado relacionadas con la Cuenta Pública cuya revisión se informa</w:t>
      </w:r>
      <w:r w:rsidR="00DD79E1">
        <w:rPr>
          <w:rFonts w:ascii="Arial" w:hAnsi="Arial" w:cs="Arial"/>
          <w:sz w:val="24"/>
          <w:szCs w:val="24"/>
        </w:rPr>
        <w:t>.</w:t>
      </w:r>
    </w:p>
    <w:p w:rsidR="00F00305" w:rsidRDefault="00F00305" w:rsidP="00F00305">
      <w:pPr>
        <w:spacing w:line="360" w:lineRule="auto"/>
        <w:ind w:firstLine="708"/>
        <w:jc w:val="both"/>
        <w:rPr>
          <w:rFonts w:ascii="Arial" w:hAnsi="Arial" w:cs="Arial"/>
          <w:sz w:val="24"/>
          <w:szCs w:val="24"/>
        </w:rPr>
      </w:pPr>
    </w:p>
    <w:p w:rsidR="00F00305" w:rsidRPr="00F00305" w:rsidRDefault="00F00305" w:rsidP="00F00305">
      <w:pPr>
        <w:spacing w:line="360" w:lineRule="auto"/>
        <w:ind w:firstLine="708"/>
        <w:jc w:val="both"/>
        <w:rPr>
          <w:rFonts w:ascii="Arial" w:hAnsi="Arial" w:cs="Arial"/>
          <w:sz w:val="24"/>
          <w:szCs w:val="24"/>
        </w:rPr>
      </w:pPr>
    </w:p>
    <w:p w:rsidR="009C0345" w:rsidRPr="008425A2" w:rsidRDefault="009C0345" w:rsidP="008425A2">
      <w:pPr>
        <w:pStyle w:val="Prrafodelista"/>
        <w:numPr>
          <w:ilvl w:val="0"/>
          <w:numId w:val="30"/>
        </w:numPr>
        <w:spacing w:after="0"/>
        <w:contextualSpacing/>
        <w:jc w:val="both"/>
        <w:rPr>
          <w:rFonts w:ascii="Arial" w:hAnsi="Arial" w:cs="Arial"/>
          <w:b/>
          <w:bCs/>
          <w:sz w:val="24"/>
        </w:rPr>
      </w:pPr>
      <w:r w:rsidRPr="008425A2">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Default="00720E1D" w:rsidP="000350B0">
      <w:pPr>
        <w:spacing w:after="0" w:line="360" w:lineRule="auto"/>
        <w:jc w:val="both"/>
        <w:rPr>
          <w:rFonts w:ascii="Arial" w:hAnsi="Arial" w:cs="Arial"/>
          <w:bCs/>
          <w:sz w:val="24"/>
        </w:rPr>
      </w:pPr>
      <w:r>
        <w:rPr>
          <w:rFonts w:ascii="Arial" w:hAnsi="Arial" w:cs="Arial"/>
          <w:bCs/>
          <w:sz w:val="24"/>
        </w:rPr>
        <w:tab/>
      </w:r>
      <w:r w:rsidR="001D0F95" w:rsidRPr="003B6154">
        <w:rPr>
          <w:rFonts w:ascii="Arial" w:hAnsi="Arial" w:cs="Arial"/>
          <w:sz w:val="24"/>
        </w:rPr>
        <w:t xml:space="preserve">En relación a la </w:t>
      </w:r>
      <w:r w:rsidR="001D0F95">
        <w:rPr>
          <w:rFonts w:ascii="Arial" w:hAnsi="Arial" w:cs="Arial"/>
          <w:sz w:val="24"/>
        </w:rPr>
        <w:t>Cuenta Pública</w:t>
      </w:r>
      <w:r w:rsidR="001D0F95" w:rsidRPr="003B6154">
        <w:rPr>
          <w:rFonts w:ascii="Arial" w:hAnsi="Arial" w:cs="Arial"/>
          <w:sz w:val="24"/>
        </w:rPr>
        <w:t xml:space="preserve"> objeto de revisión, no se recibieron denuncias para la revisión de situaciones excepcionales, en los términos preceptuados en los artículos 136 último párrafo de la Constitución Política del Estado y 37 y 39 de la Ley de Fiscalización Superior del </w:t>
      </w:r>
      <w:r w:rsidR="001D0F95">
        <w:rPr>
          <w:rFonts w:ascii="Arial" w:hAnsi="Arial" w:cs="Arial"/>
          <w:sz w:val="24"/>
        </w:rPr>
        <w:t>Estado de Nuevo León</w:t>
      </w:r>
      <w:r w:rsidR="009C0345" w:rsidRPr="00B67BEE">
        <w:rPr>
          <w:rFonts w:ascii="Arial" w:hAnsi="Arial" w:cs="Arial"/>
          <w:bCs/>
          <w:sz w:val="24"/>
        </w:rPr>
        <w:t>.</w:t>
      </w:r>
    </w:p>
    <w:p w:rsidR="008425A2" w:rsidRPr="00B67BEE" w:rsidRDefault="008425A2" w:rsidP="009C0345">
      <w:pPr>
        <w:spacing w:after="0"/>
        <w:jc w:val="both"/>
        <w:rPr>
          <w:rFonts w:ascii="Arial" w:hAnsi="Arial" w:cs="Arial"/>
          <w:bCs/>
          <w:sz w:val="24"/>
        </w:rPr>
      </w:pPr>
    </w:p>
    <w:p w:rsidR="009C0345" w:rsidRPr="008425A2" w:rsidRDefault="008425A2" w:rsidP="008425A2">
      <w:pPr>
        <w:pStyle w:val="Prrafodelista"/>
        <w:numPr>
          <w:ilvl w:val="0"/>
          <w:numId w:val="30"/>
        </w:numPr>
        <w:spacing w:after="0"/>
        <w:contextualSpacing/>
        <w:jc w:val="both"/>
        <w:rPr>
          <w:rFonts w:ascii="Arial" w:eastAsia="Times New Roman" w:hAnsi="Arial" w:cs="Arial"/>
          <w:sz w:val="24"/>
          <w:szCs w:val="24"/>
          <w:lang w:eastAsia="es-MX"/>
        </w:rPr>
      </w:pPr>
      <w:r w:rsidRPr="008425A2">
        <w:rPr>
          <w:rFonts w:ascii="Arial" w:hAnsi="Arial" w:cs="Arial"/>
          <w:b/>
          <w:bCs/>
          <w:sz w:val="24"/>
        </w:rPr>
        <w:lastRenderedPageBreak/>
        <w:t>S</w:t>
      </w:r>
      <w:r w:rsidR="009C0345" w:rsidRPr="008425A2">
        <w:rPr>
          <w:rFonts w:ascii="Arial" w:eastAsia="Times New Roman" w:hAnsi="Arial" w:cs="Arial"/>
          <w:b/>
          <w:bCs/>
          <w:sz w:val="24"/>
          <w:szCs w:val="24"/>
          <w:lang w:eastAsia="es-MX"/>
        </w:rPr>
        <w:t>ituación que guardan las observaciones, recomendaciones y acciones promovidas, respecto de la Cuenta</w:t>
      </w:r>
      <w:r w:rsidR="00146C76">
        <w:rPr>
          <w:rFonts w:ascii="Arial" w:eastAsia="Times New Roman" w:hAnsi="Arial" w:cs="Arial"/>
          <w:b/>
          <w:bCs/>
          <w:sz w:val="24"/>
          <w:szCs w:val="24"/>
          <w:lang w:eastAsia="es-MX"/>
        </w:rPr>
        <w:t>s</w:t>
      </w:r>
      <w:r w:rsidR="009C0345" w:rsidRPr="008425A2">
        <w:rPr>
          <w:rFonts w:ascii="Arial" w:eastAsia="Times New Roman" w:hAnsi="Arial" w:cs="Arial"/>
          <w:b/>
          <w:bCs/>
          <w:sz w:val="24"/>
          <w:szCs w:val="24"/>
          <w:lang w:eastAsia="es-MX"/>
        </w:rPr>
        <w:t xml:space="preserve"> Pública</w:t>
      </w:r>
      <w:r w:rsidR="00146C76">
        <w:rPr>
          <w:rFonts w:ascii="Arial" w:eastAsia="Times New Roman" w:hAnsi="Arial" w:cs="Arial"/>
          <w:b/>
          <w:bCs/>
          <w:sz w:val="24"/>
          <w:szCs w:val="24"/>
          <w:lang w:eastAsia="es-MX"/>
        </w:rPr>
        <w:t>s</w:t>
      </w:r>
      <w:r w:rsidR="009C0345" w:rsidRPr="008425A2">
        <w:rPr>
          <w:rFonts w:ascii="Arial" w:eastAsia="Times New Roman" w:hAnsi="Arial" w:cs="Arial"/>
          <w:b/>
          <w:bCs/>
          <w:sz w:val="24"/>
          <w:szCs w:val="24"/>
          <w:lang w:eastAsia="es-MX"/>
        </w:rPr>
        <w:t xml:space="preserve"> de</w:t>
      </w:r>
      <w:r w:rsidR="00146C76">
        <w:rPr>
          <w:rFonts w:ascii="Arial" w:eastAsia="Times New Roman" w:hAnsi="Arial" w:cs="Arial"/>
          <w:b/>
          <w:bCs/>
          <w:sz w:val="24"/>
          <w:szCs w:val="24"/>
          <w:lang w:eastAsia="es-MX"/>
        </w:rPr>
        <w:t xml:space="preserve"> </w:t>
      </w:r>
      <w:r w:rsidR="009C0345" w:rsidRPr="008425A2">
        <w:rPr>
          <w:rFonts w:ascii="Arial" w:eastAsia="Times New Roman" w:hAnsi="Arial" w:cs="Arial"/>
          <w:b/>
          <w:bCs/>
          <w:sz w:val="24"/>
          <w:szCs w:val="24"/>
          <w:lang w:eastAsia="es-MX"/>
        </w:rPr>
        <w:t xml:space="preserve"> ejercicio</w:t>
      </w:r>
      <w:r w:rsidR="00146C76">
        <w:rPr>
          <w:rFonts w:ascii="Arial" w:eastAsia="Times New Roman" w:hAnsi="Arial" w:cs="Arial"/>
          <w:b/>
          <w:bCs/>
          <w:sz w:val="24"/>
          <w:szCs w:val="24"/>
          <w:lang w:eastAsia="es-MX"/>
        </w:rPr>
        <w:t>s anteriores</w:t>
      </w:r>
      <w:r w:rsidR="009C0345" w:rsidRPr="008425A2">
        <w:rPr>
          <w:rFonts w:ascii="Arial" w:eastAsia="Times New Roman" w:hAnsi="Arial" w:cs="Arial"/>
          <w:b/>
          <w:bCs/>
          <w:sz w:val="24"/>
          <w:szCs w:val="24"/>
          <w:lang w:eastAsia="es-MX"/>
        </w:rPr>
        <w:t>.</w:t>
      </w:r>
    </w:p>
    <w:p w:rsidR="009C0345" w:rsidRDefault="009C0345" w:rsidP="009C0345">
      <w:pPr>
        <w:spacing w:after="0"/>
        <w:rPr>
          <w:rFonts w:ascii="Arial" w:hAnsi="Arial" w:cs="Arial"/>
          <w:bCs/>
          <w:sz w:val="24"/>
        </w:rPr>
      </w:pPr>
    </w:p>
    <w:p w:rsidR="001811BA" w:rsidRPr="00F00305" w:rsidRDefault="00720E1D" w:rsidP="00971CFA">
      <w:pPr>
        <w:spacing w:after="0"/>
        <w:jc w:val="both"/>
        <w:rPr>
          <w:rFonts w:ascii="Arial" w:hAnsi="Arial" w:cs="Arial"/>
          <w:color w:val="FF0000"/>
          <w:sz w:val="24"/>
          <w:szCs w:val="24"/>
          <w:lang w:val="es-MX" w:eastAsia="es-MX"/>
        </w:rPr>
      </w:pPr>
      <w:r>
        <w:rPr>
          <w:rFonts w:ascii="Arial" w:hAnsi="Arial" w:cs="Arial"/>
          <w:bCs/>
          <w:sz w:val="24"/>
        </w:rPr>
        <w:tab/>
      </w:r>
      <w:r w:rsidR="006C36DE">
        <w:rPr>
          <w:rFonts w:ascii="Arial" w:hAnsi="Arial" w:cs="Arial"/>
          <w:bCs/>
          <w:sz w:val="24"/>
        </w:rPr>
        <w:t xml:space="preserve">La Auditoría Informa que, </w:t>
      </w:r>
      <w:r w:rsidR="006C36DE">
        <w:rPr>
          <w:rFonts w:ascii="Arial" w:hAnsi="Arial" w:cs="Arial"/>
          <w:sz w:val="24"/>
          <w:szCs w:val="24"/>
          <w:lang w:val="es-MX" w:eastAsia="es-MX"/>
        </w:rPr>
        <w:t>con motivo de la revisión de la</w:t>
      </w:r>
      <w:r w:rsidR="000350B0">
        <w:rPr>
          <w:rFonts w:ascii="Arial" w:hAnsi="Arial" w:cs="Arial"/>
          <w:sz w:val="24"/>
          <w:szCs w:val="24"/>
          <w:lang w:val="es-MX" w:eastAsia="es-MX"/>
        </w:rPr>
        <w:t>s</w:t>
      </w:r>
      <w:r w:rsidR="006C36DE">
        <w:rPr>
          <w:rFonts w:ascii="Arial" w:hAnsi="Arial" w:cs="Arial"/>
          <w:sz w:val="24"/>
          <w:szCs w:val="24"/>
          <w:lang w:val="es-MX" w:eastAsia="es-MX"/>
        </w:rPr>
        <w:t xml:space="preserve"> cuenta</w:t>
      </w:r>
      <w:r w:rsidR="000350B0">
        <w:rPr>
          <w:rFonts w:ascii="Arial" w:hAnsi="Arial" w:cs="Arial"/>
          <w:sz w:val="24"/>
          <w:szCs w:val="24"/>
          <w:lang w:val="es-MX" w:eastAsia="es-MX"/>
        </w:rPr>
        <w:t>s</w:t>
      </w:r>
      <w:r w:rsidR="006C36DE">
        <w:rPr>
          <w:rFonts w:ascii="Arial" w:hAnsi="Arial" w:cs="Arial"/>
          <w:sz w:val="24"/>
          <w:szCs w:val="24"/>
          <w:lang w:val="es-MX" w:eastAsia="es-MX"/>
        </w:rPr>
        <w:t xml:space="preserve"> pública</w:t>
      </w:r>
      <w:r w:rsidR="000350B0">
        <w:rPr>
          <w:rFonts w:ascii="Arial" w:hAnsi="Arial" w:cs="Arial"/>
          <w:sz w:val="24"/>
          <w:szCs w:val="24"/>
          <w:lang w:val="es-MX" w:eastAsia="es-MX"/>
        </w:rPr>
        <w:t xml:space="preserve">s </w:t>
      </w:r>
      <w:r w:rsidR="00F00305">
        <w:rPr>
          <w:rFonts w:ascii="Arial" w:hAnsi="Arial" w:cs="Arial"/>
          <w:sz w:val="24"/>
          <w:szCs w:val="24"/>
          <w:lang w:val="es-MX" w:eastAsia="es-MX"/>
        </w:rPr>
        <w:t xml:space="preserve"> 2011, 2012, </w:t>
      </w:r>
      <w:r w:rsidR="001D0F95">
        <w:rPr>
          <w:rFonts w:ascii="Arial" w:hAnsi="Arial" w:cs="Arial"/>
          <w:sz w:val="24"/>
          <w:szCs w:val="24"/>
          <w:lang w:val="es-MX" w:eastAsia="es-MX"/>
        </w:rPr>
        <w:t>2013</w:t>
      </w:r>
      <w:r w:rsidR="00F00305">
        <w:rPr>
          <w:rFonts w:ascii="Arial" w:hAnsi="Arial" w:cs="Arial"/>
          <w:sz w:val="24"/>
          <w:szCs w:val="24"/>
          <w:lang w:val="es-MX" w:eastAsia="es-MX"/>
        </w:rPr>
        <w:t xml:space="preserve"> y 2014</w:t>
      </w:r>
      <w:r w:rsidR="006C36DE">
        <w:rPr>
          <w:rFonts w:ascii="Arial" w:hAnsi="Arial" w:cs="Arial"/>
          <w:sz w:val="24"/>
          <w:szCs w:val="24"/>
          <w:lang w:val="es-MX" w:eastAsia="es-MX"/>
        </w:rPr>
        <w:t xml:space="preserve"> del ente público, acorde con el Informe del Resultado de la revisión rendido en su oportunidad a ese H. Congreso del Estado</w:t>
      </w:r>
      <w:r w:rsidR="006C36DE" w:rsidRPr="00F8371D">
        <w:rPr>
          <w:rFonts w:ascii="Arial" w:hAnsi="Arial" w:cs="Arial"/>
          <w:sz w:val="24"/>
          <w:szCs w:val="24"/>
          <w:lang w:val="es-MX" w:eastAsia="es-MX"/>
        </w:rPr>
        <w:t xml:space="preserve">, </w:t>
      </w:r>
      <w:r w:rsidR="00F8371D" w:rsidRPr="00F8371D">
        <w:rPr>
          <w:rFonts w:ascii="Arial" w:hAnsi="Arial" w:cs="Arial"/>
          <w:sz w:val="24"/>
          <w:szCs w:val="24"/>
          <w:lang w:val="es-MX" w:eastAsia="es-MX"/>
        </w:rPr>
        <w:t>indican</w:t>
      </w:r>
      <w:r w:rsidR="00811C58" w:rsidRPr="00F8371D">
        <w:rPr>
          <w:rFonts w:ascii="Arial" w:hAnsi="Arial" w:cs="Arial"/>
          <w:sz w:val="24"/>
          <w:szCs w:val="24"/>
          <w:lang w:val="es-MX" w:eastAsia="es-MX"/>
        </w:rPr>
        <w:t xml:space="preserve"> que </w:t>
      </w:r>
      <w:r w:rsidR="000350B0" w:rsidRPr="00F8371D">
        <w:rPr>
          <w:rFonts w:ascii="Arial" w:hAnsi="Arial" w:cs="Arial"/>
          <w:sz w:val="24"/>
          <w:szCs w:val="24"/>
          <w:lang w:val="es-MX" w:eastAsia="es-MX"/>
        </w:rPr>
        <w:t xml:space="preserve">no </w:t>
      </w:r>
      <w:r w:rsidR="00971CFA" w:rsidRPr="00F8371D">
        <w:rPr>
          <w:rFonts w:ascii="Arial" w:hAnsi="Arial" w:cs="Arial"/>
          <w:sz w:val="24"/>
          <w:szCs w:val="24"/>
          <w:lang w:val="es-MX" w:eastAsia="es-MX"/>
        </w:rPr>
        <w:t>exist</w:t>
      </w:r>
      <w:r w:rsidR="00CB331F" w:rsidRPr="00F8371D">
        <w:rPr>
          <w:rFonts w:ascii="Arial" w:hAnsi="Arial" w:cs="Arial"/>
          <w:sz w:val="24"/>
          <w:szCs w:val="24"/>
          <w:lang w:val="es-MX" w:eastAsia="es-MX"/>
        </w:rPr>
        <w:t>e</w:t>
      </w:r>
      <w:r w:rsidR="000350B0" w:rsidRPr="00F8371D">
        <w:rPr>
          <w:rFonts w:ascii="Arial" w:hAnsi="Arial" w:cs="Arial"/>
          <w:sz w:val="24"/>
          <w:szCs w:val="24"/>
          <w:lang w:val="es-MX" w:eastAsia="es-MX"/>
        </w:rPr>
        <w:t>n observaciones pendientes por resolver</w:t>
      </w:r>
      <w:r w:rsidR="00210FE7" w:rsidRPr="00F8371D">
        <w:rPr>
          <w:rFonts w:ascii="Arial" w:hAnsi="Arial" w:cs="Arial"/>
          <w:sz w:val="24"/>
          <w:szCs w:val="24"/>
          <w:lang w:val="es-MX" w:eastAsia="es-MX"/>
        </w:rPr>
        <w:t>.</w:t>
      </w:r>
    </w:p>
    <w:p w:rsidR="009C0345" w:rsidRPr="006C36DE" w:rsidRDefault="009C0345" w:rsidP="009C0345">
      <w:pPr>
        <w:spacing w:before="240" w:after="20"/>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Informe de Resultados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033FC" w:rsidRPr="006C36DE">
        <w:rPr>
          <w:rFonts w:ascii="Arial" w:hAnsi="Arial" w:cs="Arial"/>
          <w:sz w:val="24"/>
        </w:rPr>
        <w:t xml:space="preserve">permitiéndonos incorporar dentro de este documento parte de ello, </w:t>
      </w:r>
      <w:r w:rsidRPr="006C36DE">
        <w:rPr>
          <w:rFonts w:ascii="Arial" w:hAnsi="Arial" w:cs="Arial"/>
          <w:sz w:val="24"/>
        </w:rPr>
        <w:t>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091A4C" w:rsidRDefault="00091A4C" w:rsidP="009C0345">
      <w:pPr>
        <w:widowControl w:val="0"/>
        <w:autoSpaceDE w:val="0"/>
        <w:autoSpaceDN w:val="0"/>
        <w:adjustRightInd w:val="0"/>
        <w:spacing w:before="16" w:after="0"/>
        <w:jc w:val="both"/>
        <w:rPr>
          <w:rFonts w:ascii="Arial" w:hAnsi="Arial" w:cs="Arial"/>
          <w:color w:val="000000"/>
          <w:spacing w:val="-3"/>
        </w:rPr>
      </w:pPr>
    </w:p>
    <w:p w:rsidR="00645841" w:rsidRPr="00CB3E70" w:rsidRDefault="00645841" w:rsidP="009C0345">
      <w:pPr>
        <w:widowControl w:val="0"/>
        <w:autoSpaceDE w:val="0"/>
        <w:autoSpaceDN w:val="0"/>
        <w:adjustRightInd w:val="0"/>
        <w:spacing w:before="16" w:after="0"/>
        <w:jc w:val="both"/>
        <w:rPr>
          <w:rFonts w:ascii="Arial" w:hAnsi="Arial" w:cs="Arial"/>
          <w:color w:val="000000"/>
          <w:spacing w:val="-3"/>
        </w:rPr>
      </w:pPr>
    </w:p>
    <w:p w:rsidR="009C0345" w:rsidRPr="00295C16" w:rsidRDefault="009C0345" w:rsidP="00811C58">
      <w:pPr>
        <w:shd w:val="clear" w:color="auto" w:fill="FFFFFF"/>
        <w:spacing w:after="324" w:line="360" w:lineRule="auto"/>
        <w:jc w:val="both"/>
        <w:rPr>
          <w:rFonts w:ascii="Arial" w:hAnsi="Arial" w:cs="Arial"/>
          <w:sz w:val="24"/>
          <w:szCs w:val="24"/>
          <w:lang w:eastAsia="es-MX"/>
        </w:rPr>
      </w:pPr>
      <w:r w:rsidRPr="00295C16">
        <w:rPr>
          <w:rFonts w:ascii="Arial" w:hAnsi="Arial" w:cs="Arial"/>
          <w:b/>
          <w:bCs/>
          <w:sz w:val="24"/>
          <w:szCs w:val="24"/>
        </w:rPr>
        <w:t>CONSIDERACIONES:</w:t>
      </w:r>
    </w:p>
    <w:p w:rsidR="009C0345" w:rsidRPr="00295C16" w:rsidRDefault="009C0345" w:rsidP="00811C58">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811C58">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326CE5" w:rsidRPr="00326CE5" w:rsidRDefault="00326CE5" w:rsidP="00811C58">
      <w:pPr>
        <w:spacing w:before="240" w:line="360" w:lineRule="auto"/>
        <w:ind w:firstLine="709"/>
        <w:jc w:val="both"/>
        <w:rPr>
          <w:rFonts w:ascii="Arial" w:hAnsi="Arial" w:cs="Arial"/>
          <w:bCs/>
          <w:sz w:val="24"/>
          <w:szCs w:val="24"/>
          <w:lang w:val="es-MX"/>
        </w:rPr>
      </w:pPr>
      <w:r w:rsidRPr="00326CE5">
        <w:rPr>
          <w:rFonts w:ascii="Arial" w:hAnsi="Arial" w:cs="Arial"/>
          <w:bCs/>
          <w:sz w:val="24"/>
          <w:szCs w:val="24"/>
        </w:rPr>
        <w:lastRenderedPageBreak/>
        <w:t>Constatamos que el Inform</w:t>
      </w:r>
      <w:r w:rsidR="008425A2">
        <w:rPr>
          <w:rFonts w:ascii="Arial" w:hAnsi="Arial" w:cs="Arial"/>
          <w:bCs/>
          <w:sz w:val="24"/>
          <w:szCs w:val="24"/>
        </w:rPr>
        <w:t>e de</w:t>
      </w:r>
      <w:r w:rsidR="00DC15A9">
        <w:rPr>
          <w:rFonts w:ascii="Arial" w:hAnsi="Arial" w:cs="Arial"/>
          <w:bCs/>
          <w:sz w:val="24"/>
          <w:szCs w:val="24"/>
        </w:rPr>
        <w:t>l</w:t>
      </w:r>
      <w:r w:rsidR="008425A2">
        <w:rPr>
          <w:rFonts w:ascii="Arial" w:hAnsi="Arial" w:cs="Arial"/>
          <w:bCs/>
          <w:sz w:val="24"/>
          <w:szCs w:val="24"/>
        </w:rPr>
        <w:t xml:space="preserve"> </w:t>
      </w:r>
      <w:r w:rsidR="004B1929">
        <w:rPr>
          <w:rFonts w:ascii="Arial" w:hAnsi="Arial" w:cs="Arial"/>
          <w:b/>
          <w:sz w:val="24"/>
        </w:rPr>
        <w:t>FIDEICOMISO PÚBLICO DE ADMINISTRACIÓN Y TRASLATIVO DE DOMINIO CIUDAD SOLIDARIDAD</w:t>
      </w:r>
      <w:r w:rsidRPr="00326CE5">
        <w:rPr>
          <w:rFonts w:ascii="Arial" w:hAnsi="Arial" w:cs="Arial"/>
          <w:bCs/>
          <w:sz w:val="24"/>
          <w:szCs w:val="24"/>
        </w:rPr>
        <w:t>,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326CE5" w:rsidRDefault="00326CE5" w:rsidP="00811C58">
      <w:pPr>
        <w:spacing w:before="240" w:line="360" w:lineRule="auto"/>
        <w:ind w:firstLine="709"/>
        <w:jc w:val="both"/>
        <w:rPr>
          <w:rFonts w:ascii="Arial" w:hAnsi="Arial" w:cs="Arial"/>
          <w:bCs/>
          <w:sz w:val="24"/>
          <w:szCs w:val="24"/>
          <w:lang w:val="es-MX"/>
        </w:rPr>
      </w:pPr>
      <w:r w:rsidRPr="00326CE5">
        <w:rPr>
          <w:rFonts w:ascii="Arial" w:hAnsi="Arial" w:cs="Arial"/>
          <w:bCs/>
          <w:sz w:val="24"/>
          <w:szCs w:val="24"/>
          <w:lang w:val="es-MX"/>
        </w:rPr>
        <w:t xml:space="preserve">En lo particular, conviene resaltar que en el Dictamen de Revisión que acompaña al informe de resultados, signado por el Titular de la Auditoría Superior del Estado, se indica que la información presentada en </w:t>
      </w:r>
      <w:r w:rsidR="00B148C6">
        <w:rPr>
          <w:rFonts w:ascii="Arial" w:hAnsi="Arial" w:cs="Arial"/>
          <w:bCs/>
          <w:sz w:val="24"/>
          <w:szCs w:val="24"/>
          <w:lang w:val="es-MX"/>
        </w:rPr>
        <w:t>la cuenta pública es razonable.</w:t>
      </w:r>
    </w:p>
    <w:p w:rsidR="004B1929" w:rsidRPr="00B0643D" w:rsidRDefault="009C0345" w:rsidP="004B1929">
      <w:pPr>
        <w:spacing w:before="240" w:line="360" w:lineRule="auto"/>
        <w:ind w:firstLine="709"/>
        <w:jc w:val="both"/>
        <w:rPr>
          <w:rFonts w:ascii="Arial" w:hAnsi="Arial" w:cs="Arial"/>
          <w:bCs/>
          <w:sz w:val="24"/>
          <w:szCs w:val="24"/>
        </w:rPr>
      </w:pPr>
      <w:r w:rsidRPr="00210FE7">
        <w:rPr>
          <w:rFonts w:ascii="Arial" w:hAnsi="Arial" w:cs="Arial"/>
          <w:b/>
          <w:bCs/>
          <w:sz w:val="24"/>
          <w:szCs w:val="24"/>
        </w:rPr>
        <w:t xml:space="preserve">TERCERA: </w:t>
      </w:r>
      <w:r w:rsidR="004B1929"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F57B0B" w:rsidRDefault="004B1929" w:rsidP="004B1929">
      <w:pPr>
        <w:spacing w:after="0" w:line="360" w:lineRule="auto"/>
        <w:ind w:firstLine="708"/>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w:t>
      </w:r>
      <w:r w:rsidRPr="00B0643D">
        <w:rPr>
          <w:rFonts w:ascii="Arial" w:hAnsi="Arial" w:cs="Arial"/>
          <w:bCs/>
          <w:sz w:val="24"/>
          <w:szCs w:val="24"/>
        </w:rPr>
        <w:lastRenderedPageBreak/>
        <w:t>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4B1929" w:rsidRDefault="004B1929" w:rsidP="004B1929">
      <w:pPr>
        <w:spacing w:after="0" w:line="360" w:lineRule="auto"/>
        <w:ind w:firstLine="708"/>
        <w:jc w:val="both"/>
        <w:rPr>
          <w:rFonts w:ascii="Arial" w:hAnsi="Arial" w:cs="Arial"/>
          <w:b/>
          <w:sz w:val="24"/>
          <w:szCs w:val="24"/>
        </w:rPr>
      </w:pPr>
    </w:p>
    <w:p w:rsidR="00975896" w:rsidRPr="00F57B0B" w:rsidRDefault="00F57B0B" w:rsidP="00811C58">
      <w:pPr>
        <w:spacing w:after="0" w:line="360" w:lineRule="auto"/>
        <w:ind w:firstLine="708"/>
        <w:jc w:val="both"/>
        <w:rPr>
          <w:rFonts w:ascii="Arial" w:hAnsi="Arial" w:cs="Arial"/>
          <w:b/>
          <w:sz w:val="24"/>
          <w:szCs w:val="24"/>
        </w:rPr>
      </w:pPr>
      <w:r>
        <w:rPr>
          <w:rFonts w:ascii="Arial" w:hAnsi="Arial" w:cs="Arial"/>
          <w:b/>
          <w:sz w:val="24"/>
          <w:szCs w:val="24"/>
        </w:rPr>
        <w:t>CUARTA</w:t>
      </w:r>
      <w:r w:rsidR="00975896" w:rsidRPr="00975896">
        <w:rPr>
          <w:rFonts w:ascii="Arial" w:hAnsi="Arial" w:cs="Arial"/>
          <w:b/>
          <w:sz w:val="24"/>
          <w:szCs w:val="24"/>
        </w:rPr>
        <w:t>:</w:t>
      </w:r>
      <w:r w:rsidR="00975896" w:rsidRPr="00975896">
        <w:rPr>
          <w:rFonts w:ascii="Arial" w:hAnsi="Arial" w:cs="Arial"/>
          <w:sz w:val="24"/>
          <w:szCs w:val="24"/>
        </w:rPr>
        <w:t xml:space="preserve"> </w:t>
      </w:r>
      <w:r w:rsidR="00326CE5" w:rsidRPr="007F5756">
        <w:rPr>
          <w:rFonts w:ascii="Arial" w:hAnsi="Arial" w:cs="Arial"/>
          <w:sz w:val="24"/>
          <w:szCs w:val="24"/>
        </w:rPr>
        <w:t xml:space="preserve">Adicionalmente se nos informa que durante </w:t>
      </w:r>
      <w:r w:rsidR="00B148C6">
        <w:rPr>
          <w:rFonts w:ascii="Arial" w:hAnsi="Arial" w:cs="Arial"/>
          <w:sz w:val="24"/>
          <w:szCs w:val="24"/>
        </w:rPr>
        <w:t>el ejercicio 201</w:t>
      </w:r>
      <w:r w:rsidR="00F00305">
        <w:rPr>
          <w:rFonts w:ascii="Arial" w:hAnsi="Arial" w:cs="Arial"/>
          <w:sz w:val="24"/>
          <w:szCs w:val="24"/>
        </w:rPr>
        <w:t>5</w:t>
      </w:r>
      <w:r w:rsidR="00326CE5">
        <w:rPr>
          <w:rFonts w:ascii="Arial" w:hAnsi="Arial" w:cs="Arial"/>
          <w:sz w:val="24"/>
          <w:szCs w:val="24"/>
        </w:rPr>
        <w:t xml:space="preserve">, </w:t>
      </w:r>
      <w:r w:rsidR="00326CE5" w:rsidRPr="007F5756">
        <w:rPr>
          <w:rFonts w:ascii="Arial" w:hAnsi="Arial" w:cs="Arial"/>
          <w:sz w:val="24"/>
          <w:szCs w:val="24"/>
        </w:rPr>
        <w:t>no se recibieron solicitudes de revisión de situaciones excepcionales en relación a la cuenta pública en revisión.</w:t>
      </w:r>
    </w:p>
    <w:p w:rsidR="00975896" w:rsidRPr="00EB01DD" w:rsidRDefault="00975896" w:rsidP="00811C58">
      <w:pPr>
        <w:spacing w:after="0" w:line="360" w:lineRule="auto"/>
        <w:ind w:left="708" w:firstLine="708"/>
        <w:jc w:val="both"/>
        <w:rPr>
          <w:rFonts w:ascii="Arial" w:hAnsi="Arial" w:cs="Arial"/>
        </w:rPr>
      </w:pPr>
    </w:p>
    <w:p w:rsidR="007F5756" w:rsidRPr="007F5756" w:rsidRDefault="00F57B0B" w:rsidP="00811C58">
      <w:pPr>
        <w:autoSpaceDE w:val="0"/>
        <w:autoSpaceDN w:val="0"/>
        <w:adjustRightInd w:val="0"/>
        <w:spacing w:after="0" w:line="360" w:lineRule="auto"/>
        <w:ind w:firstLine="708"/>
        <w:jc w:val="both"/>
        <w:rPr>
          <w:rFonts w:ascii="Arial" w:hAnsi="Arial" w:cs="Arial"/>
          <w:sz w:val="24"/>
          <w:szCs w:val="24"/>
        </w:rPr>
      </w:pPr>
      <w:r>
        <w:rPr>
          <w:rFonts w:ascii="Arial" w:hAnsi="Arial" w:cs="Arial"/>
          <w:b/>
          <w:sz w:val="24"/>
          <w:szCs w:val="24"/>
        </w:rPr>
        <w:t>QUINTA</w:t>
      </w:r>
      <w:r w:rsidR="00975896" w:rsidRPr="00720E1D">
        <w:rPr>
          <w:rFonts w:ascii="Arial" w:hAnsi="Arial" w:cs="Arial"/>
          <w:b/>
          <w:sz w:val="24"/>
          <w:szCs w:val="24"/>
        </w:rPr>
        <w:t>:</w:t>
      </w:r>
      <w:r w:rsidR="00975896" w:rsidRPr="00EB01DD">
        <w:rPr>
          <w:rFonts w:ascii="Arial" w:hAnsi="Arial" w:cs="Arial"/>
          <w:b/>
        </w:rPr>
        <w:t xml:space="preserve"> </w:t>
      </w:r>
      <w:r w:rsidR="00326CE5" w:rsidRPr="00975896">
        <w:rPr>
          <w:rFonts w:ascii="Arial" w:hAnsi="Arial" w:cs="Arial"/>
          <w:sz w:val="24"/>
          <w:szCs w:val="24"/>
        </w:rPr>
        <w:t xml:space="preserve">Que la Auditoría Superior del Estado nos informa en el apartado Recomendaciones y Acciones Promovidas con respecto al </w:t>
      </w:r>
      <w:r w:rsidR="00326CE5">
        <w:rPr>
          <w:rFonts w:ascii="Arial" w:hAnsi="Arial" w:cs="Arial"/>
          <w:sz w:val="24"/>
          <w:szCs w:val="24"/>
        </w:rPr>
        <w:t>ejercicio 201</w:t>
      </w:r>
      <w:r w:rsidR="00F00305">
        <w:rPr>
          <w:rFonts w:ascii="Arial" w:hAnsi="Arial" w:cs="Arial"/>
          <w:sz w:val="24"/>
          <w:szCs w:val="24"/>
        </w:rPr>
        <w:t>5</w:t>
      </w:r>
      <w:r w:rsidR="00326CE5">
        <w:rPr>
          <w:rFonts w:ascii="Arial" w:hAnsi="Arial" w:cs="Arial"/>
          <w:sz w:val="24"/>
          <w:szCs w:val="24"/>
        </w:rPr>
        <w:t xml:space="preserve">, que </w:t>
      </w:r>
      <w:r w:rsidR="00326CE5">
        <w:rPr>
          <w:rFonts w:ascii="Arial" w:hAnsi="Arial" w:cs="Arial"/>
          <w:sz w:val="24"/>
          <w:szCs w:val="24"/>
          <w:lang w:val="es-MX" w:eastAsia="es-MX"/>
        </w:rPr>
        <w:t>con motivo de la re</w:t>
      </w:r>
      <w:r w:rsidR="00EE4530">
        <w:rPr>
          <w:rFonts w:ascii="Arial" w:hAnsi="Arial" w:cs="Arial"/>
          <w:sz w:val="24"/>
          <w:szCs w:val="24"/>
          <w:lang w:val="es-MX" w:eastAsia="es-MX"/>
        </w:rPr>
        <w:t>visión de la</w:t>
      </w:r>
      <w:r w:rsidR="00811C58">
        <w:rPr>
          <w:rFonts w:ascii="Arial" w:hAnsi="Arial" w:cs="Arial"/>
          <w:sz w:val="24"/>
          <w:szCs w:val="24"/>
          <w:lang w:val="es-MX" w:eastAsia="es-MX"/>
        </w:rPr>
        <w:t xml:space="preserve"> cuenta pública 201</w:t>
      </w:r>
      <w:r w:rsidR="00F00305">
        <w:rPr>
          <w:rFonts w:ascii="Arial" w:hAnsi="Arial" w:cs="Arial"/>
          <w:sz w:val="24"/>
          <w:szCs w:val="24"/>
          <w:lang w:val="es-MX" w:eastAsia="es-MX"/>
        </w:rPr>
        <w:t>5</w:t>
      </w:r>
      <w:r w:rsidR="00326CE5">
        <w:rPr>
          <w:rFonts w:ascii="Arial" w:hAnsi="Arial" w:cs="Arial"/>
          <w:sz w:val="24"/>
          <w:szCs w:val="24"/>
          <w:lang w:val="es-MX" w:eastAsia="es-MX"/>
        </w:rPr>
        <w:t xml:space="preserve"> del ente público, acorde con el Informe del Resultado de la revisión rendido en su oportunidad a ese H. Congreso del Estado, no se formularon acciones y recomendaciones a las cuales darle seguimiento por parte de la Auditoría.</w:t>
      </w:r>
    </w:p>
    <w:p w:rsidR="004B1929" w:rsidRDefault="004B1929" w:rsidP="00811C58">
      <w:pPr>
        <w:autoSpaceDE w:val="0"/>
        <w:autoSpaceDN w:val="0"/>
        <w:adjustRightInd w:val="0"/>
        <w:spacing w:after="0" w:line="360" w:lineRule="auto"/>
        <w:ind w:firstLine="708"/>
        <w:jc w:val="both"/>
        <w:rPr>
          <w:rFonts w:ascii="Arial" w:hAnsi="Arial" w:cs="Arial"/>
          <w:sz w:val="24"/>
          <w:szCs w:val="24"/>
        </w:rPr>
      </w:pPr>
    </w:p>
    <w:p w:rsidR="007F5756" w:rsidRDefault="004B1929" w:rsidP="00811C58">
      <w:pPr>
        <w:autoSpaceDE w:val="0"/>
        <w:autoSpaceDN w:val="0"/>
        <w:adjustRightInd w:val="0"/>
        <w:spacing w:after="0" w:line="360" w:lineRule="auto"/>
        <w:ind w:firstLine="708"/>
        <w:jc w:val="both"/>
        <w:rPr>
          <w:rFonts w:ascii="Arial" w:hAnsi="Arial" w:cs="Arial"/>
          <w:b/>
          <w:sz w:val="24"/>
          <w:szCs w:val="24"/>
        </w:rPr>
      </w:pPr>
      <w:r w:rsidRPr="004B1929">
        <w:rPr>
          <w:rFonts w:ascii="Arial" w:hAnsi="Arial" w:cs="Arial"/>
          <w:b/>
          <w:sz w:val="24"/>
          <w:szCs w:val="24"/>
        </w:rPr>
        <w:t>SEXTA:</w:t>
      </w:r>
      <w:r>
        <w:rPr>
          <w:rFonts w:ascii="Arial" w:hAnsi="Arial" w:cs="Arial"/>
          <w:b/>
          <w:sz w:val="24"/>
          <w:szCs w:val="24"/>
        </w:rPr>
        <w:t xml:space="preserve">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por </w:t>
      </w:r>
      <w:r w:rsidRPr="00975896">
        <w:rPr>
          <w:rFonts w:ascii="Arial" w:hAnsi="Arial" w:cs="Arial"/>
          <w:sz w:val="24"/>
          <w:szCs w:val="24"/>
        </w:rPr>
        <w:t>el Congreso del Estado</w:t>
      </w:r>
      <w:r>
        <w:rPr>
          <w:rFonts w:ascii="Arial" w:hAnsi="Arial" w:cs="Arial"/>
          <w:sz w:val="24"/>
          <w:szCs w:val="24"/>
        </w:rPr>
        <w:t xml:space="preserve">, es de destacar que no hubo solicitudes.  </w:t>
      </w:r>
      <w:r w:rsidRPr="004B1929">
        <w:rPr>
          <w:rFonts w:ascii="Arial" w:hAnsi="Arial" w:cs="Arial"/>
          <w:b/>
          <w:sz w:val="24"/>
          <w:szCs w:val="24"/>
        </w:rPr>
        <w:t xml:space="preserve"> </w:t>
      </w:r>
    </w:p>
    <w:p w:rsidR="00F00305" w:rsidRPr="004B1929" w:rsidRDefault="00F00305" w:rsidP="00811C58">
      <w:pPr>
        <w:autoSpaceDE w:val="0"/>
        <w:autoSpaceDN w:val="0"/>
        <w:adjustRightInd w:val="0"/>
        <w:spacing w:after="0" w:line="360" w:lineRule="auto"/>
        <w:ind w:firstLine="708"/>
        <w:jc w:val="both"/>
        <w:rPr>
          <w:rFonts w:ascii="Arial" w:hAnsi="Arial" w:cs="Arial"/>
          <w:b/>
          <w:sz w:val="24"/>
          <w:szCs w:val="24"/>
        </w:rPr>
      </w:pPr>
    </w:p>
    <w:p w:rsidR="00975896" w:rsidRDefault="007F5756" w:rsidP="00811C58">
      <w:pPr>
        <w:autoSpaceDE w:val="0"/>
        <w:autoSpaceDN w:val="0"/>
        <w:adjustRightInd w:val="0"/>
        <w:spacing w:after="0" w:line="360" w:lineRule="auto"/>
        <w:ind w:firstLine="708"/>
        <w:jc w:val="both"/>
        <w:rPr>
          <w:rFonts w:ascii="Arial" w:hAnsi="Arial" w:cs="Arial"/>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 xml:space="preserve">Ahora bien, queda por resolver sobre la aprobación o rechazo de la cuenta que nos ocupa, a cuyo efecto debemos considerar, en su caso, si las irregularidades detectadas durante la revisión rompen con la </w:t>
      </w:r>
      <w:r w:rsidR="00975896" w:rsidRPr="00975896">
        <w:rPr>
          <w:rFonts w:ascii="Arial" w:hAnsi="Arial" w:cs="Arial"/>
          <w:sz w:val="24"/>
          <w:szCs w:val="24"/>
        </w:rPr>
        <w:lastRenderedPageBreak/>
        <w:t>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CB331F">
        <w:rPr>
          <w:rFonts w:ascii="Arial" w:hAnsi="Arial" w:cs="Arial"/>
          <w:sz w:val="24"/>
          <w:szCs w:val="24"/>
        </w:rPr>
        <w:t>normativa que le es aplicable a</w:t>
      </w:r>
      <w:r w:rsidR="000350B0">
        <w:rPr>
          <w:rFonts w:ascii="Arial" w:hAnsi="Arial" w:cs="Arial"/>
          <w:sz w:val="24"/>
          <w:szCs w:val="24"/>
        </w:rPr>
        <w:t>l</w:t>
      </w:r>
      <w:r w:rsidR="00CB331F">
        <w:rPr>
          <w:rFonts w:ascii="Arial" w:hAnsi="Arial" w:cs="Arial"/>
          <w:sz w:val="24"/>
          <w:szCs w:val="24"/>
        </w:rPr>
        <w:t xml:space="preserve"> </w:t>
      </w:r>
      <w:r w:rsidR="004B1929">
        <w:rPr>
          <w:rFonts w:ascii="Arial" w:hAnsi="Arial" w:cs="Arial"/>
          <w:b/>
          <w:sz w:val="24"/>
        </w:rPr>
        <w:t>FIDEICOMISO PÚBLICO DE ADMINISTRACIÓN Y TRASLATIVO DE DOMINIO CIUDAD SOLIDARIDAD</w:t>
      </w:r>
      <w:r w:rsidR="00811C58">
        <w:rPr>
          <w:rFonts w:ascii="Arial" w:hAnsi="Arial" w:cs="Arial"/>
          <w:b/>
          <w:bCs/>
          <w:sz w:val="24"/>
          <w:szCs w:val="24"/>
        </w:rPr>
        <w:t>.</w:t>
      </w:r>
      <w:r w:rsidR="00A410B6">
        <w:rPr>
          <w:rFonts w:ascii="Arial" w:hAnsi="Arial" w:cs="Arial"/>
          <w:sz w:val="24"/>
          <w:szCs w:val="24"/>
        </w:rPr>
        <w:t xml:space="preserve"> </w:t>
      </w:r>
    </w:p>
    <w:p w:rsidR="009A13C7" w:rsidRDefault="009A13C7" w:rsidP="009A13C7">
      <w:pPr>
        <w:spacing w:after="0" w:line="360" w:lineRule="auto"/>
        <w:ind w:firstLine="708"/>
        <w:jc w:val="both"/>
        <w:rPr>
          <w:rFonts w:ascii="Arial" w:hAnsi="Arial" w:cs="Arial"/>
          <w:sz w:val="24"/>
          <w:szCs w:val="24"/>
        </w:rPr>
      </w:pPr>
    </w:p>
    <w:p w:rsidR="009A13C7" w:rsidRDefault="009A13C7" w:rsidP="009A13C7">
      <w:pPr>
        <w:spacing w:after="0" w:line="360" w:lineRule="auto"/>
        <w:ind w:firstLine="708"/>
        <w:jc w:val="both"/>
        <w:rPr>
          <w:rFonts w:ascii="Arial" w:hAnsi="Arial" w:cs="Arial"/>
          <w:sz w:val="24"/>
          <w:szCs w:val="24"/>
        </w:rPr>
      </w:pPr>
      <w:r>
        <w:rPr>
          <w:rFonts w:ascii="Arial" w:hAnsi="Arial" w:cs="Arial"/>
          <w:sz w:val="24"/>
          <w:szCs w:val="24"/>
        </w:rPr>
        <w:t>Dado lo anterior, es de estimarse que las observaciones contenidas en el informe de resultados en estudio</w:t>
      </w:r>
      <w:r w:rsidR="007642C4">
        <w:rPr>
          <w:rFonts w:ascii="Arial" w:hAnsi="Arial" w:cs="Arial"/>
          <w:sz w:val="24"/>
          <w:szCs w:val="24"/>
        </w:rPr>
        <w:t xml:space="preserve"> no </w:t>
      </w:r>
      <w:r>
        <w:rPr>
          <w:rFonts w:ascii="Arial" w:hAnsi="Arial" w:cs="Arial"/>
          <w:sz w:val="24"/>
          <w:szCs w:val="24"/>
        </w:rPr>
        <w:t xml:space="preserve">resultan suficientes para considerar que la generalidad de la actuación del ente revisado deba estimarse como deficiente y por lo </w:t>
      </w:r>
      <w:r w:rsidRPr="007642C4">
        <w:rPr>
          <w:rFonts w:ascii="Arial" w:hAnsi="Arial" w:cs="Arial"/>
          <w:sz w:val="24"/>
          <w:szCs w:val="24"/>
        </w:rPr>
        <w:t xml:space="preserve">mismo, la entidad revisada es acreedora a una manifestación de </w:t>
      </w:r>
      <w:r w:rsidR="007642C4">
        <w:rPr>
          <w:rFonts w:ascii="Arial" w:hAnsi="Arial" w:cs="Arial"/>
          <w:sz w:val="24"/>
          <w:szCs w:val="24"/>
        </w:rPr>
        <w:t>aprobación</w:t>
      </w:r>
      <w:r w:rsidRPr="007642C4">
        <w:rPr>
          <w:rFonts w:ascii="Arial" w:hAnsi="Arial" w:cs="Arial"/>
          <w:sz w:val="24"/>
          <w:szCs w:val="24"/>
        </w:rPr>
        <w:t xml:space="preserve"> de parte </w:t>
      </w:r>
      <w:r>
        <w:rPr>
          <w:rFonts w:ascii="Arial" w:hAnsi="Arial" w:cs="Arial"/>
          <w:sz w:val="24"/>
          <w:szCs w:val="24"/>
        </w:rPr>
        <w:t>de este Poder Legislativo respecto a su Cuenta Pública para el e</w:t>
      </w:r>
      <w:r w:rsidR="00F00305">
        <w:rPr>
          <w:rFonts w:ascii="Arial" w:hAnsi="Arial" w:cs="Arial"/>
          <w:sz w:val="24"/>
          <w:szCs w:val="24"/>
        </w:rPr>
        <w:t>jercicio fiscal 2015</w:t>
      </w:r>
      <w:r>
        <w:rPr>
          <w:rFonts w:ascii="Arial" w:hAnsi="Arial" w:cs="Arial"/>
          <w:sz w:val="24"/>
          <w:szCs w:val="24"/>
        </w:rPr>
        <w:t>.</w:t>
      </w:r>
    </w:p>
    <w:p w:rsidR="00326CE5" w:rsidRPr="00326CE5" w:rsidRDefault="00326CE5" w:rsidP="00CB331F">
      <w:pPr>
        <w:spacing w:before="240" w:line="360" w:lineRule="auto"/>
        <w:ind w:firstLine="709"/>
        <w:jc w:val="both"/>
        <w:rPr>
          <w:rFonts w:ascii="Arial" w:hAnsi="Arial" w:cs="Arial"/>
          <w:sz w:val="24"/>
          <w:szCs w:val="24"/>
          <w:lang w:val="es-MX"/>
        </w:rPr>
      </w:pPr>
      <w:r w:rsidRPr="00326CE5">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CB331F">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7E6300" w:rsidRPr="007E6300" w:rsidRDefault="007E6300" w:rsidP="00A02D29">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7E6300" w:rsidRDefault="007E6300" w:rsidP="00190C96">
      <w:pPr>
        <w:ind w:firstLine="708"/>
        <w:jc w:val="both"/>
        <w:rPr>
          <w:rFonts w:ascii="Arial" w:hAnsi="Arial" w:cs="Arial"/>
          <w:bCs/>
          <w:sz w:val="24"/>
          <w:szCs w:val="24"/>
        </w:rPr>
      </w:pPr>
      <w:r>
        <w:rPr>
          <w:rFonts w:ascii="Arial" w:hAnsi="Arial" w:cs="Arial"/>
          <w:b/>
          <w:bCs/>
          <w:sz w:val="24"/>
          <w:szCs w:val="24"/>
        </w:rPr>
        <w:lastRenderedPageBreak/>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A410B6">
        <w:rPr>
          <w:rFonts w:ascii="Arial" w:hAnsi="Arial" w:cs="Arial"/>
          <w:bCs/>
          <w:sz w:val="24"/>
          <w:szCs w:val="24"/>
        </w:rPr>
        <w:t>la Cuenta Pública 201</w:t>
      </w:r>
      <w:r w:rsidR="00F00305">
        <w:rPr>
          <w:rFonts w:ascii="Arial" w:hAnsi="Arial" w:cs="Arial"/>
          <w:bCs/>
          <w:sz w:val="24"/>
          <w:szCs w:val="24"/>
        </w:rPr>
        <w:t>5</w:t>
      </w:r>
      <w:r w:rsidR="00A410B6">
        <w:rPr>
          <w:rFonts w:ascii="Arial" w:hAnsi="Arial" w:cs="Arial"/>
          <w:bCs/>
          <w:sz w:val="24"/>
          <w:szCs w:val="24"/>
        </w:rPr>
        <w:t>, de</w:t>
      </w:r>
      <w:r w:rsidR="000350B0">
        <w:rPr>
          <w:rFonts w:ascii="Arial" w:hAnsi="Arial" w:cs="Arial"/>
          <w:bCs/>
          <w:sz w:val="24"/>
          <w:szCs w:val="24"/>
        </w:rPr>
        <w:t>l</w:t>
      </w:r>
      <w:r w:rsidR="00A410B6">
        <w:rPr>
          <w:rFonts w:ascii="Arial" w:hAnsi="Arial" w:cs="Arial"/>
          <w:bCs/>
          <w:sz w:val="24"/>
          <w:szCs w:val="24"/>
        </w:rPr>
        <w:t xml:space="preserve"> </w:t>
      </w:r>
      <w:r w:rsidR="004B1929">
        <w:rPr>
          <w:rFonts w:ascii="Arial" w:hAnsi="Arial" w:cs="Arial"/>
          <w:b/>
          <w:sz w:val="24"/>
        </w:rPr>
        <w:t>FIDEICOMISO PÚBLICO DE ADMINISTRACIÓN Y TRASLATIVO DE DOMINIO CIUDAD SOLIDARIDAD</w:t>
      </w:r>
      <w:r w:rsidR="000350B0">
        <w:rPr>
          <w:rFonts w:ascii="Arial" w:hAnsi="Arial" w:cs="Arial"/>
          <w:b/>
          <w:bCs/>
          <w:sz w:val="24"/>
          <w:szCs w:val="24"/>
        </w:rPr>
        <w:t>.</w:t>
      </w:r>
    </w:p>
    <w:p w:rsidR="00326CE5" w:rsidRDefault="007E6300" w:rsidP="00190C96">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4B1929"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F00305">
        <w:rPr>
          <w:rFonts w:ascii="Arial" w:hAnsi="Arial" w:cs="Arial"/>
          <w:bCs/>
          <w:sz w:val="24"/>
          <w:szCs w:val="24"/>
          <w:lang w:val="es-MX"/>
        </w:rPr>
        <w:t>4</w:t>
      </w:r>
      <w:r w:rsidR="004B1929"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w:t>
      </w:r>
      <w:r w:rsidR="004B1929">
        <w:rPr>
          <w:rFonts w:ascii="Arial" w:hAnsi="Arial" w:cs="Arial"/>
          <w:bCs/>
          <w:sz w:val="24"/>
          <w:szCs w:val="24"/>
          <w:lang w:val="es-MX"/>
        </w:rPr>
        <w:t xml:space="preserve"> causa de </w:t>
      </w:r>
      <w:r w:rsidR="007642C4">
        <w:rPr>
          <w:rFonts w:ascii="Arial" w:hAnsi="Arial" w:cs="Arial"/>
          <w:bCs/>
          <w:sz w:val="24"/>
          <w:szCs w:val="24"/>
          <w:lang w:val="es-MX"/>
        </w:rPr>
        <w:t xml:space="preserve">promoción de fincamiento de responsabilidad administrativa </w:t>
      </w:r>
      <w:r w:rsidR="004B1929" w:rsidRPr="00190C96">
        <w:rPr>
          <w:rFonts w:ascii="Arial" w:hAnsi="Arial" w:cs="Arial"/>
          <w:bCs/>
          <w:sz w:val="24"/>
          <w:szCs w:val="24"/>
          <w:lang w:val="es-MX"/>
        </w:rPr>
        <w:t>recomendaciones</w:t>
      </w:r>
      <w:r w:rsidRPr="00190C96">
        <w:rPr>
          <w:rFonts w:ascii="Arial" w:hAnsi="Arial" w:cs="Arial"/>
          <w:bCs/>
          <w:sz w:val="24"/>
          <w:szCs w:val="24"/>
          <w:lang w:val="es-MX"/>
        </w:rPr>
        <w:t xml:space="preserve"> a la gestión</w:t>
      </w:r>
      <w:r w:rsidR="004B1929">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y</w:t>
      </w:r>
      <w:r w:rsidRPr="00190C96">
        <w:rPr>
          <w:rFonts w:ascii="Arial" w:hAnsi="Arial" w:cs="Arial"/>
          <w:bCs/>
          <w:sz w:val="24"/>
          <w:szCs w:val="24"/>
          <w:lang w:val="es-MX"/>
        </w:rPr>
        <w:t xml:space="preserve"> </w:t>
      </w:r>
      <w:r w:rsidR="004B1929">
        <w:rPr>
          <w:rFonts w:ascii="Arial" w:hAnsi="Arial" w:cs="Arial"/>
          <w:bCs/>
          <w:sz w:val="24"/>
          <w:szCs w:val="24"/>
          <w:lang w:val="es-MX"/>
        </w:rPr>
        <w:t>considerando que</w:t>
      </w:r>
      <w:r>
        <w:rPr>
          <w:rFonts w:ascii="Arial" w:hAnsi="Arial" w:cs="Arial"/>
          <w:bCs/>
          <w:sz w:val="24"/>
          <w:szCs w:val="24"/>
          <w:lang w:val="es-MX"/>
        </w:rPr>
        <w:t xml:space="preserve"> no afectan la </w:t>
      </w:r>
      <w:r w:rsidR="00E6361B">
        <w:rPr>
          <w:rFonts w:ascii="Arial" w:hAnsi="Arial" w:cs="Arial"/>
          <w:bCs/>
          <w:sz w:val="24"/>
          <w:szCs w:val="24"/>
          <w:lang w:val="es-MX"/>
        </w:rPr>
        <w:t>gestión</w:t>
      </w:r>
      <w:r>
        <w:rPr>
          <w:rFonts w:ascii="Arial" w:hAnsi="Arial" w:cs="Arial"/>
          <w:bCs/>
          <w:sz w:val="24"/>
          <w:szCs w:val="24"/>
          <w:lang w:val="es-MX"/>
        </w:rPr>
        <w:t xml:space="preserve"> del </w:t>
      </w:r>
      <w:r w:rsidR="004B1929">
        <w:rPr>
          <w:rFonts w:ascii="Arial" w:hAnsi="Arial" w:cs="Arial"/>
          <w:bCs/>
          <w:sz w:val="24"/>
          <w:szCs w:val="24"/>
          <w:lang w:val="es-MX"/>
        </w:rPr>
        <w:t>ente</w:t>
      </w:r>
      <w:r w:rsidR="004B1929" w:rsidRPr="00190C96">
        <w:rPr>
          <w:rFonts w:ascii="Arial" w:hAnsi="Arial" w:cs="Arial"/>
          <w:bCs/>
          <w:sz w:val="24"/>
          <w:szCs w:val="24"/>
          <w:lang w:val="es-MX"/>
        </w:rPr>
        <w:t xml:space="preserve"> fiscalizado</w:t>
      </w:r>
      <w:r w:rsidRPr="00190C96">
        <w:rPr>
          <w:rFonts w:ascii="Arial" w:hAnsi="Arial" w:cs="Arial"/>
          <w:bCs/>
          <w:sz w:val="24"/>
          <w:szCs w:val="24"/>
          <w:lang w:val="es-MX"/>
        </w:rPr>
        <w:t xml:space="preserve">, se estima que la </w:t>
      </w:r>
      <w:r>
        <w:rPr>
          <w:rFonts w:ascii="Arial" w:hAnsi="Arial" w:cs="Arial"/>
          <w:b/>
          <w:bCs/>
          <w:sz w:val="24"/>
          <w:szCs w:val="24"/>
          <w:lang w:val="es-MX"/>
        </w:rPr>
        <w:t>CUENTA PÚBLICA 201</w:t>
      </w:r>
      <w:r w:rsidR="00CE3766">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0350B0">
        <w:rPr>
          <w:rFonts w:ascii="Arial" w:hAnsi="Arial" w:cs="Arial"/>
          <w:bCs/>
          <w:sz w:val="24"/>
          <w:szCs w:val="24"/>
          <w:lang w:val="es-MX"/>
        </w:rPr>
        <w:t>l</w:t>
      </w:r>
      <w:r w:rsidRPr="00190C96">
        <w:rPr>
          <w:rFonts w:ascii="Arial" w:hAnsi="Arial" w:cs="Arial"/>
          <w:b/>
          <w:bCs/>
          <w:sz w:val="24"/>
          <w:szCs w:val="24"/>
          <w:lang w:val="es-MX"/>
        </w:rPr>
        <w:t xml:space="preserve"> </w:t>
      </w:r>
      <w:r w:rsidR="004B1929">
        <w:rPr>
          <w:rFonts w:ascii="Arial" w:hAnsi="Arial" w:cs="Arial"/>
          <w:b/>
          <w:sz w:val="24"/>
        </w:rPr>
        <w:t>FIDEICOMISO PÚBLICO DE ADMINISTRACIÓN Y TRASLATIVO DE DOMINIO CIUDAD SOLIDARIDAD</w:t>
      </w:r>
      <w:r w:rsidR="00CB331F" w:rsidRPr="00190C96">
        <w:rPr>
          <w:rFonts w:ascii="Arial" w:hAnsi="Arial" w:cs="Arial"/>
          <w:bCs/>
          <w:sz w:val="24"/>
          <w:szCs w:val="24"/>
          <w:lang w:val="es-MX"/>
        </w:rPr>
        <w:t xml:space="preserve"> </w:t>
      </w:r>
      <w:r w:rsidRPr="00190C96">
        <w:rPr>
          <w:rFonts w:ascii="Arial" w:hAnsi="Arial" w:cs="Arial"/>
          <w:bCs/>
          <w:sz w:val="24"/>
          <w:szCs w:val="24"/>
          <w:lang w:val="es-MX"/>
        </w:rPr>
        <w:t>es susceptible de aprobación.</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8E09AB">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w:t>
      </w:r>
      <w:r w:rsidRPr="007642C4">
        <w:rPr>
          <w:rFonts w:ascii="Arial" w:hAnsi="Arial" w:cs="Arial"/>
          <w:b/>
          <w:bCs/>
          <w:sz w:val="24"/>
          <w:szCs w:val="24"/>
          <w:lang w:val="es-MX"/>
        </w:rPr>
        <w:t xml:space="preserve">SE </w:t>
      </w:r>
      <w:r w:rsidR="007642C4">
        <w:rPr>
          <w:rFonts w:ascii="Arial" w:hAnsi="Arial" w:cs="Arial"/>
          <w:b/>
          <w:bCs/>
          <w:sz w:val="24"/>
          <w:szCs w:val="24"/>
          <w:lang w:val="es-MX"/>
        </w:rPr>
        <w:t>APRUEB</w:t>
      </w:r>
      <w:r w:rsidR="009A13C7" w:rsidRPr="007642C4">
        <w:rPr>
          <w:rFonts w:ascii="Arial" w:hAnsi="Arial" w:cs="Arial"/>
          <w:b/>
          <w:bCs/>
          <w:sz w:val="24"/>
          <w:szCs w:val="24"/>
          <w:lang w:val="es-MX"/>
        </w:rPr>
        <w:t>A</w:t>
      </w:r>
      <w:r w:rsidRPr="007642C4">
        <w:rPr>
          <w:rFonts w:ascii="Arial" w:hAnsi="Arial" w:cs="Arial"/>
          <w:b/>
          <w:bCs/>
          <w:sz w:val="24"/>
          <w:szCs w:val="24"/>
          <w:lang w:val="es-MX"/>
        </w:rPr>
        <w:t xml:space="preserve"> </w:t>
      </w:r>
      <w:r w:rsidRPr="007642C4">
        <w:rPr>
          <w:rFonts w:ascii="Arial" w:hAnsi="Arial" w:cs="Arial"/>
          <w:bCs/>
          <w:sz w:val="24"/>
          <w:szCs w:val="24"/>
          <w:lang w:val="es-MX"/>
        </w:rPr>
        <w:t xml:space="preserve">la </w:t>
      </w:r>
      <w:r w:rsidRPr="00190C96">
        <w:rPr>
          <w:rFonts w:ascii="Arial" w:hAnsi="Arial" w:cs="Arial"/>
          <w:bCs/>
          <w:sz w:val="24"/>
          <w:szCs w:val="24"/>
          <w:lang w:val="es-MX"/>
        </w:rPr>
        <w:t>Cuenta Pública</w:t>
      </w:r>
      <w:r w:rsidRPr="00190C96">
        <w:rPr>
          <w:rFonts w:ascii="Arial" w:hAnsi="Arial" w:cs="Arial"/>
          <w:b/>
          <w:bCs/>
          <w:sz w:val="24"/>
          <w:szCs w:val="24"/>
          <w:lang w:val="es-MX"/>
        </w:rPr>
        <w:t xml:space="preserve"> 201</w:t>
      </w:r>
      <w:r w:rsidR="00CE3766">
        <w:rPr>
          <w:rFonts w:ascii="Arial" w:hAnsi="Arial" w:cs="Arial"/>
          <w:b/>
          <w:bCs/>
          <w:sz w:val="24"/>
          <w:szCs w:val="24"/>
          <w:lang w:val="es-MX"/>
        </w:rPr>
        <w:t>5</w:t>
      </w:r>
      <w:r w:rsidRPr="00190C96">
        <w:rPr>
          <w:rFonts w:ascii="Arial" w:hAnsi="Arial" w:cs="Arial"/>
          <w:b/>
          <w:bCs/>
          <w:sz w:val="24"/>
          <w:szCs w:val="24"/>
          <w:lang w:val="es-MX"/>
        </w:rPr>
        <w:t xml:space="preserve"> de</w:t>
      </w:r>
      <w:r w:rsidR="000350B0">
        <w:rPr>
          <w:rFonts w:ascii="Arial" w:hAnsi="Arial" w:cs="Arial"/>
          <w:b/>
          <w:bCs/>
          <w:sz w:val="24"/>
          <w:szCs w:val="24"/>
          <w:lang w:val="es-MX"/>
        </w:rPr>
        <w:t>l</w:t>
      </w:r>
      <w:r w:rsidRPr="00190C96">
        <w:rPr>
          <w:rFonts w:ascii="Arial" w:hAnsi="Arial" w:cs="Arial"/>
          <w:b/>
          <w:bCs/>
          <w:sz w:val="24"/>
          <w:szCs w:val="24"/>
          <w:lang w:val="es-MX"/>
        </w:rPr>
        <w:t xml:space="preserve"> </w:t>
      </w:r>
      <w:r w:rsidR="004B1929">
        <w:rPr>
          <w:rFonts w:ascii="Arial" w:hAnsi="Arial" w:cs="Arial"/>
          <w:b/>
          <w:sz w:val="24"/>
        </w:rPr>
        <w:t>FIDEICOMISO PÚBLICO DE ADMINISTRACIÓN Y TRASLATIVO DE DOMINIO CIUDAD SOLIDARIDAD</w:t>
      </w:r>
      <w:r w:rsidR="00CB331F">
        <w:rPr>
          <w:rFonts w:ascii="Arial" w:hAnsi="Arial" w:cs="Arial"/>
          <w:b/>
          <w:sz w:val="24"/>
        </w:rPr>
        <w:t>.</w:t>
      </w:r>
    </w:p>
    <w:p w:rsidR="007642C4" w:rsidRDefault="00190C96" w:rsidP="00190C96">
      <w:pPr>
        <w:ind w:firstLine="708"/>
        <w:jc w:val="both"/>
        <w:rPr>
          <w:rFonts w:ascii="Arial" w:hAnsi="Arial" w:cs="Arial"/>
          <w:b/>
          <w:bCs/>
          <w:sz w:val="24"/>
          <w:szCs w:val="24"/>
        </w:rPr>
      </w:pPr>
      <w:r w:rsidRPr="00190C96">
        <w:rPr>
          <w:rFonts w:ascii="Arial" w:hAnsi="Arial" w:cs="Arial"/>
          <w:b/>
          <w:bCs/>
          <w:sz w:val="24"/>
          <w:szCs w:val="24"/>
        </w:rPr>
        <w:t>CUARTO.-</w:t>
      </w:r>
      <w:r w:rsidR="007642C4" w:rsidRPr="007642C4">
        <w:rPr>
          <w:rFonts w:ascii="Arial" w:hAnsi="Arial" w:cs="Arial"/>
          <w:bCs/>
          <w:sz w:val="24"/>
          <w:szCs w:val="24"/>
        </w:rPr>
        <w:t xml:space="preserve"> </w:t>
      </w:r>
      <w:r w:rsidR="007642C4" w:rsidRPr="00472E79">
        <w:rPr>
          <w:rFonts w:ascii="Arial" w:hAnsi="Arial" w:cs="Arial"/>
          <w:bCs/>
          <w:sz w:val="24"/>
          <w:szCs w:val="24"/>
        </w:rPr>
        <w:t>Se instruye a la Auditoria Superior del Estado para que en términos del párrafo segundo del artículo 52 de la</w:t>
      </w:r>
      <w:r w:rsidR="007642C4" w:rsidRPr="00472E79">
        <w:rPr>
          <w:rFonts w:ascii="Arial" w:hAnsi="Arial" w:cs="Arial"/>
          <w:bCs/>
          <w:sz w:val="24"/>
          <w:szCs w:val="24"/>
          <w:lang w:val="es-ES_tradnl"/>
        </w:rPr>
        <w:t xml:space="preserve"> </w:t>
      </w:r>
      <w:r w:rsidR="007642C4" w:rsidRPr="00472E79">
        <w:rPr>
          <w:rFonts w:ascii="Arial" w:hAnsi="Arial" w:cs="Arial"/>
          <w:bCs/>
          <w:sz w:val="24"/>
          <w:szCs w:val="24"/>
        </w:rPr>
        <w:t xml:space="preserve">Ley de Fiscalización Superior del Estado de Nuevo León </w:t>
      </w:r>
      <w:r w:rsidR="007642C4" w:rsidRPr="00472E79">
        <w:rPr>
          <w:rFonts w:ascii="Arial" w:hAnsi="Arial" w:cs="Arial"/>
          <w:b/>
          <w:bCs/>
          <w:sz w:val="24"/>
          <w:szCs w:val="24"/>
        </w:rPr>
        <w:t xml:space="preserve">EXPIDA EL FINIQUITO CORRESPONDIENTE, </w:t>
      </w:r>
      <w:r w:rsidR="007642C4" w:rsidRPr="00472E79">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w:t>
      </w:r>
      <w:r w:rsidR="007642C4" w:rsidRPr="00472E79">
        <w:rPr>
          <w:rFonts w:ascii="Arial" w:hAnsi="Arial" w:cs="Arial"/>
          <w:bCs/>
          <w:sz w:val="24"/>
          <w:szCs w:val="24"/>
        </w:rPr>
        <w:lastRenderedPageBreak/>
        <w:t>de las señaladas en el artículo 53 de la citada Ley, derivadas de la revisión de la cuenta pública del</w:t>
      </w:r>
      <w:r w:rsidR="007642C4">
        <w:rPr>
          <w:rFonts w:ascii="Arial" w:hAnsi="Arial" w:cs="Arial"/>
          <w:bCs/>
          <w:sz w:val="24"/>
          <w:szCs w:val="24"/>
        </w:rPr>
        <w:t xml:space="preserve"> </w:t>
      </w:r>
      <w:r w:rsidR="007642C4">
        <w:rPr>
          <w:rFonts w:ascii="Arial" w:hAnsi="Arial" w:cs="Arial"/>
          <w:b/>
          <w:sz w:val="24"/>
        </w:rPr>
        <w:t>FIDEICOMISO PÚBLICO DE ADMINISTRACIÓN Y TRASLATIVO DE DOMINIO CIUDAD SOLIDARIDAD</w:t>
      </w:r>
      <w:r w:rsidR="007642C4" w:rsidRPr="00472E79">
        <w:rPr>
          <w:rFonts w:ascii="Arial" w:hAnsi="Arial" w:cs="Arial"/>
          <w:b/>
          <w:bCs/>
          <w:sz w:val="24"/>
          <w:szCs w:val="24"/>
          <w:lang w:val="es-MX"/>
        </w:rPr>
        <w:t xml:space="preserve">, </w:t>
      </w:r>
      <w:r w:rsidR="007642C4" w:rsidRPr="00472E79">
        <w:rPr>
          <w:rFonts w:ascii="Arial" w:hAnsi="Arial" w:cs="Arial"/>
          <w:bCs/>
          <w:sz w:val="24"/>
          <w:szCs w:val="24"/>
        </w:rPr>
        <w:t>correspondiente al ejercicio</w:t>
      </w:r>
      <w:r w:rsidR="007642C4" w:rsidRPr="00472E79">
        <w:rPr>
          <w:rFonts w:ascii="Arial" w:hAnsi="Arial" w:cs="Arial"/>
          <w:b/>
          <w:bCs/>
          <w:sz w:val="24"/>
          <w:szCs w:val="24"/>
        </w:rPr>
        <w:t xml:space="preserve"> </w:t>
      </w:r>
      <w:r w:rsidR="007642C4">
        <w:rPr>
          <w:rFonts w:ascii="Arial" w:hAnsi="Arial" w:cs="Arial"/>
          <w:b/>
          <w:bCs/>
          <w:sz w:val="24"/>
          <w:szCs w:val="24"/>
        </w:rPr>
        <w:t>2015</w:t>
      </w:r>
      <w:r w:rsidR="007642C4" w:rsidRPr="00472E79">
        <w:rPr>
          <w:rFonts w:ascii="Arial" w:hAnsi="Arial" w:cs="Arial"/>
          <w:b/>
          <w:bCs/>
          <w:sz w:val="24"/>
          <w:szCs w:val="24"/>
        </w:rPr>
        <w:t>.</w:t>
      </w:r>
    </w:p>
    <w:p w:rsidR="007E6300" w:rsidRPr="007E6300" w:rsidRDefault="00190C96" w:rsidP="00190C96">
      <w:pPr>
        <w:ind w:firstLine="708"/>
        <w:jc w:val="both"/>
        <w:rPr>
          <w:rFonts w:ascii="Arial" w:hAnsi="Arial" w:cs="Arial"/>
          <w:bCs/>
          <w:sz w:val="24"/>
          <w:szCs w:val="24"/>
        </w:rPr>
      </w:pPr>
      <w:r w:rsidRPr="00190C96">
        <w:rPr>
          <w:rFonts w:ascii="Arial" w:hAnsi="Arial" w:cs="Arial"/>
          <w:b/>
          <w:bCs/>
          <w:sz w:val="24"/>
          <w:szCs w:val="24"/>
        </w:rPr>
        <w:t xml:space="preserve"> </w:t>
      </w: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OR DEL ESTADO DE NUEVO LEÓN y a</w:t>
      </w:r>
      <w:r w:rsidR="000350B0">
        <w:rPr>
          <w:rFonts w:ascii="Arial" w:hAnsi="Arial" w:cs="Arial"/>
          <w:bCs/>
          <w:sz w:val="24"/>
          <w:szCs w:val="24"/>
        </w:rPr>
        <w:t>l</w:t>
      </w:r>
      <w:r w:rsidR="00A410B6">
        <w:rPr>
          <w:rFonts w:ascii="Arial" w:hAnsi="Arial" w:cs="Arial"/>
          <w:bCs/>
          <w:sz w:val="24"/>
          <w:szCs w:val="24"/>
        </w:rPr>
        <w:t xml:space="preserve"> </w:t>
      </w:r>
      <w:r w:rsidR="004B1929">
        <w:rPr>
          <w:rFonts w:ascii="Arial" w:hAnsi="Arial" w:cs="Arial"/>
          <w:b/>
          <w:sz w:val="24"/>
        </w:rPr>
        <w:t>FIDEICOMISO PÚBLICO DE ADMINISTRACIÓN Y TRASLATIVO DE DOMINIO CIUDAD SOLIDARIDAD</w:t>
      </w:r>
      <w:r w:rsidR="00811C58">
        <w:rPr>
          <w:rFonts w:ascii="Arial" w:hAnsi="Arial" w:cs="Arial"/>
          <w:b/>
          <w:bCs/>
          <w:sz w:val="24"/>
          <w:szCs w:val="24"/>
        </w:rPr>
        <w:t xml:space="preserve">, </w:t>
      </w:r>
      <w:r w:rsidR="007E6300">
        <w:rPr>
          <w:rFonts w:ascii="Arial" w:hAnsi="Arial" w:cs="Arial"/>
          <w:bCs/>
          <w:sz w:val="24"/>
          <w:szCs w:val="24"/>
        </w:rPr>
        <w:t>para 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870A70">
        <w:rPr>
          <w:rFonts w:ascii="Arial" w:hAnsi="Arial" w:cs="Arial"/>
          <w:b/>
        </w:rPr>
        <w:t xml:space="preserve"> </w:t>
      </w:r>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720E1D" w:rsidRPr="009A7A82" w:rsidRDefault="00720E1D" w:rsidP="00720E1D">
      <w:pPr>
        <w:rPr>
          <w:lang w:val="es-ES_tradnl" w:eastAsia="ar-SA"/>
        </w:rPr>
      </w:pPr>
    </w:p>
    <w:p w:rsidR="00720E1D" w:rsidRDefault="00F8371D" w:rsidP="00720E1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720E1D">
        <w:rPr>
          <w:rFonts w:ascii="Arial" w:hAnsi="Arial" w:cs="Arial"/>
          <w:b/>
          <w:lang w:val="es-ES_tradnl"/>
        </w:rPr>
        <w:t>:</w:t>
      </w:r>
    </w:p>
    <w:p w:rsidR="00F8371D" w:rsidRDefault="00F8371D" w:rsidP="00720E1D">
      <w:pPr>
        <w:pStyle w:val="Body1"/>
        <w:widowControl w:val="0"/>
        <w:tabs>
          <w:tab w:val="left" w:pos="3828"/>
        </w:tabs>
        <w:suppressAutoHyphens/>
        <w:spacing w:after="120"/>
        <w:jc w:val="center"/>
        <w:rPr>
          <w:rFonts w:ascii="Arial" w:hAnsi="Arial" w:cs="Arial"/>
          <w:b/>
          <w:lang w:val="es-ES_tradnl"/>
        </w:rPr>
      </w:pPr>
    </w:p>
    <w:p w:rsidR="0002211B" w:rsidRDefault="0002211B" w:rsidP="00F8371D">
      <w:pPr>
        <w:jc w:val="center"/>
        <w:outlineLvl w:val="0"/>
        <w:rPr>
          <w:rFonts w:ascii="Arial" w:eastAsia="Arial Unicode MS" w:hAnsi="Arial" w:cs="Arial"/>
          <w:smallCaps/>
          <w:color w:val="000000"/>
          <w:lang w:val="es-MX"/>
        </w:rPr>
      </w:pPr>
    </w:p>
    <w:p w:rsidR="00F8371D" w:rsidRDefault="00F8371D" w:rsidP="00F8371D">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720E1D" w:rsidRDefault="00720E1D" w:rsidP="00720E1D">
      <w:pPr>
        <w:jc w:val="center"/>
        <w:outlineLvl w:val="0"/>
        <w:rPr>
          <w:rFonts w:ascii="Arial" w:eastAsia="Arial Unicode MS" w:hAnsi="Arial" w:cs="Arial"/>
          <w:smallCaps/>
          <w:color w:val="000000"/>
          <w:lang w:val="es-MX"/>
        </w:rPr>
      </w:pPr>
    </w:p>
    <w:p w:rsidR="00F8371D" w:rsidRPr="006743D1" w:rsidRDefault="00F8371D" w:rsidP="00720E1D">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bookmarkStart w:id="2" w:name="_GoBack"/>
      <w:bookmarkEnd w:id="2"/>
    </w:p>
    <w:sectPr w:rsidR="00720E1D" w:rsidRPr="00720E1D" w:rsidSect="00637589">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C6" w:rsidRDefault="00D349C6" w:rsidP="005003EB">
      <w:pPr>
        <w:spacing w:after="0" w:line="240" w:lineRule="auto"/>
      </w:pPr>
      <w:r>
        <w:separator/>
      </w:r>
    </w:p>
  </w:endnote>
  <w:endnote w:type="continuationSeparator" w:id="0">
    <w:p w:rsidR="00D349C6" w:rsidRDefault="00D349C6"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0"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41F" w:rsidRPr="0088072B" w:rsidRDefault="00FD741F">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637589">
      <w:rPr>
        <w:rFonts w:ascii="Century Gothic" w:hAnsi="Century Gothic"/>
        <w:noProof/>
        <w:sz w:val="20"/>
        <w:szCs w:val="20"/>
      </w:rPr>
      <w:t>25</w:t>
    </w:r>
    <w:r w:rsidRPr="0088072B">
      <w:rPr>
        <w:rFonts w:ascii="Century Gothic" w:hAnsi="Century Gothic"/>
        <w:sz w:val="20"/>
        <w:szCs w:val="20"/>
      </w:rPr>
      <w:fldChar w:fldCharType="end"/>
    </w:r>
  </w:p>
  <w:p w:rsidR="00FD741F" w:rsidRPr="0029225D" w:rsidRDefault="00FD741F" w:rsidP="007E057C">
    <w:pPr>
      <w:pStyle w:val="Piedepgina"/>
      <w:jc w:val="center"/>
      <w:rPr>
        <w:rFonts w:ascii="Arial" w:hAnsi="Arial" w:cs="Arial"/>
        <w:sz w:val="16"/>
        <w:szCs w:val="16"/>
      </w:rPr>
    </w:pPr>
    <w:r w:rsidRPr="0029225D">
      <w:rPr>
        <w:rFonts w:ascii="Arial" w:hAnsi="Arial" w:cs="Arial"/>
        <w:sz w:val="16"/>
        <w:szCs w:val="16"/>
      </w:rPr>
      <w:t>Comisión de Hacienda del Estado</w:t>
    </w:r>
  </w:p>
  <w:p w:rsidR="00FD741F" w:rsidRPr="0029225D" w:rsidRDefault="00FD741F" w:rsidP="007E057C">
    <w:pPr>
      <w:pStyle w:val="Piedepgina"/>
      <w:jc w:val="center"/>
      <w:rPr>
        <w:rFonts w:ascii="Arial" w:hAnsi="Arial" w:cs="Arial"/>
        <w:sz w:val="16"/>
        <w:szCs w:val="16"/>
      </w:rPr>
    </w:pPr>
    <w:r>
      <w:rPr>
        <w:rFonts w:ascii="Arial" w:hAnsi="Arial" w:cs="Arial"/>
        <w:sz w:val="16"/>
        <w:szCs w:val="16"/>
      </w:rPr>
      <w:t xml:space="preserve">Dictamen del </w:t>
    </w:r>
    <w:r w:rsidRPr="0029225D">
      <w:rPr>
        <w:rFonts w:ascii="Arial" w:hAnsi="Arial" w:cs="Arial"/>
        <w:sz w:val="16"/>
        <w:szCs w:val="16"/>
      </w:rPr>
      <w:t xml:space="preserve">Expediente </w:t>
    </w:r>
    <w:r w:rsidR="00CE3766">
      <w:rPr>
        <w:rFonts w:ascii="Arial" w:hAnsi="Arial" w:cs="Arial"/>
        <w:sz w:val="16"/>
        <w:szCs w:val="16"/>
      </w:rPr>
      <w:t>10436</w:t>
    </w:r>
    <w:r>
      <w:rPr>
        <w:rFonts w:ascii="Arial" w:hAnsi="Arial" w:cs="Arial"/>
        <w:sz w:val="16"/>
        <w:szCs w:val="16"/>
      </w:rPr>
      <w:t>/LXXIII</w:t>
    </w:r>
    <w:r w:rsidRPr="0029225D">
      <w:rPr>
        <w:rFonts w:ascii="Arial" w:hAnsi="Arial" w:cs="Arial"/>
        <w:sz w:val="16"/>
        <w:szCs w:val="16"/>
      </w:rPr>
      <w:t xml:space="preserve"> Cuenta Pública 201</w:t>
    </w:r>
    <w:r w:rsidR="00CE3766">
      <w:rPr>
        <w:rFonts w:ascii="Arial" w:hAnsi="Arial" w:cs="Arial"/>
        <w:sz w:val="16"/>
        <w:szCs w:val="16"/>
      </w:rPr>
      <w:t>5</w:t>
    </w:r>
    <w:r>
      <w:rPr>
        <w:rFonts w:ascii="Arial" w:hAnsi="Arial" w:cs="Arial"/>
        <w:sz w:val="16"/>
        <w:szCs w:val="16"/>
      </w:rPr>
      <w:t xml:space="preserve"> de</w:t>
    </w:r>
    <w:r w:rsidRPr="00925835">
      <w:rPr>
        <w:rFonts w:ascii="Arial" w:hAnsi="Arial" w:cs="Arial"/>
        <w:sz w:val="16"/>
        <w:szCs w:val="16"/>
      </w:rPr>
      <w:t xml:space="preserve"> </w:t>
    </w:r>
    <w:r>
      <w:rPr>
        <w:rFonts w:ascii="Arial" w:hAnsi="Arial" w:cs="Arial"/>
        <w:sz w:val="16"/>
        <w:szCs w:val="16"/>
      </w:rPr>
      <w:t>Fideicomiso Público de Administración y Traslativo de Dominio Solidaridad</w:t>
    </w:r>
    <w:r w:rsidRPr="0092583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C6" w:rsidRDefault="00D349C6" w:rsidP="005003EB">
      <w:pPr>
        <w:spacing w:after="0" w:line="240" w:lineRule="auto"/>
      </w:pPr>
      <w:r>
        <w:separator/>
      </w:r>
    </w:p>
  </w:footnote>
  <w:footnote w:type="continuationSeparator" w:id="0">
    <w:p w:rsidR="00D349C6" w:rsidRDefault="00D349C6"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FB7"/>
    <w:multiLevelType w:val="hybridMultilevel"/>
    <w:tmpl w:val="E83A8C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B3307"/>
    <w:multiLevelType w:val="hybridMultilevel"/>
    <w:tmpl w:val="0506F13A"/>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63E6B"/>
    <w:multiLevelType w:val="hybridMultilevel"/>
    <w:tmpl w:val="6C8A7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DA3"/>
    <w:multiLevelType w:val="hybridMultilevel"/>
    <w:tmpl w:val="1A42C77A"/>
    <w:lvl w:ilvl="0" w:tplc="6798C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626812"/>
    <w:multiLevelType w:val="hybridMultilevel"/>
    <w:tmpl w:val="026ADAF0"/>
    <w:lvl w:ilvl="0" w:tplc="A688188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C1B2B"/>
    <w:multiLevelType w:val="hybridMultilevel"/>
    <w:tmpl w:val="02B8ADF6"/>
    <w:lvl w:ilvl="0" w:tplc="9B6CE830">
      <w:start w:val="1"/>
      <w:numFmt w:val="lowerLetter"/>
      <w:lvlText w:val="%1)"/>
      <w:lvlJc w:val="left"/>
      <w:pPr>
        <w:ind w:left="1068" w:hanging="360"/>
      </w:pPr>
      <w:rPr>
        <w:rFonts w:ascii="Times New Roman" w:eastAsia="Times New Roman" w:hAnsi="Times New Roman"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23C3C0C"/>
    <w:multiLevelType w:val="hybridMultilevel"/>
    <w:tmpl w:val="7C761A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81E8E"/>
    <w:multiLevelType w:val="hybridMultilevel"/>
    <w:tmpl w:val="99E6855E"/>
    <w:lvl w:ilvl="0" w:tplc="DCF05ECC">
      <w:start w:val="1"/>
      <w:numFmt w:val="upperRoman"/>
      <w:lvlText w:val="%1."/>
      <w:lvlJc w:val="left"/>
      <w:pPr>
        <w:ind w:left="785" w:hanging="360"/>
      </w:pPr>
      <w:rPr>
        <w:rFonts w:hint="default"/>
        <w:b/>
        <w:sz w:val="24"/>
        <w:szCs w:val="24"/>
      </w:rPr>
    </w:lvl>
    <w:lvl w:ilvl="1" w:tplc="0C0A0019">
      <w:start w:val="1"/>
      <w:numFmt w:val="lowerLetter"/>
      <w:lvlText w:val="%2."/>
      <w:lvlJc w:val="left"/>
      <w:pPr>
        <w:tabs>
          <w:tab w:val="num" w:pos="1145"/>
        </w:tabs>
        <w:ind w:left="1145" w:hanging="360"/>
      </w:pPr>
    </w:lvl>
    <w:lvl w:ilvl="2" w:tplc="0C0A001B" w:tentative="1">
      <w:start w:val="1"/>
      <w:numFmt w:val="lowerRoman"/>
      <w:lvlText w:val="%3."/>
      <w:lvlJc w:val="right"/>
      <w:pPr>
        <w:tabs>
          <w:tab w:val="num" w:pos="1865"/>
        </w:tabs>
        <w:ind w:left="1865" w:hanging="180"/>
      </w:pPr>
    </w:lvl>
    <w:lvl w:ilvl="3" w:tplc="0C0A000F" w:tentative="1">
      <w:start w:val="1"/>
      <w:numFmt w:val="decimal"/>
      <w:lvlText w:val="%4."/>
      <w:lvlJc w:val="left"/>
      <w:pPr>
        <w:tabs>
          <w:tab w:val="num" w:pos="2585"/>
        </w:tabs>
        <w:ind w:left="2585" w:hanging="360"/>
      </w:pPr>
    </w:lvl>
    <w:lvl w:ilvl="4" w:tplc="0C0A0019" w:tentative="1">
      <w:start w:val="1"/>
      <w:numFmt w:val="lowerLetter"/>
      <w:lvlText w:val="%5."/>
      <w:lvlJc w:val="left"/>
      <w:pPr>
        <w:tabs>
          <w:tab w:val="num" w:pos="3305"/>
        </w:tabs>
        <w:ind w:left="3305" w:hanging="360"/>
      </w:pPr>
    </w:lvl>
    <w:lvl w:ilvl="5" w:tplc="0C0A001B" w:tentative="1">
      <w:start w:val="1"/>
      <w:numFmt w:val="lowerRoman"/>
      <w:lvlText w:val="%6."/>
      <w:lvlJc w:val="right"/>
      <w:pPr>
        <w:tabs>
          <w:tab w:val="num" w:pos="4025"/>
        </w:tabs>
        <w:ind w:left="4025" w:hanging="180"/>
      </w:pPr>
    </w:lvl>
    <w:lvl w:ilvl="6" w:tplc="0C0A000F" w:tentative="1">
      <w:start w:val="1"/>
      <w:numFmt w:val="decimal"/>
      <w:lvlText w:val="%7."/>
      <w:lvlJc w:val="left"/>
      <w:pPr>
        <w:tabs>
          <w:tab w:val="num" w:pos="4745"/>
        </w:tabs>
        <w:ind w:left="4745" w:hanging="360"/>
      </w:pPr>
    </w:lvl>
    <w:lvl w:ilvl="7" w:tplc="0C0A0019" w:tentative="1">
      <w:start w:val="1"/>
      <w:numFmt w:val="lowerLetter"/>
      <w:lvlText w:val="%8."/>
      <w:lvlJc w:val="left"/>
      <w:pPr>
        <w:tabs>
          <w:tab w:val="num" w:pos="5465"/>
        </w:tabs>
        <w:ind w:left="5465" w:hanging="360"/>
      </w:pPr>
    </w:lvl>
    <w:lvl w:ilvl="8" w:tplc="0C0A001B" w:tentative="1">
      <w:start w:val="1"/>
      <w:numFmt w:val="lowerRoman"/>
      <w:lvlText w:val="%9."/>
      <w:lvlJc w:val="right"/>
      <w:pPr>
        <w:tabs>
          <w:tab w:val="num" w:pos="6185"/>
        </w:tabs>
        <w:ind w:left="6185" w:hanging="180"/>
      </w:pPr>
    </w:lvl>
  </w:abstractNum>
  <w:abstractNum w:abstractNumId="10" w15:restartNumberingAfterBreak="0">
    <w:nsid w:val="1BB519FC"/>
    <w:multiLevelType w:val="hybridMultilevel"/>
    <w:tmpl w:val="0182571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50F3C"/>
    <w:multiLevelType w:val="hybridMultilevel"/>
    <w:tmpl w:val="5DC23522"/>
    <w:lvl w:ilvl="0" w:tplc="E04C6FD0">
      <w:start w:val="1"/>
      <w:numFmt w:val="lowerLetter"/>
      <w:lvlText w:val="%1)"/>
      <w:lvlJc w:val="left"/>
      <w:pPr>
        <w:ind w:left="2487" w:hanging="360"/>
      </w:pPr>
      <w:rPr>
        <w:rFonts w:ascii="Arial" w:eastAsia="Times New Roman" w:hAnsi="Arial" w:cs="Arial"/>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13" w15:restartNumberingAfterBreak="0">
    <w:nsid w:val="21917052"/>
    <w:multiLevelType w:val="hybridMultilevel"/>
    <w:tmpl w:val="1234AEE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257D0F"/>
    <w:multiLevelType w:val="hybridMultilevel"/>
    <w:tmpl w:val="6F6AC0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1719B4"/>
    <w:multiLevelType w:val="hybridMultilevel"/>
    <w:tmpl w:val="AA18FEBE"/>
    <w:lvl w:ilvl="0" w:tplc="6F5817C4">
      <w:start w:val="2"/>
      <w:numFmt w:val="upperRoman"/>
      <w:lvlText w:val="%1."/>
      <w:lvlJc w:val="right"/>
      <w:pPr>
        <w:ind w:left="502"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ED5F40"/>
    <w:multiLevelType w:val="hybridMultilevel"/>
    <w:tmpl w:val="DE68EF24"/>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4A6023"/>
    <w:multiLevelType w:val="hybridMultilevel"/>
    <w:tmpl w:val="B358EC38"/>
    <w:lvl w:ilvl="0" w:tplc="D01E94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45EA9"/>
    <w:multiLevelType w:val="hybridMultilevel"/>
    <w:tmpl w:val="C914A520"/>
    <w:lvl w:ilvl="0" w:tplc="6C72B2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1AA0C1A"/>
    <w:multiLevelType w:val="hybridMultilevel"/>
    <w:tmpl w:val="35F8B19A"/>
    <w:lvl w:ilvl="0" w:tplc="605AF6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59E365B"/>
    <w:multiLevelType w:val="hybridMultilevel"/>
    <w:tmpl w:val="792ADDF4"/>
    <w:lvl w:ilvl="0" w:tplc="8B1E6510">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4353D7"/>
    <w:multiLevelType w:val="hybridMultilevel"/>
    <w:tmpl w:val="192270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1A2B15"/>
    <w:multiLevelType w:val="hybridMultilevel"/>
    <w:tmpl w:val="D7D23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3F52BB"/>
    <w:multiLevelType w:val="hybridMultilevel"/>
    <w:tmpl w:val="6A18B23A"/>
    <w:lvl w:ilvl="0" w:tplc="080A0013">
      <w:start w:val="1"/>
      <w:numFmt w:val="upperRoman"/>
      <w:lvlText w:val="%1."/>
      <w:lvlJc w:val="righ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A285947"/>
    <w:multiLevelType w:val="hybridMultilevel"/>
    <w:tmpl w:val="79D8E55A"/>
    <w:lvl w:ilvl="0" w:tplc="6D0278CA">
      <w:start w:val="2"/>
      <w:numFmt w:val="upperRoman"/>
      <w:lvlText w:val="%1."/>
      <w:lvlJc w:val="right"/>
      <w:pPr>
        <w:ind w:left="1146"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DF09DB"/>
    <w:multiLevelType w:val="hybridMultilevel"/>
    <w:tmpl w:val="99E8F2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EA360B"/>
    <w:multiLevelType w:val="hybridMultilevel"/>
    <w:tmpl w:val="0CFEC200"/>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482733"/>
    <w:multiLevelType w:val="hybridMultilevel"/>
    <w:tmpl w:val="735E50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0A3EB0"/>
    <w:multiLevelType w:val="hybridMultilevel"/>
    <w:tmpl w:val="35EAA5CE"/>
    <w:lvl w:ilvl="0" w:tplc="625E21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5E43C3"/>
    <w:multiLevelType w:val="hybridMultilevel"/>
    <w:tmpl w:val="2C1EF120"/>
    <w:lvl w:ilvl="0" w:tplc="8DDA5EB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06F320B"/>
    <w:multiLevelType w:val="hybridMultilevel"/>
    <w:tmpl w:val="F54E3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9BD2463"/>
    <w:multiLevelType w:val="hybridMultilevel"/>
    <w:tmpl w:val="04C0B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111A16"/>
    <w:multiLevelType w:val="hybridMultilevel"/>
    <w:tmpl w:val="629EB0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4E63714B"/>
    <w:multiLevelType w:val="hybridMultilevel"/>
    <w:tmpl w:val="D342264A"/>
    <w:lvl w:ilvl="0" w:tplc="080A0017">
      <w:start w:val="1"/>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06E3FD1"/>
    <w:multiLevelType w:val="hybridMultilevel"/>
    <w:tmpl w:val="FB547748"/>
    <w:lvl w:ilvl="0" w:tplc="01D6B010">
      <w:start w:val="1"/>
      <w:numFmt w:val="lowerLetter"/>
      <w:lvlText w:val="%1)"/>
      <w:lvlJc w:val="left"/>
      <w:pPr>
        <w:tabs>
          <w:tab w:val="num" w:pos="360"/>
        </w:tabs>
        <w:ind w:left="227" w:hanging="22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4811AC4"/>
    <w:multiLevelType w:val="hybridMultilevel"/>
    <w:tmpl w:val="1B92314E"/>
    <w:lvl w:ilvl="0" w:tplc="D92E3708">
      <w:start w:val="1"/>
      <w:numFmt w:val="upperRoman"/>
      <w:lvlText w:val="%1."/>
      <w:lvlJc w:val="right"/>
      <w:pPr>
        <w:ind w:left="785"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524136E"/>
    <w:multiLevelType w:val="hybridMultilevel"/>
    <w:tmpl w:val="31EA4E52"/>
    <w:lvl w:ilvl="0" w:tplc="625E21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57163218"/>
    <w:multiLevelType w:val="hybridMultilevel"/>
    <w:tmpl w:val="F1B65B32"/>
    <w:lvl w:ilvl="0" w:tplc="034257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D4233E"/>
    <w:multiLevelType w:val="hybridMultilevel"/>
    <w:tmpl w:val="192270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47" w15:restartNumberingAfterBreak="0">
    <w:nsid w:val="738B67FB"/>
    <w:multiLevelType w:val="hybridMultilevel"/>
    <w:tmpl w:val="9A74F3F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8" w15:restartNumberingAfterBreak="0">
    <w:nsid w:val="78BF1A74"/>
    <w:multiLevelType w:val="hybridMultilevel"/>
    <w:tmpl w:val="DC6840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8"/>
  </w:num>
  <w:num w:numId="4">
    <w:abstractNumId w:val="4"/>
  </w:num>
  <w:num w:numId="5">
    <w:abstractNumId w:val="11"/>
  </w:num>
  <w:num w:numId="6">
    <w:abstractNumId w:val="26"/>
  </w:num>
  <w:num w:numId="7">
    <w:abstractNumId w:val="34"/>
  </w:num>
  <w:num w:numId="8">
    <w:abstractNumId w:val="43"/>
  </w:num>
  <w:num w:numId="9">
    <w:abstractNumId w:val="14"/>
  </w:num>
  <w:num w:numId="10">
    <w:abstractNumId w:val="38"/>
  </w:num>
  <w:num w:numId="11">
    <w:abstractNumId w:val="10"/>
  </w:num>
  <w:num w:numId="12">
    <w:abstractNumId w:val="40"/>
  </w:num>
  <w:num w:numId="13">
    <w:abstractNumId w:val="0"/>
  </w:num>
  <w:num w:numId="14">
    <w:abstractNumId w:val="32"/>
  </w:num>
  <w:num w:numId="15">
    <w:abstractNumId w:val="44"/>
  </w:num>
  <w:num w:numId="16">
    <w:abstractNumId w:val="37"/>
  </w:num>
  <w:num w:numId="17">
    <w:abstractNumId w:val="46"/>
  </w:num>
  <w:num w:numId="18">
    <w:abstractNumId w:val="22"/>
  </w:num>
  <w:num w:numId="19">
    <w:abstractNumId w:val="9"/>
  </w:num>
  <w:num w:numId="20">
    <w:abstractNumId w:val="42"/>
  </w:num>
  <w:num w:numId="21">
    <w:abstractNumId w:val="31"/>
  </w:num>
  <w:num w:numId="22">
    <w:abstractNumId w:val="47"/>
  </w:num>
  <w:num w:numId="23">
    <w:abstractNumId w:val="17"/>
  </w:num>
  <w:num w:numId="24">
    <w:abstractNumId w:val="27"/>
  </w:num>
  <w:num w:numId="25">
    <w:abstractNumId w:val="1"/>
  </w:num>
  <w:num w:numId="26">
    <w:abstractNumId w:val="13"/>
  </w:num>
  <w:num w:numId="27">
    <w:abstractNumId w:val="5"/>
  </w:num>
  <w:num w:numId="28">
    <w:abstractNumId w:val="29"/>
  </w:num>
  <w:num w:numId="29">
    <w:abstractNumId w:val="41"/>
  </w:num>
  <w:num w:numId="30">
    <w:abstractNumId w:val="16"/>
  </w:num>
  <w:num w:numId="31">
    <w:abstractNumId w:val="18"/>
  </w:num>
  <w:num w:numId="32">
    <w:abstractNumId w:val="3"/>
  </w:num>
  <w:num w:numId="33">
    <w:abstractNumId w:val="15"/>
  </w:num>
  <w:num w:numId="34">
    <w:abstractNumId w:val="36"/>
  </w:num>
  <w:num w:numId="35">
    <w:abstractNumId w:val="7"/>
  </w:num>
  <w:num w:numId="36">
    <w:abstractNumId w:val="39"/>
  </w:num>
  <w:num w:numId="37">
    <w:abstractNumId w:val="20"/>
  </w:num>
  <w:num w:numId="38">
    <w:abstractNumId w:val="2"/>
  </w:num>
  <w:num w:numId="39">
    <w:abstractNumId w:val="28"/>
  </w:num>
  <w:num w:numId="40">
    <w:abstractNumId w:val="25"/>
  </w:num>
  <w:num w:numId="41">
    <w:abstractNumId w:val="6"/>
  </w:num>
  <w:num w:numId="42">
    <w:abstractNumId w:val="23"/>
  </w:num>
  <w:num w:numId="43">
    <w:abstractNumId w:val="21"/>
  </w:num>
  <w:num w:numId="44">
    <w:abstractNumId w:val="24"/>
  </w:num>
  <w:num w:numId="45">
    <w:abstractNumId w:val="45"/>
  </w:num>
  <w:num w:numId="46">
    <w:abstractNumId w:val="48"/>
  </w:num>
  <w:num w:numId="47">
    <w:abstractNumId w:val="12"/>
  </w:num>
  <w:num w:numId="48">
    <w:abstractNumId w:val="33"/>
  </w:num>
  <w:num w:numId="4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11B"/>
    <w:rsid w:val="00022C35"/>
    <w:rsid w:val="00024100"/>
    <w:rsid w:val="0002438B"/>
    <w:rsid w:val="00024BFE"/>
    <w:rsid w:val="000270BA"/>
    <w:rsid w:val="00030357"/>
    <w:rsid w:val="00030A7F"/>
    <w:rsid w:val="00030F07"/>
    <w:rsid w:val="000350B0"/>
    <w:rsid w:val="00035CE3"/>
    <w:rsid w:val="00036186"/>
    <w:rsid w:val="000367DD"/>
    <w:rsid w:val="000405DF"/>
    <w:rsid w:val="00040D81"/>
    <w:rsid w:val="00042451"/>
    <w:rsid w:val="00044ADF"/>
    <w:rsid w:val="00046A7F"/>
    <w:rsid w:val="00047CCC"/>
    <w:rsid w:val="00050916"/>
    <w:rsid w:val="00051286"/>
    <w:rsid w:val="000522D8"/>
    <w:rsid w:val="00055486"/>
    <w:rsid w:val="00056BF6"/>
    <w:rsid w:val="0005714F"/>
    <w:rsid w:val="00057B3D"/>
    <w:rsid w:val="00063CBA"/>
    <w:rsid w:val="000643C1"/>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6BA2"/>
    <w:rsid w:val="00087527"/>
    <w:rsid w:val="00091A4C"/>
    <w:rsid w:val="00092263"/>
    <w:rsid w:val="00093131"/>
    <w:rsid w:val="00093C5B"/>
    <w:rsid w:val="00096111"/>
    <w:rsid w:val="000A2518"/>
    <w:rsid w:val="000A2DBB"/>
    <w:rsid w:val="000A2DE6"/>
    <w:rsid w:val="000A59BF"/>
    <w:rsid w:val="000A63E0"/>
    <w:rsid w:val="000A6C73"/>
    <w:rsid w:val="000A6FDF"/>
    <w:rsid w:val="000A7D9B"/>
    <w:rsid w:val="000B16E4"/>
    <w:rsid w:val="000B2E4E"/>
    <w:rsid w:val="000B3778"/>
    <w:rsid w:val="000B516E"/>
    <w:rsid w:val="000B6E88"/>
    <w:rsid w:val="000C002B"/>
    <w:rsid w:val="000C02F1"/>
    <w:rsid w:val="000C03A1"/>
    <w:rsid w:val="000C1023"/>
    <w:rsid w:val="000C18C6"/>
    <w:rsid w:val="000C1977"/>
    <w:rsid w:val="000C2061"/>
    <w:rsid w:val="000C2D6F"/>
    <w:rsid w:val="000C3A06"/>
    <w:rsid w:val="000C4EE8"/>
    <w:rsid w:val="000C5991"/>
    <w:rsid w:val="000C676C"/>
    <w:rsid w:val="000D0605"/>
    <w:rsid w:val="000D0959"/>
    <w:rsid w:val="000D2C1B"/>
    <w:rsid w:val="000D34D5"/>
    <w:rsid w:val="000D5EEA"/>
    <w:rsid w:val="000D7465"/>
    <w:rsid w:val="000D7680"/>
    <w:rsid w:val="000E00D7"/>
    <w:rsid w:val="000E309E"/>
    <w:rsid w:val="000E3121"/>
    <w:rsid w:val="000E3177"/>
    <w:rsid w:val="000E716B"/>
    <w:rsid w:val="000E729A"/>
    <w:rsid w:val="000F0421"/>
    <w:rsid w:val="000F0D10"/>
    <w:rsid w:val="000F1CE0"/>
    <w:rsid w:val="000F3F71"/>
    <w:rsid w:val="000F41AD"/>
    <w:rsid w:val="000F5448"/>
    <w:rsid w:val="000F5619"/>
    <w:rsid w:val="000F5D6E"/>
    <w:rsid w:val="000F74B9"/>
    <w:rsid w:val="00100351"/>
    <w:rsid w:val="00100C21"/>
    <w:rsid w:val="00100C4C"/>
    <w:rsid w:val="00101DE0"/>
    <w:rsid w:val="00102664"/>
    <w:rsid w:val="00102DB5"/>
    <w:rsid w:val="001042B4"/>
    <w:rsid w:val="00104468"/>
    <w:rsid w:val="00106FA7"/>
    <w:rsid w:val="0010753E"/>
    <w:rsid w:val="00110834"/>
    <w:rsid w:val="001123AF"/>
    <w:rsid w:val="00114296"/>
    <w:rsid w:val="001154FB"/>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46C76"/>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4E6"/>
    <w:rsid w:val="001A1594"/>
    <w:rsid w:val="001A6E0D"/>
    <w:rsid w:val="001A727A"/>
    <w:rsid w:val="001A7FB2"/>
    <w:rsid w:val="001B0AF2"/>
    <w:rsid w:val="001B40AD"/>
    <w:rsid w:val="001B47DA"/>
    <w:rsid w:val="001B56BC"/>
    <w:rsid w:val="001B72E7"/>
    <w:rsid w:val="001B77AA"/>
    <w:rsid w:val="001B7FFE"/>
    <w:rsid w:val="001C071A"/>
    <w:rsid w:val="001C12FB"/>
    <w:rsid w:val="001C15DE"/>
    <w:rsid w:val="001C1F1F"/>
    <w:rsid w:val="001C4722"/>
    <w:rsid w:val="001C54E5"/>
    <w:rsid w:val="001C66A8"/>
    <w:rsid w:val="001C73B5"/>
    <w:rsid w:val="001C7975"/>
    <w:rsid w:val="001D0F95"/>
    <w:rsid w:val="001D253D"/>
    <w:rsid w:val="001D33E0"/>
    <w:rsid w:val="001D5FAA"/>
    <w:rsid w:val="001D6082"/>
    <w:rsid w:val="001E0AF2"/>
    <w:rsid w:val="001E20FC"/>
    <w:rsid w:val="001E2720"/>
    <w:rsid w:val="001E3704"/>
    <w:rsid w:val="001E3D4B"/>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04312"/>
    <w:rsid w:val="0020745C"/>
    <w:rsid w:val="00210C4F"/>
    <w:rsid w:val="00210FE7"/>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7007A"/>
    <w:rsid w:val="00270E97"/>
    <w:rsid w:val="00272AA0"/>
    <w:rsid w:val="0027331D"/>
    <w:rsid w:val="002767DB"/>
    <w:rsid w:val="00277848"/>
    <w:rsid w:val="00277B47"/>
    <w:rsid w:val="00282224"/>
    <w:rsid w:val="00283BB4"/>
    <w:rsid w:val="00285116"/>
    <w:rsid w:val="002877DC"/>
    <w:rsid w:val="002878EB"/>
    <w:rsid w:val="00290E33"/>
    <w:rsid w:val="0029225D"/>
    <w:rsid w:val="00292A20"/>
    <w:rsid w:val="00295469"/>
    <w:rsid w:val="002959ED"/>
    <w:rsid w:val="00295C16"/>
    <w:rsid w:val="002965DB"/>
    <w:rsid w:val="00297B3F"/>
    <w:rsid w:val="002A0AB5"/>
    <w:rsid w:val="002A112F"/>
    <w:rsid w:val="002A19E9"/>
    <w:rsid w:val="002A2DD4"/>
    <w:rsid w:val="002A5B45"/>
    <w:rsid w:val="002A5FB3"/>
    <w:rsid w:val="002A623F"/>
    <w:rsid w:val="002A6802"/>
    <w:rsid w:val="002A7822"/>
    <w:rsid w:val="002B0DF8"/>
    <w:rsid w:val="002B1584"/>
    <w:rsid w:val="002B19EF"/>
    <w:rsid w:val="002B2257"/>
    <w:rsid w:val="002B2D70"/>
    <w:rsid w:val="002B330B"/>
    <w:rsid w:val="002B4C61"/>
    <w:rsid w:val="002B4EA7"/>
    <w:rsid w:val="002B515F"/>
    <w:rsid w:val="002B6026"/>
    <w:rsid w:val="002C07ED"/>
    <w:rsid w:val="002C13EF"/>
    <w:rsid w:val="002C31E1"/>
    <w:rsid w:val="002C3A6D"/>
    <w:rsid w:val="002C3F44"/>
    <w:rsid w:val="002C3FD6"/>
    <w:rsid w:val="002C41D0"/>
    <w:rsid w:val="002C57CD"/>
    <w:rsid w:val="002D3152"/>
    <w:rsid w:val="002D3ADB"/>
    <w:rsid w:val="002D4A62"/>
    <w:rsid w:val="002D4A87"/>
    <w:rsid w:val="002D5294"/>
    <w:rsid w:val="002E1772"/>
    <w:rsid w:val="002E2E4D"/>
    <w:rsid w:val="002E6F5D"/>
    <w:rsid w:val="002E7A32"/>
    <w:rsid w:val="002E7F5A"/>
    <w:rsid w:val="002F0B30"/>
    <w:rsid w:val="002F1915"/>
    <w:rsid w:val="002F2B6D"/>
    <w:rsid w:val="002F34C1"/>
    <w:rsid w:val="002F41EB"/>
    <w:rsid w:val="002F5C7D"/>
    <w:rsid w:val="002F6570"/>
    <w:rsid w:val="002F7886"/>
    <w:rsid w:val="003049DF"/>
    <w:rsid w:val="00305F18"/>
    <w:rsid w:val="003066CA"/>
    <w:rsid w:val="0030675A"/>
    <w:rsid w:val="00310909"/>
    <w:rsid w:val="00310DD5"/>
    <w:rsid w:val="00312341"/>
    <w:rsid w:val="00312652"/>
    <w:rsid w:val="0031568B"/>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A95"/>
    <w:rsid w:val="00334CA4"/>
    <w:rsid w:val="00335A36"/>
    <w:rsid w:val="0033659E"/>
    <w:rsid w:val="00337175"/>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1EA"/>
    <w:rsid w:val="0037220C"/>
    <w:rsid w:val="00372421"/>
    <w:rsid w:val="003728F5"/>
    <w:rsid w:val="003737EF"/>
    <w:rsid w:val="00373B52"/>
    <w:rsid w:val="003740B3"/>
    <w:rsid w:val="00374282"/>
    <w:rsid w:val="00374BFE"/>
    <w:rsid w:val="00375B28"/>
    <w:rsid w:val="003777F7"/>
    <w:rsid w:val="0037791A"/>
    <w:rsid w:val="00377CFB"/>
    <w:rsid w:val="00380FE9"/>
    <w:rsid w:val="00381C5F"/>
    <w:rsid w:val="00382EDA"/>
    <w:rsid w:val="00386473"/>
    <w:rsid w:val="00387BDD"/>
    <w:rsid w:val="0039209E"/>
    <w:rsid w:val="00393507"/>
    <w:rsid w:val="003939C8"/>
    <w:rsid w:val="00393F80"/>
    <w:rsid w:val="00394448"/>
    <w:rsid w:val="00397279"/>
    <w:rsid w:val="003977EA"/>
    <w:rsid w:val="003A0259"/>
    <w:rsid w:val="003A0649"/>
    <w:rsid w:val="003A2083"/>
    <w:rsid w:val="003A21C8"/>
    <w:rsid w:val="003A24BC"/>
    <w:rsid w:val="003A408C"/>
    <w:rsid w:val="003A5486"/>
    <w:rsid w:val="003A5A7C"/>
    <w:rsid w:val="003A5ACA"/>
    <w:rsid w:val="003A6179"/>
    <w:rsid w:val="003A6BBE"/>
    <w:rsid w:val="003B0AE7"/>
    <w:rsid w:val="003B1337"/>
    <w:rsid w:val="003B13E8"/>
    <w:rsid w:val="003B4CC5"/>
    <w:rsid w:val="003B4FDC"/>
    <w:rsid w:val="003B61B3"/>
    <w:rsid w:val="003B7A7F"/>
    <w:rsid w:val="003C10A7"/>
    <w:rsid w:val="003C289C"/>
    <w:rsid w:val="003C2C57"/>
    <w:rsid w:val="003C2EA1"/>
    <w:rsid w:val="003C3D54"/>
    <w:rsid w:val="003C3FCD"/>
    <w:rsid w:val="003C41D0"/>
    <w:rsid w:val="003C5DFF"/>
    <w:rsid w:val="003C6162"/>
    <w:rsid w:val="003D4168"/>
    <w:rsid w:val="003D440B"/>
    <w:rsid w:val="003D668D"/>
    <w:rsid w:val="003D6A91"/>
    <w:rsid w:val="003D73AC"/>
    <w:rsid w:val="003E0D97"/>
    <w:rsid w:val="003E1E6D"/>
    <w:rsid w:val="003E1F43"/>
    <w:rsid w:val="003E3BD5"/>
    <w:rsid w:val="003E577F"/>
    <w:rsid w:val="003E68FF"/>
    <w:rsid w:val="003E70B0"/>
    <w:rsid w:val="003F0110"/>
    <w:rsid w:val="003F3977"/>
    <w:rsid w:val="003F540C"/>
    <w:rsid w:val="003F6B5B"/>
    <w:rsid w:val="003F74E0"/>
    <w:rsid w:val="00401547"/>
    <w:rsid w:val="00401C23"/>
    <w:rsid w:val="00401EB7"/>
    <w:rsid w:val="004029FD"/>
    <w:rsid w:val="00403F05"/>
    <w:rsid w:val="00404E96"/>
    <w:rsid w:val="00405ACF"/>
    <w:rsid w:val="00407EE2"/>
    <w:rsid w:val="004104DB"/>
    <w:rsid w:val="00411C96"/>
    <w:rsid w:val="00412DF1"/>
    <w:rsid w:val="00413C7F"/>
    <w:rsid w:val="00414E39"/>
    <w:rsid w:val="00414F86"/>
    <w:rsid w:val="00415199"/>
    <w:rsid w:val="00422BB1"/>
    <w:rsid w:val="004235E7"/>
    <w:rsid w:val="00424F17"/>
    <w:rsid w:val="0042588A"/>
    <w:rsid w:val="00434D69"/>
    <w:rsid w:val="00434DB8"/>
    <w:rsid w:val="00437DF6"/>
    <w:rsid w:val="004412AD"/>
    <w:rsid w:val="004427B1"/>
    <w:rsid w:val="004431B4"/>
    <w:rsid w:val="00443275"/>
    <w:rsid w:val="00445101"/>
    <w:rsid w:val="00445A5F"/>
    <w:rsid w:val="00446628"/>
    <w:rsid w:val="00451991"/>
    <w:rsid w:val="00451E73"/>
    <w:rsid w:val="0045325A"/>
    <w:rsid w:val="004556E8"/>
    <w:rsid w:val="004556EC"/>
    <w:rsid w:val="00457473"/>
    <w:rsid w:val="00460442"/>
    <w:rsid w:val="0046258D"/>
    <w:rsid w:val="004641A1"/>
    <w:rsid w:val="00464306"/>
    <w:rsid w:val="004652F5"/>
    <w:rsid w:val="00466AA8"/>
    <w:rsid w:val="0046702B"/>
    <w:rsid w:val="00467B01"/>
    <w:rsid w:val="00467BF3"/>
    <w:rsid w:val="0047175C"/>
    <w:rsid w:val="004721D6"/>
    <w:rsid w:val="004722B8"/>
    <w:rsid w:val="00474218"/>
    <w:rsid w:val="00475E05"/>
    <w:rsid w:val="004770EE"/>
    <w:rsid w:val="00481747"/>
    <w:rsid w:val="00482830"/>
    <w:rsid w:val="004838EF"/>
    <w:rsid w:val="00484DAF"/>
    <w:rsid w:val="00485C6B"/>
    <w:rsid w:val="00486F06"/>
    <w:rsid w:val="004906EB"/>
    <w:rsid w:val="00492509"/>
    <w:rsid w:val="004938EA"/>
    <w:rsid w:val="00494B1C"/>
    <w:rsid w:val="00494BD9"/>
    <w:rsid w:val="004A34DB"/>
    <w:rsid w:val="004A4EA7"/>
    <w:rsid w:val="004B0B89"/>
    <w:rsid w:val="004B126C"/>
    <w:rsid w:val="004B1929"/>
    <w:rsid w:val="004B2881"/>
    <w:rsid w:val="004B2DBD"/>
    <w:rsid w:val="004B5D5F"/>
    <w:rsid w:val="004C14CB"/>
    <w:rsid w:val="004C2F21"/>
    <w:rsid w:val="004C6001"/>
    <w:rsid w:val="004C7596"/>
    <w:rsid w:val="004D29B4"/>
    <w:rsid w:val="004D3E79"/>
    <w:rsid w:val="004D4DBF"/>
    <w:rsid w:val="004D5CD7"/>
    <w:rsid w:val="004D68FE"/>
    <w:rsid w:val="004D7B9B"/>
    <w:rsid w:val="004E0459"/>
    <w:rsid w:val="004E0E22"/>
    <w:rsid w:val="004E2BA1"/>
    <w:rsid w:val="004E4F78"/>
    <w:rsid w:val="004E5232"/>
    <w:rsid w:val="004E6656"/>
    <w:rsid w:val="004F093F"/>
    <w:rsid w:val="004F15D5"/>
    <w:rsid w:val="004F2CC6"/>
    <w:rsid w:val="004F2FC2"/>
    <w:rsid w:val="004F53C4"/>
    <w:rsid w:val="004F580B"/>
    <w:rsid w:val="004F5CC7"/>
    <w:rsid w:val="004F60CD"/>
    <w:rsid w:val="004F666B"/>
    <w:rsid w:val="004F6842"/>
    <w:rsid w:val="005003EB"/>
    <w:rsid w:val="005017C9"/>
    <w:rsid w:val="00501C0C"/>
    <w:rsid w:val="005038BA"/>
    <w:rsid w:val="00504DBB"/>
    <w:rsid w:val="00505563"/>
    <w:rsid w:val="00506F3E"/>
    <w:rsid w:val="00507D7B"/>
    <w:rsid w:val="005101B3"/>
    <w:rsid w:val="005123B6"/>
    <w:rsid w:val="005123EC"/>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6CB"/>
    <w:rsid w:val="00564DF7"/>
    <w:rsid w:val="00565DAE"/>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0B88"/>
    <w:rsid w:val="005932DE"/>
    <w:rsid w:val="005975C4"/>
    <w:rsid w:val="005A021A"/>
    <w:rsid w:val="005A07EB"/>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2790"/>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6F02"/>
    <w:rsid w:val="005F70BF"/>
    <w:rsid w:val="006029A0"/>
    <w:rsid w:val="006040DF"/>
    <w:rsid w:val="0060411D"/>
    <w:rsid w:val="00606583"/>
    <w:rsid w:val="0060719D"/>
    <w:rsid w:val="00607749"/>
    <w:rsid w:val="006102CD"/>
    <w:rsid w:val="006110ED"/>
    <w:rsid w:val="006139C5"/>
    <w:rsid w:val="00613AED"/>
    <w:rsid w:val="00616B19"/>
    <w:rsid w:val="00616BCF"/>
    <w:rsid w:val="00617EAA"/>
    <w:rsid w:val="00621A98"/>
    <w:rsid w:val="00623D27"/>
    <w:rsid w:val="006264F4"/>
    <w:rsid w:val="006276E0"/>
    <w:rsid w:val="00627A77"/>
    <w:rsid w:val="00627F56"/>
    <w:rsid w:val="00630BCE"/>
    <w:rsid w:val="006312AB"/>
    <w:rsid w:val="006326D6"/>
    <w:rsid w:val="00633465"/>
    <w:rsid w:val="00634667"/>
    <w:rsid w:val="00637589"/>
    <w:rsid w:val="00640E9E"/>
    <w:rsid w:val="00645132"/>
    <w:rsid w:val="00645841"/>
    <w:rsid w:val="0064678A"/>
    <w:rsid w:val="00646A5A"/>
    <w:rsid w:val="006470A6"/>
    <w:rsid w:val="006505ED"/>
    <w:rsid w:val="00650B56"/>
    <w:rsid w:val="00651F19"/>
    <w:rsid w:val="0065266D"/>
    <w:rsid w:val="0065398D"/>
    <w:rsid w:val="006563AE"/>
    <w:rsid w:val="00656C4F"/>
    <w:rsid w:val="00660361"/>
    <w:rsid w:val="00660DFB"/>
    <w:rsid w:val="006622CB"/>
    <w:rsid w:val="006648B2"/>
    <w:rsid w:val="00664DCC"/>
    <w:rsid w:val="00665584"/>
    <w:rsid w:val="00665E9C"/>
    <w:rsid w:val="00667089"/>
    <w:rsid w:val="00667143"/>
    <w:rsid w:val="00671703"/>
    <w:rsid w:val="00671B9E"/>
    <w:rsid w:val="0067243E"/>
    <w:rsid w:val="00672BEC"/>
    <w:rsid w:val="00673004"/>
    <w:rsid w:val="00673F95"/>
    <w:rsid w:val="00675391"/>
    <w:rsid w:val="00675AC1"/>
    <w:rsid w:val="00676FBD"/>
    <w:rsid w:val="006775AA"/>
    <w:rsid w:val="0068014E"/>
    <w:rsid w:val="00682E6C"/>
    <w:rsid w:val="006842B6"/>
    <w:rsid w:val="006856E3"/>
    <w:rsid w:val="00691F05"/>
    <w:rsid w:val="00692454"/>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24CD"/>
    <w:rsid w:val="006B34F8"/>
    <w:rsid w:val="006B355B"/>
    <w:rsid w:val="006B5348"/>
    <w:rsid w:val="006B5A3F"/>
    <w:rsid w:val="006B6153"/>
    <w:rsid w:val="006C0B46"/>
    <w:rsid w:val="006C2543"/>
    <w:rsid w:val="006C2E6C"/>
    <w:rsid w:val="006C31CC"/>
    <w:rsid w:val="006C36DE"/>
    <w:rsid w:val="006C59DE"/>
    <w:rsid w:val="006D03BB"/>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72EA"/>
    <w:rsid w:val="007126EB"/>
    <w:rsid w:val="00712A97"/>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6A48"/>
    <w:rsid w:val="0075736A"/>
    <w:rsid w:val="00757498"/>
    <w:rsid w:val="007574F6"/>
    <w:rsid w:val="007608FD"/>
    <w:rsid w:val="007626EE"/>
    <w:rsid w:val="0076292E"/>
    <w:rsid w:val="00763360"/>
    <w:rsid w:val="007642C4"/>
    <w:rsid w:val="00764416"/>
    <w:rsid w:val="00764488"/>
    <w:rsid w:val="00764AB7"/>
    <w:rsid w:val="007665C7"/>
    <w:rsid w:val="007710A8"/>
    <w:rsid w:val="00771FB5"/>
    <w:rsid w:val="0077383E"/>
    <w:rsid w:val="00775774"/>
    <w:rsid w:val="00776D3E"/>
    <w:rsid w:val="00777025"/>
    <w:rsid w:val="0078078B"/>
    <w:rsid w:val="00782DD5"/>
    <w:rsid w:val="0079024E"/>
    <w:rsid w:val="00793F07"/>
    <w:rsid w:val="007967E7"/>
    <w:rsid w:val="00796F49"/>
    <w:rsid w:val="0079732F"/>
    <w:rsid w:val="00797556"/>
    <w:rsid w:val="00797723"/>
    <w:rsid w:val="007A0BE6"/>
    <w:rsid w:val="007A0C5E"/>
    <w:rsid w:val="007A2869"/>
    <w:rsid w:val="007A3B65"/>
    <w:rsid w:val="007A41BB"/>
    <w:rsid w:val="007A48CD"/>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BE7"/>
    <w:rsid w:val="0080715F"/>
    <w:rsid w:val="00807C3F"/>
    <w:rsid w:val="00810297"/>
    <w:rsid w:val="00811C58"/>
    <w:rsid w:val="00812292"/>
    <w:rsid w:val="00813DF6"/>
    <w:rsid w:val="00816CB8"/>
    <w:rsid w:val="00816E5B"/>
    <w:rsid w:val="00817A35"/>
    <w:rsid w:val="00817DC5"/>
    <w:rsid w:val="0082134E"/>
    <w:rsid w:val="008237A7"/>
    <w:rsid w:val="0082476F"/>
    <w:rsid w:val="00824C9E"/>
    <w:rsid w:val="0082584B"/>
    <w:rsid w:val="00830183"/>
    <w:rsid w:val="00831D49"/>
    <w:rsid w:val="00832615"/>
    <w:rsid w:val="008327D4"/>
    <w:rsid w:val="00833808"/>
    <w:rsid w:val="008356E2"/>
    <w:rsid w:val="0083672B"/>
    <w:rsid w:val="0083712E"/>
    <w:rsid w:val="00840445"/>
    <w:rsid w:val="0084251D"/>
    <w:rsid w:val="008425A2"/>
    <w:rsid w:val="00845748"/>
    <w:rsid w:val="00845F45"/>
    <w:rsid w:val="00846BE3"/>
    <w:rsid w:val="00846EB9"/>
    <w:rsid w:val="00847C4B"/>
    <w:rsid w:val="0085040A"/>
    <w:rsid w:val="00850BAD"/>
    <w:rsid w:val="00853F9E"/>
    <w:rsid w:val="00855C41"/>
    <w:rsid w:val="0085613D"/>
    <w:rsid w:val="0085645F"/>
    <w:rsid w:val="0086172B"/>
    <w:rsid w:val="00861C46"/>
    <w:rsid w:val="008621AD"/>
    <w:rsid w:val="0086282D"/>
    <w:rsid w:val="00862FC4"/>
    <w:rsid w:val="008632CF"/>
    <w:rsid w:val="008645A5"/>
    <w:rsid w:val="00865154"/>
    <w:rsid w:val="00865C5D"/>
    <w:rsid w:val="00870A70"/>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146"/>
    <w:rsid w:val="00896C17"/>
    <w:rsid w:val="008A0997"/>
    <w:rsid w:val="008A1E22"/>
    <w:rsid w:val="008A271C"/>
    <w:rsid w:val="008A287D"/>
    <w:rsid w:val="008A2D79"/>
    <w:rsid w:val="008A356E"/>
    <w:rsid w:val="008A4282"/>
    <w:rsid w:val="008A510E"/>
    <w:rsid w:val="008A69FD"/>
    <w:rsid w:val="008B1660"/>
    <w:rsid w:val="008B3305"/>
    <w:rsid w:val="008B3769"/>
    <w:rsid w:val="008B3FCA"/>
    <w:rsid w:val="008B488D"/>
    <w:rsid w:val="008B6336"/>
    <w:rsid w:val="008B74DC"/>
    <w:rsid w:val="008C301B"/>
    <w:rsid w:val="008C72AC"/>
    <w:rsid w:val="008C7A4F"/>
    <w:rsid w:val="008C7AB7"/>
    <w:rsid w:val="008C7B45"/>
    <w:rsid w:val="008D13BC"/>
    <w:rsid w:val="008D361B"/>
    <w:rsid w:val="008D3CE3"/>
    <w:rsid w:val="008D6F09"/>
    <w:rsid w:val="008D7CD3"/>
    <w:rsid w:val="008E06C8"/>
    <w:rsid w:val="008E09AB"/>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B80"/>
    <w:rsid w:val="00912D6C"/>
    <w:rsid w:val="009147C7"/>
    <w:rsid w:val="0091595A"/>
    <w:rsid w:val="00916C1A"/>
    <w:rsid w:val="009207ED"/>
    <w:rsid w:val="00922D4E"/>
    <w:rsid w:val="009230F4"/>
    <w:rsid w:val="009249F2"/>
    <w:rsid w:val="00925833"/>
    <w:rsid w:val="00925835"/>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47C40"/>
    <w:rsid w:val="00953777"/>
    <w:rsid w:val="00954336"/>
    <w:rsid w:val="0095612E"/>
    <w:rsid w:val="00956E73"/>
    <w:rsid w:val="009610E5"/>
    <w:rsid w:val="00965C0C"/>
    <w:rsid w:val="00966307"/>
    <w:rsid w:val="00971694"/>
    <w:rsid w:val="00971CFA"/>
    <w:rsid w:val="00974277"/>
    <w:rsid w:val="00975896"/>
    <w:rsid w:val="00976220"/>
    <w:rsid w:val="009771AB"/>
    <w:rsid w:val="0097732A"/>
    <w:rsid w:val="00977868"/>
    <w:rsid w:val="0098126D"/>
    <w:rsid w:val="009819E9"/>
    <w:rsid w:val="00983180"/>
    <w:rsid w:val="00985318"/>
    <w:rsid w:val="009859E8"/>
    <w:rsid w:val="00987264"/>
    <w:rsid w:val="00994E1D"/>
    <w:rsid w:val="00995E6A"/>
    <w:rsid w:val="009961B8"/>
    <w:rsid w:val="00996430"/>
    <w:rsid w:val="00997BFA"/>
    <w:rsid w:val="009A05DE"/>
    <w:rsid w:val="009A0A31"/>
    <w:rsid w:val="009A13C7"/>
    <w:rsid w:val="009A2C60"/>
    <w:rsid w:val="009A407F"/>
    <w:rsid w:val="009A5A8A"/>
    <w:rsid w:val="009A6CEA"/>
    <w:rsid w:val="009B10A9"/>
    <w:rsid w:val="009B2A23"/>
    <w:rsid w:val="009B2E4D"/>
    <w:rsid w:val="009B3B09"/>
    <w:rsid w:val="009B47CC"/>
    <w:rsid w:val="009B54F3"/>
    <w:rsid w:val="009B5B26"/>
    <w:rsid w:val="009B63FA"/>
    <w:rsid w:val="009C0345"/>
    <w:rsid w:val="009C0575"/>
    <w:rsid w:val="009C42B9"/>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07F5B"/>
    <w:rsid w:val="00A10998"/>
    <w:rsid w:val="00A118B4"/>
    <w:rsid w:val="00A1223D"/>
    <w:rsid w:val="00A12F86"/>
    <w:rsid w:val="00A13E09"/>
    <w:rsid w:val="00A143DA"/>
    <w:rsid w:val="00A14B58"/>
    <w:rsid w:val="00A15641"/>
    <w:rsid w:val="00A2311A"/>
    <w:rsid w:val="00A231F3"/>
    <w:rsid w:val="00A2468E"/>
    <w:rsid w:val="00A25331"/>
    <w:rsid w:val="00A25ED9"/>
    <w:rsid w:val="00A26BF2"/>
    <w:rsid w:val="00A27746"/>
    <w:rsid w:val="00A30B0E"/>
    <w:rsid w:val="00A32686"/>
    <w:rsid w:val="00A32881"/>
    <w:rsid w:val="00A350F2"/>
    <w:rsid w:val="00A3647C"/>
    <w:rsid w:val="00A36586"/>
    <w:rsid w:val="00A36641"/>
    <w:rsid w:val="00A40204"/>
    <w:rsid w:val="00A40572"/>
    <w:rsid w:val="00A410B6"/>
    <w:rsid w:val="00A41555"/>
    <w:rsid w:val="00A42D7A"/>
    <w:rsid w:val="00A42F7D"/>
    <w:rsid w:val="00A43E8F"/>
    <w:rsid w:val="00A46599"/>
    <w:rsid w:val="00A47444"/>
    <w:rsid w:val="00A5117A"/>
    <w:rsid w:val="00A54E47"/>
    <w:rsid w:val="00A5616D"/>
    <w:rsid w:val="00A563EE"/>
    <w:rsid w:val="00A57201"/>
    <w:rsid w:val="00A60692"/>
    <w:rsid w:val="00A61E65"/>
    <w:rsid w:val="00A62315"/>
    <w:rsid w:val="00A62781"/>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4378"/>
    <w:rsid w:val="00AA57C8"/>
    <w:rsid w:val="00AA6299"/>
    <w:rsid w:val="00AA62E3"/>
    <w:rsid w:val="00AB0494"/>
    <w:rsid w:val="00AB0529"/>
    <w:rsid w:val="00AB1308"/>
    <w:rsid w:val="00AB14A8"/>
    <w:rsid w:val="00AB3DFB"/>
    <w:rsid w:val="00AB52EB"/>
    <w:rsid w:val="00AB6DC8"/>
    <w:rsid w:val="00AB7ABF"/>
    <w:rsid w:val="00AC042D"/>
    <w:rsid w:val="00AC2B07"/>
    <w:rsid w:val="00AC3914"/>
    <w:rsid w:val="00AC4462"/>
    <w:rsid w:val="00AD0A85"/>
    <w:rsid w:val="00AD0EA3"/>
    <w:rsid w:val="00AD2800"/>
    <w:rsid w:val="00AD520F"/>
    <w:rsid w:val="00AD5649"/>
    <w:rsid w:val="00AD70F9"/>
    <w:rsid w:val="00AE1EF7"/>
    <w:rsid w:val="00AE26AF"/>
    <w:rsid w:val="00AE3BA2"/>
    <w:rsid w:val="00AE5937"/>
    <w:rsid w:val="00AE6A73"/>
    <w:rsid w:val="00AE6DA7"/>
    <w:rsid w:val="00AE7804"/>
    <w:rsid w:val="00AE784B"/>
    <w:rsid w:val="00AF083C"/>
    <w:rsid w:val="00AF18E3"/>
    <w:rsid w:val="00AF31E7"/>
    <w:rsid w:val="00AF3BAF"/>
    <w:rsid w:val="00AF3CA2"/>
    <w:rsid w:val="00AF4940"/>
    <w:rsid w:val="00B001B4"/>
    <w:rsid w:val="00B01893"/>
    <w:rsid w:val="00B04FBD"/>
    <w:rsid w:val="00B07A56"/>
    <w:rsid w:val="00B07B8E"/>
    <w:rsid w:val="00B07CD9"/>
    <w:rsid w:val="00B112E6"/>
    <w:rsid w:val="00B126B2"/>
    <w:rsid w:val="00B13026"/>
    <w:rsid w:val="00B148C6"/>
    <w:rsid w:val="00B21FC3"/>
    <w:rsid w:val="00B2476E"/>
    <w:rsid w:val="00B26D84"/>
    <w:rsid w:val="00B2707D"/>
    <w:rsid w:val="00B306D3"/>
    <w:rsid w:val="00B33363"/>
    <w:rsid w:val="00B334E0"/>
    <w:rsid w:val="00B348C9"/>
    <w:rsid w:val="00B3602D"/>
    <w:rsid w:val="00B36F51"/>
    <w:rsid w:val="00B4136A"/>
    <w:rsid w:val="00B41C92"/>
    <w:rsid w:val="00B41D49"/>
    <w:rsid w:val="00B43E08"/>
    <w:rsid w:val="00B4518C"/>
    <w:rsid w:val="00B459D4"/>
    <w:rsid w:val="00B461CE"/>
    <w:rsid w:val="00B47A33"/>
    <w:rsid w:val="00B50C6D"/>
    <w:rsid w:val="00B53341"/>
    <w:rsid w:val="00B53B43"/>
    <w:rsid w:val="00B54F65"/>
    <w:rsid w:val="00B56B91"/>
    <w:rsid w:val="00B607B5"/>
    <w:rsid w:val="00B615F9"/>
    <w:rsid w:val="00B61DDF"/>
    <w:rsid w:val="00B627F1"/>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B55"/>
    <w:rsid w:val="00B82CD4"/>
    <w:rsid w:val="00B837BC"/>
    <w:rsid w:val="00B83A71"/>
    <w:rsid w:val="00B8451C"/>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5F8C"/>
    <w:rsid w:val="00BB6553"/>
    <w:rsid w:val="00BB7207"/>
    <w:rsid w:val="00BB79C2"/>
    <w:rsid w:val="00BC02BC"/>
    <w:rsid w:val="00BC0935"/>
    <w:rsid w:val="00BC1C71"/>
    <w:rsid w:val="00BC3DD8"/>
    <w:rsid w:val="00BC3EB5"/>
    <w:rsid w:val="00BC3ED5"/>
    <w:rsid w:val="00BC4D52"/>
    <w:rsid w:val="00BD3181"/>
    <w:rsid w:val="00BD5005"/>
    <w:rsid w:val="00BD6723"/>
    <w:rsid w:val="00BD7816"/>
    <w:rsid w:val="00BE08EC"/>
    <w:rsid w:val="00BE1187"/>
    <w:rsid w:val="00BE1BEA"/>
    <w:rsid w:val="00BE2CB6"/>
    <w:rsid w:val="00BE40CA"/>
    <w:rsid w:val="00BE604D"/>
    <w:rsid w:val="00BE6361"/>
    <w:rsid w:val="00BF3F0E"/>
    <w:rsid w:val="00BF44BF"/>
    <w:rsid w:val="00BF490A"/>
    <w:rsid w:val="00BF54E1"/>
    <w:rsid w:val="00BF69BE"/>
    <w:rsid w:val="00BF7C01"/>
    <w:rsid w:val="00C00A29"/>
    <w:rsid w:val="00C0108D"/>
    <w:rsid w:val="00C03FB2"/>
    <w:rsid w:val="00C040E7"/>
    <w:rsid w:val="00C0737D"/>
    <w:rsid w:val="00C12C29"/>
    <w:rsid w:val="00C144FF"/>
    <w:rsid w:val="00C14A35"/>
    <w:rsid w:val="00C2080C"/>
    <w:rsid w:val="00C22004"/>
    <w:rsid w:val="00C22050"/>
    <w:rsid w:val="00C25855"/>
    <w:rsid w:val="00C2745A"/>
    <w:rsid w:val="00C30826"/>
    <w:rsid w:val="00C30B91"/>
    <w:rsid w:val="00C30EB0"/>
    <w:rsid w:val="00C32697"/>
    <w:rsid w:val="00C35135"/>
    <w:rsid w:val="00C4199E"/>
    <w:rsid w:val="00C41E1F"/>
    <w:rsid w:val="00C4275C"/>
    <w:rsid w:val="00C4374A"/>
    <w:rsid w:val="00C4419A"/>
    <w:rsid w:val="00C44C34"/>
    <w:rsid w:val="00C44F31"/>
    <w:rsid w:val="00C4516F"/>
    <w:rsid w:val="00C45B67"/>
    <w:rsid w:val="00C461FB"/>
    <w:rsid w:val="00C51360"/>
    <w:rsid w:val="00C5210D"/>
    <w:rsid w:val="00C52970"/>
    <w:rsid w:val="00C53AD7"/>
    <w:rsid w:val="00C54430"/>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7425"/>
    <w:rsid w:val="00C777DF"/>
    <w:rsid w:val="00C77AB2"/>
    <w:rsid w:val="00C80760"/>
    <w:rsid w:val="00C8160D"/>
    <w:rsid w:val="00C818EF"/>
    <w:rsid w:val="00C81DEB"/>
    <w:rsid w:val="00C84E06"/>
    <w:rsid w:val="00C85A78"/>
    <w:rsid w:val="00C85C29"/>
    <w:rsid w:val="00C8602D"/>
    <w:rsid w:val="00C905B4"/>
    <w:rsid w:val="00C93A2A"/>
    <w:rsid w:val="00C93AC6"/>
    <w:rsid w:val="00C93CA1"/>
    <w:rsid w:val="00C959AD"/>
    <w:rsid w:val="00C9747C"/>
    <w:rsid w:val="00CA33D6"/>
    <w:rsid w:val="00CA4D10"/>
    <w:rsid w:val="00CA6EC1"/>
    <w:rsid w:val="00CB0259"/>
    <w:rsid w:val="00CB0661"/>
    <w:rsid w:val="00CB06CA"/>
    <w:rsid w:val="00CB15C1"/>
    <w:rsid w:val="00CB2483"/>
    <w:rsid w:val="00CB2C22"/>
    <w:rsid w:val="00CB331F"/>
    <w:rsid w:val="00CB3E70"/>
    <w:rsid w:val="00CB4BCF"/>
    <w:rsid w:val="00CB4CC1"/>
    <w:rsid w:val="00CB5B7A"/>
    <w:rsid w:val="00CB5DFE"/>
    <w:rsid w:val="00CB632B"/>
    <w:rsid w:val="00CB6830"/>
    <w:rsid w:val="00CB695F"/>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3766"/>
    <w:rsid w:val="00CE46A3"/>
    <w:rsid w:val="00CE608A"/>
    <w:rsid w:val="00CE6C30"/>
    <w:rsid w:val="00CF0B93"/>
    <w:rsid w:val="00CF2CD1"/>
    <w:rsid w:val="00CF2F63"/>
    <w:rsid w:val="00CF4551"/>
    <w:rsid w:val="00CF55C8"/>
    <w:rsid w:val="00CF58E0"/>
    <w:rsid w:val="00CF6BE3"/>
    <w:rsid w:val="00CF76C6"/>
    <w:rsid w:val="00D01AEA"/>
    <w:rsid w:val="00D029B6"/>
    <w:rsid w:val="00D03895"/>
    <w:rsid w:val="00D137B7"/>
    <w:rsid w:val="00D13EDC"/>
    <w:rsid w:val="00D16F83"/>
    <w:rsid w:val="00D20104"/>
    <w:rsid w:val="00D227A4"/>
    <w:rsid w:val="00D26CDD"/>
    <w:rsid w:val="00D271BA"/>
    <w:rsid w:val="00D2728F"/>
    <w:rsid w:val="00D30A10"/>
    <w:rsid w:val="00D318FB"/>
    <w:rsid w:val="00D3288F"/>
    <w:rsid w:val="00D349C6"/>
    <w:rsid w:val="00D42B04"/>
    <w:rsid w:val="00D42F97"/>
    <w:rsid w:val="00D431E2"/>
    <w:rsid w:val="00D4337F"/>
    <w:rsid w:val="00D44509"/>
    <w:rsid w:val="00D44F46"/>
    <w:rsid w:val="00D45C66"/>
    <w:rsid w:val="00D50A60"/>
    <w:rsid w:val="00D524DA"/>
    <w:rsid w:val="00D52D45"/>
    <w:rsid w:val="00D53DC8"/>
    <w:rsid w:val="00D55EBD"/>
    <w:rsid w:val="00D56E3D"/>
    <w:rsid w:val="00D6041A"/>
    <w:rsid w:val="00D60C51"/>
    <w:rsid w:val="00D62053"/>
    <w:rsid w:val="00D6390B"/>
    <w:rsid w:val="00D649D9"/>
    <w:rsid w:val="00D64E0F"/>
    <w:rsid w:val="00D65040"/>
    <w:rsid w:val="00D6505D"/>
    <w:rsid w:val="00D6529C"/>
    <w:rsid w:val="00D71FAF"/>
    <w:rsid w:val="00D729B9"/>
    <w:rsid w:val="00D73394"/>
    <w:rsid w:val="00D74BF4"/>
    <w:rsid w:val="00D74D4C"/>
    <w:rsid w:val="00D74DA6"/>
    <w:rsid w:val="00D74E19"/>
    <w:rsid w:val="00D7509C"/>
    <w:rsid w:val="00D75965"/>
    <w:rsid w:val="00D75BEF"/>
    <w:rsid w:val="00D802A3"/>
    <w:rsid w:val="00D81302"/>
    <w:rsid w:val="00D81C9D"/>
    <w:rsid w:val="00D82383"/>
    <w:rsid w:val="00D83C96"/>
    <w:rsid w:val="00D86422"/>
    <w:rsid w:val="00D86B85"/>
    <w:rsid w:val="00D8709C"/>
    <w:rsid w:val="00D87EE3"/>
    <w:rsid w:val="00D90AFF"/>
    <w:rsid w:val="00D915C0"/>
    <w:rsid w:val="00D94552"/>
    <w:rsid w:val="00D96B26"/>
    <w:rsid w:val="00DA253F"/>
    <w:rsid w:val="00DA2D48"/>
    <w:rsid w:val="00DA41D2"/>
    <w:rsid w:val="00DA447A"/>
    <w:rsid w:val="00DA633A"/>
    <w:rsid w:val="00DA7456"/>
    <w:rsid w:val="00DB175F"/>
    <w:rsid w:val="00DB235A"/>
    <w:rsid w:val="00DB2D2A"/>
    <w:rsid w:val="00DB40BE"/>
    <w:rsid w:val="00DB4B03"/>
    <w:rsid w:val="00DB5822"/>
    <w:rsid w:val="00DB6B81"/>
    <w:rsid w:val="00DB751D"/>
    <w:rsid w:val="00DB7BFE"/>
    <w:rsid w:val="00DC15A9"/>
    <w:rsid w:val="00DC3FE9"/>
    <w:rsid w:val="00DC4A4B"/>
    <w:rsid w:val="00DC5145"/>
    <w:rsid w:val="00DC5F4B"/>
    <w:rsid w:val="00DD0225"/>
    <w:rsid w:val="00DD1FF7"/>
    <w:rsid w:val="00DD2322"/>
    <w:rsid w:val="00DD2915"/>
    <w:rsid w:val="00DD2AA7"/>
    <w:rsid w:val="00DD2CC9"/>
    <w:rsid w:val="00DD79E1"/>
    <w:rsid w:val="00DE0B9F"/>
    <w:rsid w:val="00DE3323"/>
    <w:rsid w:val="00DE34A1"/>
    <w:rsid w:val="00DE3BE9"/>
    <w:rsid w:val="00DE587B"/>
    <w:rsid w:val="00DE726A"/>
    <w:rsid w:val="00DF0C87"/>
    <w:rsid w:val="00DF271A"/>
    <w:rsid w:val="00DF2F7D"/>
    <w:rsid w:val="00DF2FC4"/>
    <w:rsid w:val="00DF4D6F"/>
    <w:rsid w:val="00DF4FE2"/>
    <w:rsid w:val="00DF76AF"/>
    <w:rsid w:val="00E01128"/>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23C4"/>
    <w:rsid w:val="00E55433"/>
    <w:rsid w:val="00E570F9"/>
    <w:rsid w:val="00E60368"/>
    <w:rsid w:val="00E614E6"/>
    <w:rsid w:val="00E625D5"/>
    <w:rsid w:val="00E6361B"/>
    <w:rsid w:val="00E639F4"/>
    <w:rsid w:val="00E649C4"/>
    <w:rsid w:val="00E67606"/>
    <w:rsid w:val="00E70C69"/>
    <w:rsid w:val="00E729C0"/>
    <w:rsid w:val="00E75852"/>
    <w:rsid w:val="00E75C0C"/>
    <w:rsid w:val="00E7651E"/>
    <w:rsid w:val="00E76994"/>
    <w:rsid w:val="00E77599"/>
    <w:rsid w:val="00E80437"/>
    <w:rsid w:val="00E8362C"/>
    <w:rsid w:val="00E913EE"/>
    <w:rsid w:val="00E9418D"/>
    <w:rsid w:val="00E94591"/>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1833"/>
    <w:rsid w:val="00EC5F89"/>
    <w:rsid w:val="00ED2322"/>
    <w:rsid w:val="00ED28A8"/>
    <w:rsid w:val="00ED2A8D"/>
    <w:rsid w:val="00ED35EB"/>
    <w:rsid w:val="00ED3608"/>
    <w:rsid w:val="00ED521D"/>
    <w:rsid w:val="00EE1C81"/>
    <w:rsid w:val="00EE26A6"/>
    <w:rsid w:val="00EE3351"/>
    <w:rsid w:val="00EE4530"/>
    <w:rsid w:val="00EE5388"/>
    <w:rsid w:val="00EE6DBF"/>
    <w:rsid w:val="00EF02CF"/>
    <w:rsid w:val="00EF1672"/>
    <w:rsid w:val="00EF4FC2"/>
    <w:rsid w:val="00F00305"/>
    <w:rsid w:val="00F00C5B"/>
    <w:rsid w:val="00F01344"/>
    <w:rsid w:val="00F02869"/>
    <w:rsid w:val="00F02F88"/>
    <w:rsid w:val="00F030BB"/>
    <w:rsid w:val="00F04A09"/>
    <w:rsid w:val="00F05220"/>
    <w:rsid w:val="00F070A2"/>
    <w:rsid w:val="00F11314"/>
    <w:rsid w:val="00F11DA5"/>
    <w:rsid w:val="00F132B1"/>
    <w:rsid w:val="00F13D72"/>
    <w:rsid w:val="00F15D77"/>
    <w:rsid w:val="00F216C1"/>
    <w:rsid w:val="00F246E4"/>
    <w:rsid w:val="00F25433"/>
    <w:rsid w:val="00F25C83"/>
    <w:rsid w:val="00F25DAF"/>
    <w:rsid w:val="00F26039"/>
    <w:rsid w:val="00F32C7D"/>
    <w:rsid w:val="00F33268"/>
    <w:rsid w:val="00F343A3"/>
    <w:rsid w:val="00F3591A"/>
    <w:rsid w:val="00F363DB"/>
    <w:rsid w:val="00F37514"/>
    <w:rsid w:val="00F37B2C"/>
    <w:rsid w:val="00F40082"/>
    <w:rsid w:val="00F4089A"/>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A76"/>
    <w:rsid w:val="00F57B0B"/>
    <w:rsid w:val="00F57DEF"/>
    <w:rsid w:val="00F60175"/>
    <w:rsid w:val="00F607CD"/>
    <w:rsid w:val="00F61C21"/>
    <w:rsid w:val="00F658A2"/>
    <w:rsid w:val="00F659C1"/>
    <w:rsid w:val="00F66900"/>
    <w:rsid w:val="00F67026"/>
    <w:rsid w:val="00F70270"/>
    <w:rsid w:val="00F707FF"/>
    <w:rsid w:val="00F72D02"/>
    <w:rsid w:val="00F73FA1"/>
    <w:rsid w:val="00F751CC"/>
    <w:rsid w:val="00F77F3C"/>
    <w:rsid w:val="00F80691"/>
    <w:rsid w:val="00F8086E"/>
    <w:rsid w:val="00F80BE7"/>
    <w:rsid w:val="00F813A1"/>
    <w:rsid w:val="00F81AFC"/>
    <w:rsid w:val="00F82A7B"/>
    <w:rsid w:val="00F8371D"/>
    <w:rsid w:val="00F83919"/>
    <w:rsid w:val="00F83D40"/>
    <w:rsid w:val="00F859A6"/>
    <w:rsid w:val="00F85B33"/>
    <w:rsid w:val="00F87719"/>
    <w:rsid w:val="00F87DCC"/>
    <w:rsid w:val="00F9054A"/>
    <w:rsid w:val="00F90DF9"/>
    <w:rsid w:val="00F91EEE"/>
    <w:rsid w:val="00F935B9"/>
    <w:rsid w:val="00F9393D"/>
    <w:rsid w:val="00F97213"/>
    <w:rsid w:val="00FA11AA"/>
    <w:rsid w:val="00FA26F9"/>
    <w:rsid w:val="00FA27B5"/>
    <w:rsid w:val="00FA3377"/>
    <w:rsid w:val="00FA597F"/>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D741F"/>
    <w:rsid w:val="00FE16B7"/>
    <w:rsid w:val="00FE61B4"/>
    <w:rsid w:val="00FE6528"/>
    <w:rsid w:val="00FE776C"/>
    <w:rsid w:val="00FE79A8"/>
    <w:rsid w:val="00FF17CB"/>
    <w:rsid w:val="00FF2F7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2F53F3-20D4-42FE-93BA-D8688EB1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8"/>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1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35823818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1958637376">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F35E-DF1A-4803-83CF-6BA4CDA2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4563</Words>
  <Characters>25101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16</cp:revision>
  <cp:lastPrinted>2017-03-07T01:32:00Z</cp:lastPrinted>
  <dcterms:created xsi:type="dcterms:W3CDTF">2016-11-24T18:26:00Z</dcterms:created>
  <dcterms:modified xsi:type="dcterms:W3CDTF">2017-03-07T01:32:00Z</dcterms:modified>
</cp:coreProperties>
</file>