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513CE9" w:rsidRDefault="002F7EB3" w:rsidP="009C0345">
      <w:pPr>
        <w:rPr>
          <w:rFonts w:ascii="Arial" w:hAnsi="Arial" w:cs="Arial"/>
          <w:b/>
          <w:bCs/>
          <w:sz w:val="24"/>
          <w:szCs w:val="24"/>
        </w:rPr>
      </w:pPr>
      <w:r>
        <w:rPr>
          <w:rFonts w:ascii="Arial" w:hAnsi="Arial" w:cs="Arial"/>
          <w:b/>
          <w:bCs/>
          <w:sz w:val="24"/>
          <w:szCs w:val="24"/>
        </w:rPr>
        <w:t xml:space="preserve"> </w:t>
      </w:r>
      <w:r w:rsidR="009C0345" w:rsidRPr="00513CE9">
        <w:rPr>
          <w:rFonts w:ascii="Arial" w:hAnsi="Arial" w:cs="Arial"/>
          <w:b/>
          <w:bCs/>
          <w:sz w:val="24"/>
          <w:szCs w:val="24"/>
        </w:rPr>
        <w:t>HONORABLE ASAMBLEA:</w:t>
      </w:r>
    </w:p>
    <w:p w:rsidR="00F072A9" w:rsidRDefault="00F072A9" w:rsidP="009C0345">
      <w:pPr>
        <w:ind w:firstLine="709"/>
        <w:jc w:val="both"/>
        <w:rPr>
          <w:rFonts w:ascii="Arial" w:hAnsi="Arial" w:cs="Arial"/>
          <w:sz w:val="24"/>
        </w:rPr>
      </w:pPr>
    </w:p>
    <w:p w:rsidR="009C0345" w:rsidRPr="00117EB1" w:rsidRDefault="009C0345" w:rsidP="00F072A9">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 xml:space="preserve">Comisión </w:t>
      </w:r>
      <w:r w:rsidR="002959ED" w:rsidRPr="00117EB1">
        <w:rPr>
          <w:rFonts w:ascii="Arial" w:hAnsi="Arial" w:cs="Arial"/>
          <w:b/>
          <w:bCs/>
          <w:sz w:val="24"/>
        </w:rPr>
        <w:t>de Hacienda del Estado</w:t>
      </w:r>
      <w:r w:rsidR="00513CE9">
        <w:rPr>
          <w:rFonts w:ascii="Arial" w:hAnsi="Arial" w:cs="Arial"/>
          <w:sz w:val="24"/>
        </w:rPr>
        <w:t xml:space="preserve"> le fue turnado</w:t>
      </w:r>
      <w:r w:rsidRPr="00117EB1">
        <w:rPr>
          <w:rFonts w:ascii="Arial" w:hAnsi="Arial" w:cs="Arial"/>
          <w:sz w:val="24"/>
        </w:rPr>
        <w:t xml:space="preserve"> para su</w:t>
      </w:r>
      <w:r w:rsidR="00513CE9">
        <w:rPr>
          <w:rFonts w:ascii="Arial" w:hAnsi="Arial" w:cs="Arial"/>
          <w:sz w:val="24"/>
        </w:rPr>
        <w:t xml:space="preserve"> estudio y dictamen en fecha </w:t>
      </w:r>
      <w:r w:rsidR="00FE0BE7">
        <w:rPr>
          <w:rFonts w:ascii="Arial" w:hAnsi="Arial" w:cs="Arial"/>
          <w:sz w:val="24"/>
        </w:rPr>
        <w:t>14 de Noviembre de 2016</w:t>
      </w:r>
      <w:r w:rsidRPr="00117EB1">
        <w:rPr>
          <w:rFonts w:ascii="Arial" w:hAnsi="Arial" w:cs="Arial"/>
          <w:sz w:val="24"/>
        </w:rPr>
        <w:t xml:space="preserve">, escrito que contiene el </w:t>
      </w:r>
      <w:r w:rsidR="00513CE9">
        <w:rPr>
          <w:rFonts w:ascii="Arial" w:hAnsi="Arial" w:cs="Arial"/>
          <w:sz w:val="24"/>
        </w:rPr>
        <w:t>Informe de</w:t>
      </w:r>
      <w:r w:rsidR="00A77799" w:rsidRPr="00117EB1">
        <w:rPr>
          <w:rFonts w:ascii="Arial" w:hAnsi="Arial" w:cs="Arial"/>
          <w:sz w:val="24"/>
        </w:rPr>
        <w:t xml:space="preserve"> Resultado</w:t>
      </w:r>
      <w:r w:rsidR="00513CE9">
        <w:rPr>
          <w:rFonts w:ascii="Arial" w:hAnsi="Arial" w:cs="Arial"/>
          <w:sz w:val="24"/>
        </w:rPr>
        <w:t>s</w:t>
      </w:r>
      <w:r w:rsidRPr="00117EB1">
        <w:rPr>
          <w:rFonts w:ascii="Arial" w:hAnsi="Arial" w:cs="Arial"/>
          <w:sz w:val="24"/>
        </w:rPr>
        <w:t xml:space="preserve"> de la revisión practicada por la Auditoría Superior del Estado de Nuevo León, a la </w:t>
      </w:r>
      <w:r w:rsidRPr="00117EB1">
        <w:rPr>
          <w:rFonts w:ascii="Arial" w:hAnsi="Arial" w:cs="Arial"/>
          <w:b/>
          <w:bCs/>
          <w:sz w:val="24"/>
        </w:rPr>
        <w:t>Cuenta Pública</w:t>
      </w:r>
      <w:r w:rsidRPr="00117EB1">
        <w:rPr>
          <w:rFonts w:ascii="Arial" w:hAnsi="Arial" w:cs="Arial"/>
          <w:sz w:val="24"/>
        </w:rPr>
        <w:t xml:space="preserve"> del </w:t>
      </w:r>
      <w:r w:rsidR="00D373B2">
        <w:rPr>
          <w:rFonts w:ascii="Arial" w:hAnsi="Arial" w:cs="Arial"/>
          <w:b/>
          <w:sz w:val="24"/>
        </w:rPr>
        <w:t>Instituto de Innovación y Transferencia de Tecnología de Nuevo León</w:t>
      </w:r>
      <w:r w:rsidR="004A1733">
        <w:rPr>
          <w:rFonts w:ascii="Arial" w:hAnsi="Arial" w:cs="Arial"/>
          <w:sz w:val="24"/>
        </w:rPr>
        <w:t>, correspondiente al</w:t>
      </w:r>
      <w:r w:rsidRPr="00117EB1">
        <w:rPr>
          <w:rFonts w:ascii="Arial" w:hAnsi="Arial" w:cs="Arial"/>
          <w:sz w:val="24"/>
        </w:rPr>
        <w:t xml:space="preserve"> Ejercicio Fiscal </w:t>
      </w:r>
      <w:r w:rsidR="00FE0BE7">
        <w:rPr>
          <w:rFonts w:ascii="Arial" w:hAnsi="Arial" w:cs="Arial"/>
          <w:b/>
          <w:bCs/>
          <w:sz w:val="24"/>
        </w:rPr>
        <w:t>2015</w:t>
      </w:r>
      <w:r w:rsidRPr="00117EB1">
        <w:rPr>
          <w:rFonts w:ascii="Arial" w:hAnsi="Arial" w:cs="Arial"/>
          <w:sz w:val="24"/>
        </w:rPr>
        <w:t>, bajo el expediente</w:t>
      </w:r>
      <w:r w:rsidR="00513CE9">
        <w:rPr>
          <w:rFonts w:ascii="Arial" w:hAnsi="Arial" w:cs="Arial"/>
          <w:sz w:val="24"/>
        </w:rPr>
        <w:t xml:space="preserve"> número</w:t>
      </w:r>
      <w:r w:rsidRPr="00117EB1">
        <w:rPr>
          <w:rFonts w:ascii="Arial" w:hAnsi="Arial" w:cs="Arial"/>
          <w:sz w:val="24"/>
        </w:rPr>
        <w:t xml:space="preserve"> </w:t>
      </w:r>
      <w:r w:rsidR="00FE0BE7">
        <w:rPr>
          <w:rFonts w:ascii="Arial" w:hAnsi="Arial" w:cs="Arial"/>
          <w:b/>
          <w:sz w:val="24"/>
        </w:rPr>
        <w:t>10445</w:t>
      </w:r>
      <w:r w:rsidR="00513CE9">
        <w:rPr>
          <w:rFonts w:ascii="Arial" w:hAnsi="Arial" w:cs="Arial"/>
          <w:b/>
          <w:bCs/>
          <w:sz w:val="24"/>
        </w:rPr>
        <w:t>/LXXIV</w:t>
      </w:r>
      <w:r w:rsidRPr="00117EB1">
        <w:rPr>
          <w:rFonts w:ascii="Arial" w:hAnsi="Arial" w:cs="Arial"/>
          <w:b/>
          <w:bCs/>
          <w:sz w:val="24"/>
        </w:rPr>
        <w:t>.</w:t>
      </w:r>
    </w:p>
    <w:p w:rsidR="009C0345" w:rsidRPr="00117EB1" w:rsidRDefault="009C0345" w:rsidP="00F072A9">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sidR="00513CE9">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sidR="00513CE9">
        <w:rPr>
          <w:rFonts w:ascii="Arial" w:hAnsi="Arial" w:cs="Arial"/>
          <w:szCs w:val="22"/>
        </w:rPr>
        <w:t xml:space="preserve">omisión de Dictamen Legislativo </w:t>
      </w:r>
      <w:r w:rsidRPr="00117EB1">
        <w:rPr>
          <w:rFonts w:ascii="Arial" w:hAnsi="Arial" w:cs="Arial"/>
          <w:szCs w:val="22"/>
        </w:rPr>
        <w:t>que sustenta el presente documento, consignamos ante este Pleno los siguientes:</w:t>
      </w:r>
    </w:p>
    <w:p w:rsidR="00F072A9" w:rsidRDefault="009C0345" w:rsidP="009C0345">
      <w:pPr>
        <w:jc w:val="both"/>
        <w:rPr>
          <w:rFonts w:ascii="Arial" w:hAnsi="Arial" w:cs="Arial"/>
          <w:b/>
          <w:bCs/>
        </w:rPr>
      </w:pPr>
      <w:r w:rsidRPr="008D1FA1">
        <w:rPr>
          <w:rFonts w:ascii="Arial" w:hAnsi="Arial" w:cs="Arial"/>
          <w:b/>
          <w:bCs/>
        </w:rPr>
        <w:t>ANTECEDENTES:</w:t>
      </w:r>
    </w:p>
    <w:p w:rsidR="00513CE9" w:rsidRDefault="00513CE9" w:rsidP="009C0345">
      <w:pPr>
        <w:jc w:val="both"/>
        <w:rPr>
          <w:rFonts w:ascii="Arial" w:hAnsi="Arial" w:cs="Arial"/>
          <w:b/>
          <w:bCs/>
        </w:rPr>
      </w:pPr>
    </w:p>
    <w:p w:rsidR="009C0345" w:rsidRPr="00B67BEE" w:rsidRDefault="009C0345" w:rsidP="009C0345">
      <w:pPr>
        <w:pStyle w:val="Prrafodelista"/>
        <w:numPr>
          <w:ilvl w:val="0"/>
          <w:numId w:val="3"/>
        </w:numPr>
        <w:spacing w:after="0"/>
        <w:ind w:left="426" w:hanging="426"/>
        <w:contextualSpacing/>
        <w:rPr>
          <w:rFonts w:ascii="Arial" w:hAnsi="Arial" w:cs="Arial"/>
          <w:b/>
          <w:sz w:val="24"/>
          <w:szCs w:val="24"/>
        </w:rPr>
      </w:pPr>
      <w:r w:rsidRPr="00B67BEE">
        <w:rPr>
          <w:rFonts w:ascii="Arial" w:hAnsi="Arial" w:cs="Arial"/>
          <w:b/>
          <w:bCs/>
          <w:sz w:val="24"/>
        </w:rPr>
        <w:t>Presentación</w:t>
      </w:r>
    </w:p>
    <w:p w:rsidR="009C0345" w:rsidRPr="00B67BEE" w:rsidRDefault="009C0345" w:rsidP="009C0345">
      <w:pPr>
        <w:spacing w:after="0"/>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 xml:space="preserve">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poderes del estado, los organismos autónomos, los organismos </w:t>
      </w:r>
      <w:r w:rsidRPr="00B67BEE">
        <w:rPr>
          <w:rFonts w:ascii="Arial" w:hAnsi="Arial" w:cs="Arial"/>
          <w:sz w:val="24"/>
          <w:szCs w:val="24"/>
        </w:rPr>
        <w:lastRenderedPageBreak/>
        <w:t>desc</w:t>
      </w:r>
      <w:r w:rsidR="00513CE9">
        <w:rPr>
          <w:rFonts w:ascii="Arial" w:hAnsi="Arial" w:cs="Arial"/>
          <w:sz w:val="24"/>
          <w:szCs w:val="24"/>
        </w:rPr>
        <w:t>entralizados y desconcentrados, así como de los</w:t>
      </w:r>
      <w:r w:rsidRPr="00B67BEE">
        <w:rPr>
          <w:rFonts w:ascii="Arial" w:hAnsi="Arial" w:cs="Arial"/>
          <w:sz w:val="24"/>
          <w:szCs w:val="24"/>
        </w:rPr>
        <w:t xml:space="preserve"> fideicomisos públicos de la a</w:t>
      </w:r>
      <w:r w:rsidR="00513CE9">
        <w:rPr>
          <w:rFonts w:ascii="Arial" w:hAnsi="Arial" w:cs="Arial"/>
          <w:sz w:val="24"/>
          <w:szCs w:val="24"/>
        </w:rPr>
        <w:t>dministración pública del Estatal</w:t>
      </w:r>
      <w:r w:rsidRPr="00B67BEE">
        <w:rPr>
          <w:rFonts w:ascii="Arial" w:hAnsi="Arial" w:cs="Arial"/>
          <w:sz w:val="24"/>
          <w:szCs w:val="24"/>
        </w:rPr>
        <w:t>, los municipios y sus organismos descentralizados y desconcentrados.</w:t>
      </w:r>
    </w:p>
    <w:p w:rsidR="009C0345" w:rsidRPr="00B67BEE" w:rsidRDefault="009C0345" w:rsidP="00F072A9">
      <w:pPr>
        <w:spacing w:after="0" w:line="360" w:lineRule="auto"/>
        <w:ind w:firstLine="709"/>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En el ejercicio de las referidas funciones, para la revisión de la C</w:t>
      </w:r>
      <w:r w:rsidR="00FE0BE7">
        <w:rPr>
          <w:rFonts w:ascii="Arial" w:hAnsi="Arial" w:cs="Arial"/>
          <w:sz w:val="24"/>
          <w:szCs w:val="24"/>
        </w:rPr>
        <w:t>uenta Pública del ejercicio 2015</w:t>
      </w:r>
      <w:r w:rsidRPr="00B67BEE">
        <w:rPr>
          <w:rFonts w:ascii="Arial" w:hAnsi="Arial" w:cs="Arial"/>
          <w:sz w:val="24"/>
          <w:szCs w:val="24"/>
        </w:rPr>
        <w:t xml:space="preserve"> </w:t>
      </w:r>
      <w:r w:rsidR="00AA19D7">
        <w:rPr>
          <w:rFonts w:ascii="Arial" w:hAnsi="Arial" w:cs="Arial"/>
          <w:sz w:val="24"/>
        </w:rPr>
        <w:t>del</w:t>
      </w:r>
      <w:r w:rsidR="00AA19D7" w:rsidRPr="00117EB1">
        <w:rPr>
          <w:rFonts w:ascii="Arial" w:hAnsi="Arial" w:cs="Arial"/>
          <w:sz w:val="24"/>
        </w:rPr>
        <w:t xml:space="preserve"> </w:t>
      </w:r>
      <w:r w:rsidR="00AA19D7">
        <w:rPr>
          <w:rFonts w:ascii="Arial" w:hAnsi="Arial" w:cs="Arial"/>
          <w:b/>
          <w:sz w:val="24"/>
        </w:rPr>
        <w:t>Instituto de Innovación y Transferencia de Tecnología de Nuevo León</w:t>
      </w:r>
      <w:r w:rsidR="00AA19D7">
        <w:rPr>
          <w:rFonts w:ascii="Arial" w:hAnsi="Arial" w:cs="Arial"/>
          <w:sz w:val="24"/>
        </w:rPr>
        <w:t>,</w:t>
      </w:r>
      <w:r w:rsidRPr="00B67BEE">
        <w:rPr>
          <w:rFonts w:ascii="Arial" w:hAnsi="Arial" w:cs="Arial"/>
          <w:sz w:val="24"/>
          <w:szCs w:val="24"/>
        </w:rPr>
        <w:t xml:space="preserve">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w:t>
      </w:r>
    </w:p>
    <w:p w:rsidR="009C0345" w:rsidRPr="00B67BEE" w:rsidRDefault="009C0345" w:rsidP="009C0345">
      <w:pPr>
        <w:spacing w:after="0"/>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 ese</w:t>
      </w:r>
      <w:r w:rsidR="009C0345" w:rsidRPr="00B67BEE">
        <w:rPr>
          <w:rFonts w:ascii="Arial" w:hAnsi="Arial" w:cs="Arial"/>
          <w:sz w:val="24"/>
          <w:szCs w:val="24"/>
        </w:rPr>
        <w:t xml:space="preserve"> sentido, y en cumplimiento de lo preceptuado en los artículos 137 segundo p</w:t>
      </w:r>
      <w:r>
        <w:rPr>
          <w:rFonts w:ascii="Arial" w:hAnsi="Arial" w:cs="Arial"/>
          <w:sz w:val="24"/>
          <w:szCs w:val="24"/>
        </w:rPr>
        <w:t>árrafo de la Constitución Política del Estado Libre y Soberano de Nuevo León,</w:t>
      </w:r>
      <w:r w:rsidR="009C0345" w:rsidRPr="00B67BEE">
        <w:rPr>
          <w:rFonts w:ascii="Arial" w:hAnsi="Arial" w:cs="Arial"/>
          <w:sz w:val="24"/>
          <w:szCs w:val="24"/>
        </w:rPr>
        <w:t xml:space="preserve"> 20 fracción XXXI, 48 primer párrafo y 82 fracción XV de la Ley de Fiscalización Superio</w:t>
      </w:r>
      <w:r>
        <w:rPr>
          <w:rFonts w:ascii="Arial" w:hAnsi="Arial" w:cs="Arial"/>
          <w:sz w:val="24"/>
          <w:szCs w:val="24"/>
        </w:rPr>
        <w:t>r del Estado de Nuevo León, la</w:t>
      </w:r>
      <w:r w:rsidR="009C0345" w:rsidRPr="00B67BEE">
        <w:rPr>
          <w:rFonts w:ascii="Arial" w:hAnsi="Arial" w:cs="Arial"/>
          <w:sz w:val="24"/>
          <w:szCs w:val="24"/>
        </w:rPr>
        <w:t xml:space="preserve"> Aud</w:t>
      </w:r>
      <w:r>
        <w:rPr>
          <w:rFonts w:ascii="Arial" w:hAnsi="Arial" w:cs="Arial"/>
          <w:sz w:val="24"/>
          <w:szCs w:val="24"/>
        </w:rPr>
        <w:t>itoría Superior del Estado tuvo</w:t>
      </w:r>
      <w:r w:rsidR="009C0345" w:rsidRPr="00B67BEE">
        <w:rPr>
          <w:rFonts w:ascii="Arial" w:hAnsi="Arial" w:cs="Arial"/>
          <w:sz w:val="24"/>
          <w:szCs w:val="24"/>
        </w:rPr>
        <w:t xml:space="preserve"> a bien rendir el Informe del Resultado de la revisión practicada a la C</w:t>
      </w:r>
      <w:r w:rsidR="00FE0BE7">
        <w:rPr>
          <w:rFonts w:ascii="Arial" w:hAnsi="Arial" w:cs="Arial"/>
          <w:sz w:val="24"/>
          <w:szCs w:val="24"/>
        </w:rPr>
        <w:t>uenta Pública del ejercicio 2015</w:t>
      </w:r>
      <w:r w:rsidR="009C0345" w:rsidRPr="00B67BEE">
        <w:rPr>
          <w:rFonts w:ascii="Arial" w:hAnsi="Arial" w:cs="Arial"/>
          <w:sz w:val="24"/>
          <w:szCs w:val="24"/>
        </w:rPr>
        <w:t xml:space="preserve"> </w:t>
      </w:r>
      <w:r w:rsidR="00BC2F42" w:rsidRPr="00117EB1">
        <w:rPr>
          <w:rFonts w:ascii="Arial" w:hAnsi="Arial" w:cs="Arial"/>
          <w:sz w:val="24"/>
        </w:rPr>
        <w:t xml:space="preserve">del </w:t>
      </w:r>
      <w:r w:rsidR="00BC2F42">
        <w:rPr>
          <w:rFonts w:ascii="Arial" w:hAnsi="Arial" w:cs="Arial"/>
          <w:b/>
          <w:sz w:val="24"/>
        </w:rPr>
        <w:t>Instituto de Innovación y Transferencia de Tecnología de Nuevo León</w:t>
      </w:r>
      <w:r w:rsidR="00BC2F42">
        <w:rPr>
          <w:rFonts w:ascii="Arial" w:hAnsi="Arial" w:cs="Arial"/>
          <w:sz w:val="24"/>
        </w:rPr>
        <w:t>,</w:t>
      </w:r>
      <w:r>
        <w:rPr>
          <w:rFonts w:ascii="Arial" w:hAnsi="Arial" w:cs="Arial"/>
          <w:sz w:val="24"/>
          <w:szCs w:val="24"/>
        </w:rPr>
        <w:t xml:space="preserve"> a este</w:t>
      </w:r>
      <w:r w:rsidR="009C0345" w:rsidRPr="00B67BEE">
        <w:rPr>
          <w:rFonts w:ascii="Arial" w:hAnsi="Arial" w:cs="Arial"/>
          <w:sz w:val="24"/>
          <w:szCs w:val="24"/>
        </w:rPr>
        <w:t xml:space="preserve"> H. Congreso del Estado.</w:t>
      </w:r>
    </w:p>
    <w:p w:rsidR="009C0345" w:rsidRPr="00B67BEE" w:rsidRDefault="009C0345" w:rsidP="00F072A9">
      <w:pPr>
        <w:spacing w:after="0" w:line="360" w:lineRule="auto"/>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Entre los apartados del</w:t>
      </w:r>
      <w:r w:rsidR="009C0345" w:rsidRPr="00B67BEE">
        <w:rPr>
          <w:rFonts w:ascii="Arial" w:hAnsi="Arial" w:cs="Arial"/>
          <w:sz w:val="24"/>
          <w:szCs w:val="24"/>
        </w:rPr>
        <w:t xml:space="preserve"> informe, se incluyen los objetivos y alcances de la revisión practicada, incluyendo los criterios de selección y descripción de los procedimientos de auditoría, así como el Dictamen de la revisión.</w:t>
      </w:r>
    </w:p>
    <w:p w:rsidR="009C0345" w:rsidRPr="00B67BEE" w:rsidRDefault="009C0345" w:rsidP="00F072A9">
      <w:pPr>
        <w:spacing w:after="0" w:line="360" w:lineRule="auto"/>
        <w:jc w:val="both"/>
        <w:rPr>
          <w:rFonts w:ascii="Arial" w:hAnsi="Arial" w:cs="Arial"/>
          <w:sz w:val="24"/>
          <w:szCs w:val="24"/>
        </w:rPr>
      </w:pPr>
    </w:p>
    <w:p w:rsidR="000A10A8"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Asimismo, se realiza una descripción de los elementos revisados y resultados obtenidos en la revisión, respecto de:</w:t>
      </w:r>
    </w:p>
    <w:p w:rsidR="00957FD5" w:rsidRPr="00B67BEE" w:rsidRDefault="00957FD5" w:rsidP="00F072A9">
      <w:pPr>
        <w:spacing w:after="0" w:line="360" w:lineRule="auto"/>
        <w:ind w:firstLine="709"/>
        <w:jc w:val="both"/>
        <w:rPr>
          <w:rFonts w:ascii="Arial" w:hAnsi="Arial" w:cs="Arial"/>
          <w:sz w:val="24"/>
          <w:szCs w:val="24"/>
        </w:rPr>
      </w:pP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La evaluación de la gestión financiera y del gasto público;</w:t>
      </w:r>
    </w:p>
    <w:p w:rsidR="008900B3" w:rsidRPr="00594027"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Cumplimiento de las normas de información financiera aplicables al sector gubernamental y de las disposiciones contenidas en los ordenamient</w:t>
      </w:r>
      <w:r w:rsidR="008900B3">
        <w:rPr>
          <w:rFonts w:ascii="Arial" w:hAnsi="Arial" w:cs="Arial"/>
          <w:sz w:val="24"/>
          <w:szCs w:val="24"/>
        </w:rPr>
        <w:t>o</w:t>
      </w:r>
      <w:r w:rsidR="00F072A9">
        <w:rPr>
          <w:rFonts w:ascii="Arial" w:hAnsi="Arial" w:cs="Arial"/>
          <w:sz w:val="24"/>
          <w:szCs w:val="24"/>
        </w:rPr>
        <w:t>s y normativa correspondientes;</w:t>
      </w:r>
      <w:r w:rsidR="008900B3" w:rsidRPr="00594027">
        <w:rPr>
          <w:rFonts w:ascii="Arial" w:hAnsi="Arial" w:cs="Arial"/>
          <w:sz w:val="24"/>
          <w:szCs w:val="24"/>
        </w:rPr>
        <w:t xml:space="preserve"> y </w:t>
      </w:r>
    </w:p>
    <w:p w:rsidR="008900B3" w:rsidRPr="00594027" w:rsidRDefault="008900B3" w:rsidP="00F072A9">
      <w:pPr>
        <w:numPr>
          <w:ilvl w:val="0"/>
          <w:numId w:val="2"/>
        </w:numPr>
        <w:spacing w:after="0" w:line="360" w:lineRule="auto"/>
        <w:contextualSpacing/>
        <w:jc w:val="both"/>
        <w:rPr>
          <w:rFonts w:ascii="Arial" w:hAnsi="Arial" w:cs="Arial"/>
          <w:sz w:val="24"/>
          <w:szCs w:val="24"/>
        </w:rPr>
      </w:pPr>
      <w:r w:rsidRPr="00594027">
        <w:rPr>
          <w:rFonts w:ascii="Arial" w:hAnsi="Arial" w:cs="Arial"/>
          <w:sz w:val="24"/>
          <w:szCs w:val="24"/>
        </w:rPr>
        <w:t>La evaluación del avance de los programas y subprogramas aprobados.</w:t>
      </w:r>
    </w:p>
    <w:p w:rsidR="009C0345" w:rsidRPr="00B67BEE" w:rsidRDefault="009C0345" w:rsidP="009C0345">
      <w:pPr>
        <w:spacing w:after="0"/>
        <w:jc w:val="both"/>
        <w:rPr>
          <w:rFonts w:ascii="Arial" w:hAnsi="Arial" w:cs="Arial"/>
          <w:sz w:val="24"/>
          <w:szCs w:val="24"/>
        </w:rPr>
      </w:pPr>
    </w:p>
    <w:p w:rsidR="009C0345" w:rsidRPr="00B67BEE" w:rsidRDefault="009C0345" w:rsidP="009C0345">
      <w:pPr>
        <w:spacing w:after="0"/>
        <w:jc w:val="both"/>
        <w:rPr>
          <w:rFonts w:ascii="Arial" w:hAnsi="Arial" w:cs="Arial"/>
          <w:sz w:val="24"/>
          <w:szCs w:val="24"/>
        </w:rPr>
      </w:pPr>
    </w:p>
    <w:p w:rsidR="00084A4D" w:rsidRDefault="00084A4D" w:rsidP="009C0345">
      <w:pPr>
        <w:pStyle w:val="Prrafodelista"/>
        <w:numPr>
          <w:ilvl w:val="0"/>
          <w:numId w:val="3"/>
        </w:numPr>
        <w:spacing w:after="0"/>
        <w:ind w:left="426" w:hanging="426"/>
        <w:contextualSpacing/>
        <w:rPr>
          <w:rFonts w:ascii="Arial" w:hAnsi="Arial" w:cs="Arial"/>
          <w:b/>
          <w:sz w:val="24"/>
        </w:rPr>
      </w:pPr>
      <w:r>
        <w:rPr>
          <w:rFonts w:ascii="Arial" w:hAnsi="Arial" w:cs="Arial"/>
          <w:b/>
          <w:sz w:val="24"/>
        </w:rPr>
        <w:t>Entidad Objeto de la revisión</w:t>
      </w:r>
    </w:p>
    <w:p w:rsidR="00084A4D" w:rsidRDefault="00084A4D" w:rsidP="00084A4D">
      <w:pPr>
        <w:spacing w:after="0"/>
        <w:contextualSpacing/>
        <w:rPr>
          <w:rFonts w:ascii="Arial" w:hAnsi="Arial" w:cs="Arial"/>
          <w:sz w:val="24"/>
        </w:rPr>
      </w:pPr>
    </w:p>
    <w:p w:rsidR="00957FD5" w:rsidRPr="00957FD5" w:rsidRDefault="00957FD5" w:rsidP="00957FD5">
      <w:pPr>
        <w:tabs>
          <w:tab w:val="left" w:pos="2610"/>
        </w:tabs>
        <w:spacing w:line="360" w:lineRule="auto"/>
        <w:ind w:firstLine="709"/>
        <w:jc w:val="both"/>
        <w:rPr>
          <w:rFonts w:ascii="Arial" w:hAnsi="Arial" w:cs="Arial"/>
          <w:sz w:val="24"/>
        </w:rPr>
      </w:pPr>
      <w:r w:rsidRPr="00957FD5">
        <w:rPr>
          <w:rFonts w:ascii="Arial" w:hAnsi="Arial" w:cs="Arial"/>
          <w:sz w:val="24"/>
        </w:rPr>
        <w:t>El Instituto de Innovación y Transferencia de Tecnología de Nuevo León se establece mediante Decreto número 80 de fecha 19 de marzo d</w:t>
      </w:r>
      <w:r>
        <w:rPr>
          <w:rFonts w:ascii="Arial" w:hAnsi="Arial" w:cs="Arial"/>
          <w:sz w:val="24"/>
        </w:rPr>
        <w:t>e 2004.</w:t>
      </w:r>
    </w:p>
    <w:p w:rsidR="00957FD5" w:rsidRPr="00957FD5" w:rsidRDefault="00957FD5" w:rsidP="00957FD5">
      <w:pPr>
        <w:tabs>
          <w:tab w:val="left" w:pos="2610"/>
        </w:tabs>
        <w:spacing w:line="360" w:lineRule="auto"/>
        <w:ind w:firstLine="709"/>
        <w:jc w:val="both"/>
        <w:rPr>
          <w:rFonts w:ascii="Arial" w:hAnsi="Arial" w:cs="Arial"/>
          <w:sz w:val="24"/>
        </w:rPr>
      </w:pPr>
      <w:r w:rsidRPr="00957FD5">
        <w:rPr>
          <w:rFonts w:ascii="Arial" w:hAnsi="Arial" w:cs="Arial"/>
          <w:sz w:val="24"/>
        </w:rPr>
        <w:t>Mediante Decreto número 243 emitido por el H. Congreso del Estado de Nuevo León, el 22 de junio de 2005 se reforman algunas disposiciones del Decreto s</w:t>
      </w:r>
      <w:r>
        <w:rPr>
          <w:rFonts w:ascii="Arial" w:hAnsi="Arial" w:cs="Arial"/>
          <w:sz w:val="24"/>
        </w:rPr>
        <w:t>eñalado en el párrafo anterior.</w:t>
      </w:r>
    </w:p>
    <w:p w:rsidR="00957FD5" w:rsidRPr="00957FD5" w:rsidRDefault="00957FD5" w:rsidP="00957FD5">
      <w:pPr>
        <w:tabs>
          <w:tab w:val="left" w:pos="2610"/>
        </w:tabs>
        <w:spacing w:line="360" w:lineRule="auto"/>
        <w:ind w:firstLine="709"/>
        <w:jc w:val="both"/>
        <w:rPr>
          <w:rFonts w:ascii="Arial" w:hAnsi="Arial" w:cs="Arial"/>
          <w:sz w:val="24"/>
        </w:rPr>
      </w:pPr>
      <w:r w:rsidRPr="00957FD5">
        <w:rPr>
          <w:rFonts w:ascii="Arial" w:hAnsi="Arial" w:cs="Arial"/>
          <w:sz w:val="24"/>
        </w:rPr>
        <w:t>Con fecha 28 de septiembre de 2009, se publicó en el Periódico Oficial del Estado el Decreto número 437 que crea la Ley de Impulso al Conocimiento y a la Innovación Tecnológica del Estado de Nuevo León, la cual abroga la ley creada con el Decreto núm</w:t>
      </w:r>
      <w:r>
        <w:rPr>
          <w:rFonts w:ascii="Arial" w:hAnsi="Arial" w:cs="Arial"/>
          <w:sz w:val="24"/>
        </w:rPr>
        <w:t>ero 80 del 19 de marzo de 2004.</w:t>
      </w:r>
    </w:p>
    <w:p w:rsidR="00957FD5" w:rsidRPr="00957FD5" w:rsidRDefault="00957FD5" w:rsidP="00957FD5">
      <w:pPr>
        <w:tabs>
          <w:tab w:val="left" w:pos="2610"/>
        </w:tabs>
        <w:spacing w:line="360" w:lineRule="auto"/>
        <w:ind w:firstLine="709"/>
        <w:jc w:val="both"/>
        <w:rPr>
          <w:rFonts w:ascii="Arial" w:hAnsi="Arial" w:cs="Arial"/>
          <w:sz w:val="24"/>
        </w:rPr>
      </w:pPr>
      <w:r w:rsidRPr="00957FD5">
        <w:rPr>
          <w:rFonts w:ascii="Arial" w:hAnsi="Arial" w:cs="Arial"/>
          <w:sz w:val="24"/>
        </w:rPr>
        <w:lastRenderedPageBreak/>
        <w:t>El Instituto de Innovación y Transferencia de Tecnología de Nuevo León, es un Instituto Público Descentralizado con personalidad jurídica, patrimonio propio y autonomía técnica y de gestión para el cumplimiento de sus atribuciones. El Instituto inició sus actividades a partir de septiembre d</w:t>
      </w:r>
      <w:r>
        <w:rPr>
          <w:rFonts w:ascii="Arial" w:hAnsi="Arial" w:cs="Arial"/>
          <w:sz w:val="24"/>
        </w:rPr>
        <w:t>e 2005.</w:t>
      </w:r>
    </w:p>
    <w:p w:rsidR="00322FAE" w:rsidRDefault="00957FD5" w:rsidP="00957FD5">
      <w:pPr>
        <w:tabs>
          <w:tab w:val="left" w:pos="2610"/>
        </w:tabs>
        <w:spacing w:line="360" w:lineRule="auto"/>
        <w:ind w:firstLine="709"/>
        <w:jc w:val="both"/>
        <w:rPr>
          <w:rFonts w:ascii="Arial" w:hAnsi="Arial" w:cs="Arial"/>
          <w:sz w:val="24"/>
        </w:rPr>
      </w:pPr>
      <w:r w:rsidRPr="00957FD5">
        <w:rPr>
          <w:rFonts w:ascii="Arial" w:hAnsi="Arial" w:cs="Arial"/>
          <w:sz w:val="24"/>
        </w:rPr>
        <w:t>Su objeto principal es establecer las bases, instrumentos, mecanismos y organización para el impulso al conocimiento y a la innovación tecnológica, con visión de largo plazo, que permitan el desarrollo económico y social de la entidad.</w:t>
      </w:r>
    </w:p>
    <w:p w:rsidR="009C0345" w:rsidRPr="00B67BEE" w:rsidRDefault="009C0345" w:rsidP="002B20E1">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Objetivos y alcances de la revisión practicada tanto a la gestión como al desempeño, incluyendo prevenciones generales sobre los criterios de selección y descripción de los procedimientos de auditoría aplicados.</w:t>
      </w:r>
    </w:p>
    <w:p w:rsidR="00760233" w:rsidRPr="00B67BEE" w:rsidRDefault="00760233" w:rsidP="009C0345">
      <w:pPr>
        <w:pStyle w:val="Prrafodelista"/>
        <w:spacing w:after="0"/>
        <w:ind w:left="426"/>
        <w:rPr>
          <w:rFonts w:ascii="Arial" w:hAnsi="Arial" w:cs="Arial"/>
          <w:b/>
          <w:sz w:val="24"/>
        </w:rPr>
      </w:pPr>
    </w:p>
    <w:p w:rsidR="0077749F" w:rsidRPr="0077749F" w:rsidRDefault="0077749F" w:rsidP="0077749F">
      <w:pPr>
        <w:spacing w:after="0"/>
        <w:jc w:val="both"/>
        <w:rPr>
          <w:rFonts w:ascii="Arial" w:eastAsia="Times New Roman" w:hAnsi="Arial" w:cs="Arial"/>
          <w:sz w:val="24"/>
          <w:lang w:eastAsia="es-ES"/>
        </w:rPr>
      </w:pPr>
    </w:p>
    <w:p w:rsidR="0077749F" w:rsidRPr="0077749F" w:rsidRDefault="0077749F" w:rsidP="0077749F">
      <w:pPr>
        <w:spacing w:after="0"/>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b/>
          <w:sz w:val="24"/>
          <w:lang w:eastAsia="es-ES"/>
        </w:rPr>
        <w:tab/>
        <w:t>Auditorías programadas por tipo o materia</w:t>
      </w:r>
    </w:p>
    <w:p w:rsidR="0077749F" w:rsidRPr="0077749F" w:rsidRDefault="0077749F" w:rsidP="0077749F">
      <w:pPr>
        <w:spacing w:after="0"/>
        <w:jc w:val="both"/>
        <w:rPr>
          <w:rFonts w:ascii="Arial" w:eastAsia="Times New Roman" w:hAnsi="Arial" w:cs="Arial"/>
          <w:sz w:val="24"/>
          <w:lang w:eastAsia="es-ES"/>
        </w:rPr>
      </w:pPr>
    </w:p>
    <w:p w:rsid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Con base en los criterios generales y particulares para la planeación específica utilizada en la integración del P</w:t>
      </w:r>
      <w:r w:rsidR="00FE0BE7">
        <w:rPr>
          <w:rFonts w:ascii="Arial" w:eastAsia="Times New Roman" w:hAnsi="Arial" w:cs="Arial"/>
          <w:sz w:val="24"/>
          <w:lang w:eastAsia="es-ES"/>
        </w:rPr>
        <w:t>rograma Anual de Auditorías 2016</w:t>
      </w:r>
      <w:r w:rsidRPr="0077749F">
        <w:rPr>
          <w:rFonts w:ascii="Arial" w:eastAsia="Times New Roman" w:hAnsi="Arial" w:cs="Arial"/>
          <w:sz w:val="24"/>
          <w:lang w:eastAsia="es-ES"/>
        </w:rPr>
        <w:t xml:space="preserve"> para la Fiscalización de las Cuentas Públicas co</w:t>
      </w:r>
      <w:r w:rsidR="00FE0BE7">
        <w:rPr>
          <w:rFonts w:ascii="Arial" w:eastAsia="Times New Roman" w:hAnsi="Arial" w:cs="Arial"/>
          <w:sz w:val="24"/>
          <w:lang w:eastAsia="es-ES"/>
        </w:rPr>
        <w:t>rrespondientes al ejercicio 2015</w:t>
      </w:r>
      <w:r w:rsidR="00902D03">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sidR="00902D03">
        <w:rPr>
          <w:rFonts w:ascii="Arial" w:eastAsia="Times New Roman" w:hAnsi="Arial" w:cs="Arial"/>
          <w:sz w:val="24"/>
          <w:lang w:eastAsia="es-ES"/>
        </w:rPr>
        <w:t>isión de Vigilancia, en fecha 29 de mayo del 2015,</w:t>
      </w:r>
      <w:r w:rsidRPr="0077749F">
        <w:rPr>
          <w:rFonts w:ascii="Arial" w:eastAsia="Times New Roman" w:hAnsi="Arial" w:cs="Arial"/>
          <w:sz w:val="24"/>
          <w:lang w:eastAsia="es-ES"/>
        </w:rPr>
        <w:t xml:space="preserve"> considerando la importancia, pertinencia y factibilidad de su realización, se determinaron las siguientes auditorías a practicar al Ente Público en cuestión, por tipo o materia, a saber:</w:t>
      </w:r>
    </w:p>
    <w:tbl>
      <w:tblPr>
        <w:tblW w:w="4741" w:type="pct"/>
        <w:jc w:val="center"/>
        <w:tblLayout w:type="fixed"/>
        <w:tblCellMar>
          <w:left w:w="70" w:type="dxa"/>
          <w:right w:w="70" w:type="dxa"/>
        </w:tblCellMar>
        <w:tblLook w:val="04A0" w:firstRow="1" w:lastRow="0" w:firstColumn="1" w:lastColumn="0" w:noHBand="0" w:noVBand="1"/>
      </w:tblPr>
      <w:tblGrid>
        <w:gridCol w:w="1914"/>
        <w:gridCol w:w="949"/>
        <w:gridCol w:w="936"/>
        <w:gridCol w:w="803"/>
        <w:gridCol w:w="936"/>
        <w:gridCol w:w="936"/>
        <w:gridCol w:w="936"/>
        <w:gridCol w:w="620"/>
      </w:tblGrid>
      <w:tr w:rsidR="00FE0BE7" w:rsidRPr="00190CC1" w:rsidTr="000130B3">
        <w:trPr>
          <w:trHeight w:val="300"/>
          <w:tblHeader/>
          <w:jc w:val="center"/>
        </w:trPr>
        <w:tc>
          <w:tcPr>
            <w:tcW w:w="1191" w:type="pct"/>
            <w:vMerge w:val="restart"/>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FE0BE7" w:rsidRPr="00190CC1" w:rsidRDefault="00FE0BE7" w:rsidP="000130B3">
            <w:pPr>
              <w:ind w:hanging="284"/>
              <w:jc w:val="center"/>
              <w:rPr>
                <w:rFonts w:ascii="Arial" w:hAnsi="Arial" w:cs="Arial"/>
                <w:b/>
                <w:bCs/>
                <w:color w:val="000000"/>
                <w:sz w:val="14"/>
                <w:szCs w:val="14"/>
                <w:lang w:eastAsia="es-MX"/>
              </w:rPr>
            </w:pPr>
            <w:r>
              <w:rPr>
                <w:rFonts w:ascii="Arial" w:hAnsi="Arial" w:cs="Arial"/>
                <w:b/>
                <w:sz w:val="24"/>
              </w:rPr>
              <w:br w:type="page"/>
            </w:r>
            <w:r w:rsidRPr="00190CC1">
              <w:rPr>
                <w:rFonts w:ascii="Arial" w:hAnsi="Arial" w:cs="Arial"/>
                <w:b/>
                <w:bCs/>
                <w:color w:val="000000"/>
                <w:sz w:val="18"/>
                <w:szCs w:val="18"/>
                <w:lang w:eastAsia="es-MX"/>
              </w:rPr>
              <w:t>Entidad</w:t>
            </w:r>
          </w:p>
        </w:tc>
        <w:tc>
          <w:tcPr>
            <w:tcW w:w="3809"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FE0BE7" w:rsidRPr="00190CC1" w:rsidRDefault="00FE0BE7" w:rsidP="000130B3">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Pública </w:t>
            </w:r>
            <w:r>
              <w:rPr>
                <w:rFonts w:ascii="Arial" w:hAnsi="Arial" w:cs="Arial"/>
                <w:b/>
                <w:bCs/>
                <w:color w:val="000000"/>
                <w:sz w:val="18"/>
                <w:szCs w:val="18"/>
                <w:lang w:eastAsia="es-MX"/>
              </w:rPr>
              <w:t>2015</w:t>
            </w:r>
          </w:p>
        </w:tc>
      </w:tr>
      <w:tr w:rsidR="00FE0BE7" w:rsidRPr="00190CC1" w:rsidTr="000130B3">
        <w:trPr>
          <w:trHeight w:val="375"/>
          <w:tblHeader/>
          <w:jc w:val="center"/>
        </w:trPr>
        <w:tc>
          <w:tcPr>
            <w:tcW w:w="1191" w:type="pct"/>
            <w:vMerge/>
            <w:tcBorders>
              <w:left w:val="single" w:sz="12" w:space="0" w:color="auto"/>
              <w:bottom w:val="single" w:sz="12" w:space="0" w:color="auto"/>
              <w:right w:val="single" w:sz="12" w:space="0" w:color="auto"/>
            </w:tcBorders>
            <w:shd w:val="clear" w:color="auto" w:fill="C2D69B" w:themeFill="accent3" w:themeFillTint="99"/>
            <w:noWrap/>
            <w:vAlign w:val="center"/>
            <w:hideMark/>
          </w:tcPr>
          <w:p w:rsidR="00FE0BE7" w:rsidRPr="00190CC1" w:rsidRDefault="00FE0BE7" w:rsidP="000130B3">
            <w:pPr>
              <w:jc w:val="center"/>
              <w:rPr>
                <w:rFonts w:ascii="Arial" w:hAnsi="Arial" w:cs="Arial"/>
                <w:b/>
                <w:bCs/>
                <w:color w:val="000000"/>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FE0BE7" w:rsidRPr="00190CC1" w:rsidRDefault="00FE0BE7" w:rsidP="000130B3">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r w:rsidRPr="00390767">
              <w:rPr>
                <w:rFonts w:ascii="Arial" w:hAnsi="Arial" w:cs="Arial"/>
                <w:b/>
                <w:bCs/>
                <w:color w:val="000000"/>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FE0BE7" w:rsidRPr="00190CC1" w:rsidRDefault="00FE0BE7" w:rsidP="000130B3">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r w:rsidRPr="00390767">
              <w:rPr>
                <w:rFonts w:ascii="Arial" w:hAnsi="Arial" w:cs="Arial"/>
                <w:b/>
                <w:bCs/>
                <w:color w:val="000000"/>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FE0BE7" w:rsidRPr="00190CC1" w:rsidRDefault="00FE0BE7" w:rsidP="000130B3">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r w:rsidRPr="00390767">
              <w:rPr>
                <w:rFonts w:ascii="Arial" w:hAnsi="Arial" w:cs="Arial"/>
                <w:b/>
                <w:bCs/>
                <w:color w:val="000000"/>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FE0BE7" w:rsidRPr="00190CC1" w:rsidRDefault="00FE0BE7" w:rsidP="000130B3">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r w:rsidRPr="00390767">
              <w:rPr>
                <w:rFonts w:ascii="Arial" w:hAnsi="Arial" w:cs="Arial"/>
                <w:b/>
                <w:bCs/>
                <w:color w:val="000000"/>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FE0BE7" w:rsidRPr="00190CC1" w:rsidRDefault="00FE0BE7" w:rsidP="000130B3">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r w:rsidRPr="00390767">
              <w:rPr>
                <w:rFonts w:ascii="Arial" w:hAnsi="Arial" w:cs="Arial"/>
                <w:b/>
                <w:bCs/>
                <w:color w:val="000000"/>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FE0BE7" w:rsidRPr="00190CC1" w:rsidRDefault="00FE0BE7" w:rsidP="000130B3">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r w:rsidRPr="00390767">
              <w:rPr>
                <w:rFonts w:ascii="Arial" w:hAnsi="Arial" w:cs="Arial"/>
                <w:b/>
                <w:bCs/>
                <w:color w:val="000000"/>
                <w:sz w:val="16"/>
                <w:szCs w:val="14"/>
                <w:vertAlign w:val="superscript"/>
                <w:lang w:eastAsia="es-MX"/>
              </w:rPr>
              <w:t>6</w:t>
            </w:r>
          </w:p>
        </w:tc>
        <w:tc>
          <w:tcPr>
            <w:tcW w:w="385"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FE0BE7" w:rsidRPr="00190CC1" w:rsidRDefault="00FE0BE7" w:rsidP="000130B3">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FE0BE7" w:rsidRPr="0095129D" w:rsidTr="000130B3">
        <w:trPr>
          <w:cantSplit/>
          <w:trHeight w:val="315"/>
          <w:jc w:val="center"/>
        </w:trPr>
        <w:tc>
          <w:tcPr>
            <w:tcW w:w="119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FE0BE7" w:rsidRPr="0095129D" w:rsidRDefault="00FE0BE7" w:rsidP="000130B3">
            <w:pPr>
              <w:jc w:val="center"/>
              <w:rPr>
                <w:rFonts w:ascii="Arial" w:hAnsi="Arial" w:cs="Arial"/>
                <w:b/>
                <w:bCs/>
                <w:sz w:val="14"/>
                <w:szCs w:val="14"/>
                <w:lang w:eastAsia="es-MX"/>
              </w:rPr>
            </w:pPr>
            <w:r>
              <w:rPr>
                <w:rFonts w:ascii="Arial" w:hAnsi="Arial" w:cs="Arial"/>
                <w:sz w:val="16"/>
                <w:szCs w:val="16"/>
              </w:rPr>
              <w:t>Instituto de Innovación y Transferencia de Tecnología de Nuevo León</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FE0BE7" w:rsidRPr="0095129D" w:rsidRDefault="00FE0BE7" w:rsidP="000130B3">
            <w:pPr>
              <w:jc w:val="center"/>
              <w:rPr>
                <w:rFonts w:ascii="Arial" w:hAnsi="Arial" w:cs="Arial"/>
                <w:b/>
                <w:bCs/>
                <w:sz w:val="14"/>
                <w:szCs w:val="14"/>
                <w:lang w:eastAsia="es-MX"/>
              </w:rPr>
            </w:pPr>
            <w:r w:rsidRPr="0095129D">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FE0BE7" w:rsidRPr="0095129D" w:rsidRDefault="00FE0BE7" w:rsidP="000130B3">
            <w:pPr>
              <w:jc w:val="center"/>
              <w:rPr>
                <w:rFonts w:ascii="Arial" w:hAnsi="Arial" w:cs="Arial"/>
                <w:b/>
                <w:bCs/>
                <w:sz w:val="14"/>
                <w:szCs w:val="14"/>
                <w:lang w:eastAsia="es-MX"/>
              </w:rPr>
            </w:pPr>
            <w:r w:rsidRPr="0095129D">
              <w:rPr>
                <w:rFonts w:ascii="Arial" w:hAnsi="Arial" w:cs="Arial"/>
                <w:b/>
                <w:bCs/>
                <w:sz w:val="14"/>
                <w:szCs w:val="14"/>
                <w:lang w:eastAsia="es-MX"/>
              </w:rPr>
              <w:t>1</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FE0BE7" w:rsidRPr="0095129D" w:rsidRDefault="00FE0BE7" w:rsidP="000130B3">
            <w:pPr>
              <w:jc w:val="center"/>
              <w:rPr>
                <w:rFonts w:ascii="Arial" w:hAnsi="Arial" w:cs="Arial"/>
                <w:b/>
                <w:bCs/>
                <w:sz w:val="14"/>
                <w:szCs w:val="14"/>
                <w:lang w:eastAsia="es-MX"/>
              </w:rPr>
            </w:pPr>
            <w:r>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FE0BE7" w:rsidRPr="0095129D" w:rsidRDefault="00FE0BE7" w:rsidP="000130B3">
            <w:pPr>
              <w:jc w:val="center"/>
              <w:rPr>
                <w:rFonts w:ascii="Arial" w:hAnsi="Arial" w:cs="Arial"/>
                <w:b/>
                <w:bCs/>
                <w:sz w:val="14"/>
                <w:szCs w:val="14"/>
                <w:lang w:eastAsia="es-MX"/>
              </w:rPr>
            </w:pPr>
            <w:r w:rsidRPr="0095129D">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FE0BE7" w:rsidRPr="0095129D" w:rsidRDefault="00FE0BE7" w:rsidP="000130B3">
            <w:pPr>
              <w:jc w:val="center"/>
              <w:rPr>
                <w:rFonts w:ascii="Arial" w:hAnsi="Arial" w:cs="Arial"/>
                <w:b/>
                <w:bCs/>
                <w:sz w:val="14"/>
                <w:szCs w:val="14"/>
                <w:lang w:eastAsia="es-MX"/>
              </w:rPr>
            </w:pPr>
            <w:r w:rsidRPr="0095129D">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FE0BE7" w:rsidRPr="0095129D" w:rsidRDefault="00FE0BE7" w:rsidP="000130B3">
            <w:pPr>
              <w:jc w:val="center"/>
              <w:rPr>
                <w:rFonts w:ascii="Arial" w:hAnsi="Arial" w:cs="Arial"/>
                <w:b/>
                <w:bCs/>
                <w:sz w:val="14"/>
                <w:szCs w:val="14"/>
                <w:lang w:eastAsia="es-MX"/>
              </w:rPr>
            </w:pPr>
            <w:r>
              <w:rPr>
                <w:rFonts w:ascii="Arial" w:hAnsi="Arial" w:cs="Arial"/>
                <w:b/>
                <w:bCs/>
                <w:sz w:val="14"/>
                <w:szCs w:val="14"/>
                <w:lang w:eastAsia="es-MX"/>
              </w:rPr>
              <w:t>-</w:t>
            </w:r>
          </w:p>
        </w:tc>
        <w:tc>
          <w:tcPr>
            <w:tcW w:w="38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FE0BE7" w:rsidRPr="0095129D" w:rsidRDefault="00FE0BE7" w:rsidP="000130B3">
            <w:pPr>
              <w:jc w:val="center"/>
              <w:rPr>
                <w:rFonts w:ascii="Arial" w:hAnsi="Arial" w:cs="Arial"/>
                <w:b/>
                <w:bCs/>
                <w:sz w:val="14"/>
                <w:szCs w:val="14"/>
                <w:lang w:eastAsia="es-MX"/>
              </w:rPr>
            </w:pPr>
            <w:r>
              <w:rPr>
                <w:rFonts w:ascii="Arial" w:hAnsi="Arial" w:cs="Arial"/>
                <w:b/>
                <w:bCs/>
                <w:sz w:val="14"/>
                <w:szCs w:val="14"/>
                <w:lang w:eastAsia="es-MX"/>
              </w:rPr>
              <w:t>2</w:t>
            </w:r>
          </w:p>
        </w:tc>
      </w:tr>
    </w:tbl>
    <w:p w:rsidR="0077749F" w:rsidRDefault="00902D03" w:rsidP="00902D03">
      <w:pPr>
        <w:spacing w:after="0"/>
        <w:ind w:firstLine="567"/>
        <w:jc w:val="center"/>
        <w:rPr>
          <w:rFonts w:ascii="Arial" w:eastAsia="Arial" w:hAnsi="Arial" w:cs="Arial"/>
          <w:bCs/>
          <w:smallCaps/>
          <w:sz w:val="16"/>
        </w:rPr>
      </w:pPr>
      <w:r w:rsidRPr="00B1053E">
        <w:rPr>
          <w:rFonts w:ascii="Arial" w:eastAsia="Arial" w:hAnsi="Arial" w:cs="Arial"/>
          <w:bCs/>
          <w:smallCaps/>
          <w:sz w:val="16"/>
        </w:rPr>
        <w:t>Auditorías programadas por ente público y tipo de auditoría</w:t>
      </w:r>
    </w:p>
    <w:p w:rsidR="00FE0BE7" w:rsidRDefault="00FE0BE7" w:rsidP="00902D03">
      <w:pPr>
        <w:spacing w:after="0"/>
        <w:ind w:firstLine="567"/>
        <w:jc w:val="center"/>
        <w:rPr>
          <w:rFonts w:ascii="Arial" w:eastAsia="Arial" w:hAnsi="Arial" w:cs="Arial"/>
          <w:bCs/>
          <w:smallCaps/>
          <w:sz w:val="16"/>
        </w:rPr>
      </w:pPr>
    </w:p>
    <w:p w:rsidR="00FE0BE7" w:rsidRDefault="00FE0BE7" w:rsidP="00902D03">
      <w:pPr>
        <w:spacing w:after="0"/>
        <w:ind w:firstLine="567"/>
        <w:jc w:val="center"/>
        <w:rPr>
          <w:rFonts w:ascii="Arial" w:eastAsia="Arial" w:hAnsi="Arial" w:cs="Arial"/>
          <w:bCs/>
          <w:smallCaps/>
          <w:sz w:val="16"/>
        </w:rPr>
      </w:pPr>
    </w:p>
    <w:p w:rsidR="00902D03" w:rsidRDefault="00902D03" w:rsidP="00902D03">
      <w:pPr>
        <w:spacing w:after="0"/>
        <w:ind w:firstLine="567"/>
        <w:jc w:val="center"/>
        <w:rPr>
          <w:rFonts w:ascii="Arial" w:eastAsia="Times New Roman" w:hAnsi="Arial" w:cs="Arial"/>
          <w:sz w:val="24"/>
          <w:lang w:eastAsia="es-ES"/>
        </w:rPr>
      </w:pPr>
    </w:p>
    <w:p w:rsidR="0077749F" w:rsidRPr="0077749F" w:rsidRDefault="0077749F" w:rsidP="0077749F">
      <w:pPr>
        <w:spacing w:after="0"/>
        <w:ind w:firstLine="567"/>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sz w:val="24"/>
          <w:lang w:eastAsia="es-ES"/>
        </w:rPr>
        <w:tab/>
      </w: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En la implementación y ejecución del Programa Anual de Auditoría</w:t>
      </w:r>
      <w:r w:rsidR="00FE0BE7">
        <w:rPr>
          <w:rFonts w:ascii="Arial" w:eastAsia="Times New Roman" w:hAnsi="Arial" w:cs="Arial"/>
          <w:sz w:val="24"/>
          <w:lang w:eastAsia="es-ES"/>
        </w:rPr>
        <w:t>s 2016</w:t>
      </w:r>
      <w:r w:rsidRPr="0077749F">
        <w:rPr>
          <w:rFonts w:ascii="Arial" w:eastAsia="Times New Roman" w:hAnsi="Arial" w:cs="Arial"/>
          <w:sz w:val="24"/>
          <w:lang w:eastAsia="es-ES"/>
        </w:rPr>
        <w:t xml:space="preserve"> para la revisión y fiscalización de las Cuentas Públicas correspondientes al </w:t>
      </w:r>
      <w:r w:rsidR="00FE0BE7">
        <w:rPr>
          <w:rFonts w:ascii="Arial" w:eastAsia="Times New Roman" w:hAnsi="Arial" w:cs="Arial"/>
          <w:sz w:val="24"/>
          <w:lang w:eastAsia="es-ES"/>
        </w:rPr>
        <w:t>ejercicio 2015</w:t>
      </w:r>
      <w:r w:rsidRPr="0077749F">
        <w:rPr>
          <w:rFonts w:ascii="Arial" w:eastAsia="Times New Roman" w:hAnsi="Arial" w:cs="Arial"/>
          <w:sz w:val="24"/>
          <w:lang w:eastAsia="es-ES"/>
        </w:rPr>
        <w:t>, entre las cuales se encuentra el Ente Público auditado en 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sidR="00322FAE">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 xml:space="preserve">En ese sentido, </w:t>
      </w:r>
      <w:r w:rsidR="00322FAE">
        <w:rPr>
          <w:rFonts w:ascii="Arial" w:eastAsia="Times New Roman" w:hAnsi="Arial" w:cs="Arial"/>
          <w:sz w:val="24"/>
          <w:lang w:eastAsia="es-ES"/>
        </w:rPr>
        <w:t xml:space="preserve">y </w:t>
      </w:r>
      <w:r w:rsidRPr="0077749F">
        <w:rPr>
          <w:rFonts w:ascii="Arial" w:eastAsia="Times New Roman" w:hAnsi="Arial" w:cs="Arial"/>
          <w:sz w:val="24"/>
          <w:lang w:eastAsia="es-ES"/>
        </w:rPr>
        <w:t>en observancia de lo preceptuado en los artículos 18, 19, 31 y 32 de la Ley de Fiscalización Superior del Estado y acorde en cada caso con el tipo o materia de auditoría practicada, en los términos previamente anunciados, el objeto y alcances de la revisión y fiscalización, fue el siguiente:</w:t>
      </w:r>
    </w:p>
    <w:p w:rsidR="009C0345" w:rsidRDefault="009C0345" w:rsidP="009C0345">
      <w:pPr>
        <w:spacing w:after="0"/>
        <w:jc w:val="both"/>
        <w:rPr>
          <w:rFonts w:ascii="Arial" w:eastAsia="Times New Roman" w:hAnsi="Arial" w:cs="Arial"/>
          <w:sz w:val="24"/>
          <w:lang w:eastAsia="es-ES"/>
        </w:rPr>
      </w:pPr>
    </w:p>
    <w:p w:rsidR="00760233" w:rsidRPr="00B67BEE" w:rsidRDefault="00760233" w:rsidP="009C0345">
      <w:pPr>
        <w:spacing w:after="0"/>
        <w:jc w:val="both"/>
        <w:rPr>
          <w:rFonts w:ascii="Arial" w:eastAsia="Times New Roman" w:hAnsi="Arial" w:cs="Arial"/>
          <w:sz w:val="24"/>
          <w:lang w:eastAsia="es-ES"/>
        </w:rPr>
      </w:pPr>
    </w:p>
    <w:p w:rsidR="009C0345" w:rsidRPr="00B67BEE" w:rsidRDefault="009C0345" w:rsidP="009C0345">
      <w:pPr>
        <w:numPr>
          <w:ilvl w:val="0"/>
          <w:numId w:val="6"/>
        </w:numPr>
        <w:spacing w:after="0"/>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322FAE" w:rsidP="00F072A9">
      <w:pPr>
        <w:numPr>
          <w:ilvl w:val="1"/>
          <w:numId w:val="5"/>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Si se cumplieron</w:t>
      </w:r>
      <w:r w:rsidR="009C0345" w:rsidRPr="00B67BEE">
        <w:rPr>
          <w:rFonts w:ascii="Arial" w:eastAsia="Times New Roman" w:hAnsi="Arial" w:cs="Arial"/>
          <w:sz w:val="24"/>
          <w:szCs w:val="24"/>
          <w:lang w:eastAsia="es-ES"/>
        </w:rPr>
        <w:t xml:space="preserve"> las disposiciones jurídicas aplicables en materia de sistemas de registro y contabilidad gubernamental; contratación de </w:t>
      </w:r>
      <w:r w:rsidR="009C0345" w:rsidRPr="00B67BEE">
        <w:rPr>
          <w:rFonts w:ascii="Arial" w:eastAsia="Times New Roman" w:hAnsi="Arial" w:cs="Arial"/>
          <w:sz w:val="24"/>
          <w:szCs w:val="24"/>
          <w:lang w:eastAsia="es-ES"/>
        </w:rPr>
        <w:lastRenderedPageBreak/>
        <w:t>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1"/>
          <w:numId w:val="5"/>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6"/>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programas y su ejecución se ajustaron a los términos y montos aprobados en el Presupuesto; y</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77749F" w:rsidRDefault="009C0345" w:rsidP="0077749F">
      <w:pPr>
        <w:numPr>
          <w:ilvl w:val="0"/>
          <w:numId w:val="6"/>
        </w:numPr>
        <w:spacing w:after="0" w:line="360" w:lineRule="auto"/>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Además, se realizaron pruebas de auditoría a fin de evaluar el cumplimiento de las leyes, los reglamentos y la normatividad aplicables en la ma</w:t>
      </w:r>
      <w:r w:rsidR="0077749F">
        <w:rPr>
          <w:rFonts w:ascii="Arial" w:eastAsia="Times New Roman" w:hAnsi="Arial" w:cs="Arial"/>
          <w:sz w:val="24"/>
          <w:szCs w:val="24"/>
          <w:lang w:eastAsia="es-ES"/>
        </w:rPr>
        <w:t>teria de la gestión financiera,</w:t>
      </w:r>
      <w:r w:rsidR="0077749F" w:rsidRPr="0077749F">
        <w:t xml:space="preserve"> </w:t>
      </w:r>
      <w:r w:rsidR="0077749F" w:rsidRPr="0077749F">
        <w:rPr>
          <w:rFonts w:ascii="Arial" w:eastAsia="Times New Roman" w:hAnsi="Arial" w:cs="Arial"/>
          <w:sz w:val="24"/>
          <w:szCs w:val="24"/>
          <w:lang w:eastAsia="es-ES"/>
        </w:rPr>
        <w:t>así como de los planes de desarrollo y lo</w:t>
      </w:r>
      <w:r w:rsidR="0077749F">
        <w:rPr>
          <w:rFonts w:ascii="Arial" w:eastAsia="Times New Roman" w:hAnsi="Arial" w:cs="Arial"/>
          <w:sz w:val="24"/>
          <w:szCs w:val="24"/>
          <w:lang w:eastAsia="es-ES"/>
        </w:rPr>
        <w:t>s programas operativos anuales.</w:t>
      </w:r>
      <w:r w:rsidR="0077749F" w:rsidRPr="0077749F">
        <w:rPr>
          <w:rFonts w:ascii="Arial" w:eastAsia="Times New Roman" w:hAnsi="Arial" w:cs="Arial"/>
          <w:sz w:val="24"/>
          <w:szCs w:val="24"/>
          <w:lang w:eastAsia="es-ES"/>
        </w:rPr>
        <w:t xml:space="preserve"> </w:t>
      </w:r>
    </w:p>
    <w:p w:rsidR="00C644EB" w:rsidRDefault="00C644EB" w:rsidP="00F072A9">
      <w:pPr>
        <w:spacing w:after="0" w:line="360" w:lineRule="auto"/>
        <w:jc w:val="both"/>
        <w:rPr>
          <w:rFonts w:ascii="Arial" w:eastAsia="Times New Roman" w:hAnsi="Arial" w:cs="Arial"/>
          <w:sz w:val="24"/>
          <w:szCs w:val="24"/>
          <w:lang w:eastAsia="es-ES"/>
        </w:rPr>
      </w:pPr>
    </w:p>
    <w:p w:rsidR="0077749F" w:rsidRPr="00276558" w:rsidRDefault="00276558" w:rsidP="00276558">
      <w:pPr>
        <w:pStyle w:val="Prrafodelista"/>
        <w:numPr>
          <w:ilvl w:val="0"/>
          <w:numId w:val="6"/>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276558" w:rsidRPr="00276558" w:rsidRDefault="00276558" w:rsidP="00276558">
      <w:pPr>
        <w:pStyle w:val="Prrafodelista"/>
        <w:autoSpaceDE w:val="0"/>
        <w:autoSpaceDN w:val="0"/>
        <w:adjustRightInd w:val="0"/>
        <w:spacing w:after="0" w:line="360" w:lineRule="auto"/>
        <w:jc w:val="both"/>
        <w:rPr>
          <w:rFonts w:ascii="Arial" w:hAnsi="Arial" w:cs="Arial"/>
          <w:b/>
          <w:sz w:val="24"/>
          <w:szCs w:val="24"/>
          <w:lang w:val="es-MX" w:eastAsia="es-ES"/>
        </w:rPr>
      </w:pPr>
    </w:p>
    <w:p w:rsidR="0077749F" w:rsidRDefault="0077749F" w:rsidP="0077749F">
      <w:pPr>
        <w:autoSpaceDE w:val="0"/>
        <w:autoSpaceDN w:val="0"/>
        <w:adjustRightInd w:val="0"/>
        <w:spacing w:after="0" w:line="360" w:lineRule="auto"/>
        <w:ind w:left="360"/>
        <w:rPr>
          <w:rFonts w:ascii="Arial" w:hAnsi="Arial" w:cs="Arial"/>
          <w:b/>
          <w:sz w:val="24"/>
          <w:szCs w:val="24"/>
          <w:lang w:val="es-MX" w:eastAsia="es-ES"/>
        </w:rPr>
      </w:pPr>
      <w:r w:rsidRPr="0077749F">
        <w:rPr>
          <w:rFonts w:ascii="Arial" w:hAnsi="Arial" w:cs="Arial"/>
          <w:b/>
          <w:sz w:val="24"/>
          <w:szCs w:val="24"/>
          <w:lang w:val="es-MX" w:eastAsia="es-ES"/>
        </w:rPr>
        <w:t>•</w:t>
      </w:r>
      <w:r w:rsidRPr="0077749F">
        <w:rPr>
          <w:rFonts w:ascii="Arial" w:hAnsi="Arial" w:cs="Arial"/>
          <w:b/>
          <w:sz w:val="24"/>
          <w:szCs w:val="24"/>
          <w:lang w:val="es-MX" w:eastAsia="es-ES"/>
        </w:rPr>
        <w:tab/>
      </w:r>
      <w:r w:rsidR="00276558">
        <w:rPr>
          <w:rFonts w:ascii="Arial" w:hAnsi="Arial" w:cs="Arial"/>
          <w:b/>
          <w:sz w:val="24"/>
          <w:szCs w:val="24"/>
          <w:lang w:val="es-MX" w:eastAsia="es-ES"/>
        </w:rPr>
        <w:t>C</w:t>
      </w:r>
      <w:r w:rsidRPr="0077749F">
        <w:rPr>
          <w:rFonts w:ascii="Arial" w:hAnsi="Arial" w:cs="Arial"/>
          <w:b/>
          <w:sz w:val="24"/>
          <w:szCs w:val="24"/>
          <w:lang w:val="es-MX" w:eastAsia="es-ES"/>
        </w:rPr>
        <w:t>riterios de selección y descripción de los procedimientos de auditoría aplicados</w:t>
      </w:r>
    </w:p>
    <w:p w:rsidR="0077749F" w:rsidRDefault="0077749F" w:rsidP="0077749F">
      <w:pPr>
        <w:spacing w:after="0"/>
        <w:jc w:val="both"/>
        <w:rPr>
          <w:rFonts w:ascii="Arial" w:hAnsi="Arial" w:cs="Arial"/>
          <w:bCs/>
          <w:iCs/>
          <w:sz w:val="24"/>
        </w:rPr>
      </w:pPr>
    </w:p>
    <w:p w:rsidR="0077749F" w:rsidRPr="0077749F"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Las auditorías practicadas se seleccionaron con base en los criterios establecidos para la planeación específica utilizada en la integración del P</w:t>
      </w:r>
      <w:r w:rsidR="00FE0BE7">
        <w:rPr>
          <w:rFonts w:ascii="Arial" w:hAnsi="Arial" w:cs="Arial"/>
          <w:bCs/>
          <w:iCs/>
          <w:sz w:val="24"/>
        </w:rPr>
        <w:t>rograma Anual de Auditorías 2016</w:t>
      </w:r>
      <w:r w:rsidR="0077749F" w:rsidRPr="0077749F">
        <w:rPr>
          <w:rFonts w:ascii="Arial" w:hAnsi="Arial" w:cs="Arial"/>
          <w:bCs/>
          <w:iCs/>
          <w:sz w:val="24"/>
        </w:rPr>
        <w:t xml:space="preserve"> para la fiscalización de las Cuentas Públicas co</w:t>
      </w:r>
      <w:r w:rsidR="00FE0BE7">
        <w:rPr>
          <w:rFonts w:ascii="Arial" w:hAnsi="Arial" w:cs="Arial"/>
          <w:bCs/>
          <w:iCs/>
          <w:sz w:val="24"/>
        </w:rPr>
        <w:t>rrespondientes al ejercicio 2015</w:t>
      </w:r>
      <w:r w:rsidR="0077749F" w:rsidRPr="0077749F">
        <w:rPr>
          <w:rFonts w:ascii="Arial" w:hAnsi="Arial" w:cs="Arial"/>
          <w:bCs/>
          <w:iCs/>
          <w:sz w:val="24"/>
        </w:rPr>
        <w:t>, considerando la importancia, pertinencia y factibilidad de su realización.</w:t>
      </w:r>
    </w:p>
    <w:p w:rsidR="0077749F" w:rsidRPr="0077749F" w:rsidRDefault="0077749F" w:rsidP="0077749F">
      <w:pPr>
        <w:spacing w:after="0" w:line="360" w:lineRule="auto"/>
        <w:jc w:val="both"/>
        <w:rPr>
          <w:rFonts w:ascii="Arial" w:hAnsi="Arial" w:cs="Arial"/>
          <w:bCs/>
          <w:iCs/>
          <w:sz w:val="24"/>
        </w:rPr>
      </w:pPr>
    </w:p>
    <w:p w:rsidR="0077749F" w:rsidRPr="0077749F"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77749F" w:rsidRPr="0077749F" w:rsidRDefault="0077749F" w:rsidP="0077749F">
      <w:pPr>
        <w:spacing w:after="0" w:line="360" w:lineRule="auto"/>
        <w:jc w:val="both"/>
        <w:rPr>
          <w:rFonts w:ascii="Arial" w:hAnsi="Arial" w:cs="Arial"/>
          <w:bCs/>
          <w:iCs/>
          <w:sz w:val="24"/>
        </w:rPr>
      </w:pPr>
    </w:p>
    <w:p w:rsidR="0077749F" w:rsidRPr="0077749F"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La muestra auditada consistió en las operaciones, registros o movimientos fiscalizados a través de procedimientos o pruebas de auditoría, cuyos resultados permitieron la emisión, debidamente soportada y fundamentada del dictamen de la revisión. Asimismo, las áreas revisadas, fueron esencialmente las unidades administrativas de la entidad fiscalizada responsables de la ejecución de las operaciones, actividades o programas objeto de la revisión.</w:t>
      </w:r>
    </w:p>
    <w:p w:rsidR="0077749F" w:rsidRPr="0077749F" w:rsidRDefault="0077749F" w:rsidP="0077749F">
      <w:pPr>
        <w:spacing w:after="0" w:line="360" w:lineRule="auto"/>
        <w:jc w:val="both"/>
        <w:rPr>
          <w:rFonts w:ascii="Arial" w:hAnsi="Arial" w:cs="Arial"/>
          <w:bCs/>
          <w:iCs/>
          <w:sz w:val="24"/>
        </w:rPr>
      </w:pPr>
    </w:p>
    <w:p w:rsidR="009C0345" w:rsidRPr="00B67BEE"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9C0345" w:rsidRPr="00B67BEE" w:rsidRDefault="009C0345" w:rsidP="00F072A9">
      <w:pPr>
        <w:spacing w:after="0" w:line="360" w:lineRule="auto"/>
        <w:jc w:val="both"/>
        <w:rPr>
          <w:rFonts w:ascii="Arial" w:hAnsi="Arial" w:cs="Arial"/>
          <w:bCs/>
          <w:iCs/>
          <w:sz w:val="24"/>
        </w:rPr>
      </w:pPr>
    </w:p>
    <w:p w:rsidR="009C0345" w:rsidRPr="009A7A82" w:rsidRDefault="009C0345" w:rsidP="009A7A82">
      <w:pPr>
        <w:pStyle w:val="Prrafodelista"/>
        <w:numPr>
          <w:ilvl w:val="0"/>
          <w:numId w:val="3"/>
        </w:numPr>
        <w:ind w:left="426" w:hanging="426"/>
        <w:contextualSpacing/>
        <w:jc w:val="both"/>
        <w:rPr>
          <w:rFonts w:ascii="Arial" w:hAnsi="Arial" w:cs="Arial"/>
          <w:b/>
          <w:sz w:val="24"/>
        </w:rPr>
      </w:pPr>
      <w:r w:rsidRPr="00B67BEE">
        <w:rPr>
          <w:rFonts w:ascii="Arial" w:hAnsi="Arial" w:cs="Arial"/>
          <w:b/>
          <w:bCs/>
          <w:sz w:val="24"/>
        </w:rPr>
        <w:lastRenderedPageBreak/>
        <w:t>Descripción de los elementos revisados y resultados obtenidos en la revisión</w:t>
      </w:r>
    </w:p>
    <w:p w:rsidR="009A7A82" w:rsidRPr="009A7A82" w:rsidRDefault="009A7A82" w:rsidP="009A7A82">
      <w:pPr>
        <w:pStyle w:val="Prrafodelista"/>
        <w:ind w:left="426"/>
        <w:contextualSpacing/>
        <w:jc w:val="both"/>
        <w:rPr>
          <w:rFonts w:ascii="Arial" w:hAnsi="Arial" w:cs="Arial"/>
          <w:b/>
          <w:sz w:val="24"/>
        </w:rPr>
      </w:pPr>
    </w:p>
    <w:p w:rsidR="009C0345" w:rsidRDefault="009C0345" w:rsidP="009A7A82">
      <w:pPr>
        <w:pStyle w:val="Prrafodelista"/>
        <w:numPr>
          <w:ilvl w:val="0"/>
          <w:numId w:val="4"/>
        </w:numPr>
        <w:contextualSpacing/>
        <w:rPr>
          <w:rFonts w:ascii="Arial" w:hAnsi="Arial" w:cs="Arial"/>
          <w:b/>
          <w:bCs/>
          <w:sz w:val="24"/>
        </w:rPr>
      </w:pPr>
      <w:r w:rsidRPr="000A4374">
        <w:rPr>
          <w:rFonts w:ascii="Arial" w:hAnsi="Arial" w:cs="Arial"/>
          <w:b/>
          <w:bCs/>
          <w:sz w:val="24"/>
        </w:rPr>
        <w:t>La evaluación  de la gestión financiera y del gasto público</w:t>
      </w:r>
    </w:p>
    <w:p w:rsidR="009A7A82" w:rsidRPr="009A7A82" w:rsidRDefault="009A7A82" w:rsidP="009A7A82">
      <w:pPr>
        <w:pStyle w:val="Prrafodelista"/>
        <w:contextualSpacing/>
        <w:rPr>
          <w:rFonts w:ascii="Arial" w:hAnsi="Arial" w:cs="Arial"/>
          <w:b/>
          <w:bCs/>
          <w:sz w:val="24"/>
        </w:rPr>
      </w:pPr>
    </w:p>
    <w:p w:rsidR="009C0345" w:rsidRDefault="009C0345" w:rsidP="009A7A82">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 xml:space="preserve">Para tal efecto se consideró el Estado de Ingresos y Egresos y sus presupuestos por el período del 1 de </w:t>
      </w:r>
      <w:r w:rsidR="000A4374">
        <w:rPr>
          <w:rFonts w:ascii="Arial" w:hAnsi="Arial" w:cs="Arial"/>
          <w:sz w:val="24"/>
          <w:szCs w:val="24"/>
        </w:rPr>
        <w:t>enero al 31 de diciembre de</w:t>
      </w:r>
      <w:r w:rsidR="00FE0BE7">
        <w:rPr>
          <w:rFonts w:ascii="Arial" w:hAnsi="Arial" w:cs="Arial"/>
          <w:sz w:val="24"/>
          <w:szCs w:val="24"/>
        </w:rPr>
        <w:t>l 2015</w:t>
      </w:r>
      <w:r w:rsidR="00276558">
        <w:rPr>
          <w:rFonts w:ascii="Arial" w:hAnsi="Arial" w:cs="Arial"/>
          <w:sz w:val="24"/>
          <w:szCs w:val="24"/>
        </w:rPr>
        <w:t xml:space="preserve">, que el </w:t>
      </w:r>
      <w:r w:rsidR="00E568A4">
        <w:rPr>
          <w:rFonts w:ascii="Arial" w:hAnsi="Arial" w:cs="Arial"/>
          <w:sz w:val="24"/>
          <w:szCs w:val="24"/>
        </w:rPr>
        <w:t>Instituto de Innovación y Transferencia de Tecnología de Nuevo León,</w:t>
      </w:r>
      <w:r w:rsidRPr="00B67BEE">
        <w:rPr>
          <w:rFonts w:ascii="Arial" w:hAnsi="Arial" w:cs="Arial"/>
          <w:sz w:val="24"/>
          <w:szCs w:val="24"/>
        </w:rPr>
        <w:t xml:space="preserve"> presentó como parte de la información que integra la Cuenta Pública.</w:t>
      </w:r>
    </w:p>
    <w:p w:rsidR="00CC0FD0" w:rsidRDefault="00CC0FD0" w:rsidP="009A7A82">
      <w:pPr>
        <w:pStyle w:val="Prrafodelista"/>
        <w:spacing w:after="0" w:line="360" w:lineRule="auto"/>
        <w:ind w:left="0" w:firstLine="709"/>
        <w:jc w:val="both"/>
        <w:rPr>
          <w:rFonts w:ascii="Arial" w:hAnsi="Arial" w:cs="Arial"/>
          <w:sz w:val="24"/>
          <w:szCs w:val="24"/>
        </w:rPr>
      </w:pPr>
    </w:p>
    <w:p w:rsidR="00CC0FD0" w:rsidRPr="00B67BEE" w:rsidRDefault="00CC0FD0" w:rsidP="009A7A82">
      <w:pPr>
        <w:pStyle w:val="Prrafodelista"/>
        <w:spacing w:after="0" w:line="360" w:lineRule="auto"/>
        <w:ind w:left="0" w:firstLine="709"/>
        <w:jc w:val="both"/>
        <w:rPr>
          <w:rFonts w:ascii="Arial" w:hAnsi="Arial" w:cs="Arial"/>
          <w:sz w:val="24"/>
          <w:szCs w:val="24"/>
        </w:rPr>
      </w:pPr>
      <w:r w:rsidRPr="00CC0FD0">
        <w:rPr>
          <w:rFonts w:ascii="Arial" w:hAnsi="Arial" w:cs="Arial"/>
          <w:sz w:val="24"/>
          <w:szCs w:val="24"/>
        </w:rPr>
        <w:t>Para el desarrollo de la revisión de la in</w:t>
      </w:r>
      <w:r>
        <w:rPr>
          <w:rFonts w:ascii="Arial" w:hAnsi="Arial" w:cs="Arial"/>
          <w:sz w:val="24"/>
          <w:szCs w:val="24"/>
        </w:rPr>
        <w:t>formación antes mencionada, la</w:t>
      </w:r>
      <w:r w:rsidRPr="00CC0FD0">
        <w:rPr>
          <w:rFonts w:ascii="Arial" w:hAnsi="Arial" w:cs="Arial"/>
          <w:sz w:val="24"/>
          <w:szCs w:val="24"/>
        </w:rPr>
        <w:t xml:space="preserve"> Auditoría Superior del Estado, aplicó una serie de procedimientos enfocados a asegurarse de la razonabilidad de las cifras presentadas que forman parte de la gestión financiera y gasto público, y que su presentación y registro estuvo conforme a la normatividad aplicable y que se apegaron al cumplimiento de las Leyes, Decretos, Reglamentos y demás disposiciones aplicables y al cumplimiento de los objetivos y metas establecidas en los programas.</w:t>
      </w:r>
    </w:p>
    <w:p w:rsidR="009C0345" w:rsidRPr="00B67BEE" w:rsidRDefault="009C0345" w:rsidP="009A7A82">
      <w:pPr>
        <w:pStyle w:val="Prrafodelista"/>
        <w:spacing w:after="0" w:line="360" w:lineRule="auto"/>
        <w:jc w:val="both"/>
        <w:rPr>
          <w:rFonts w:ascii="Arial" w:hAnsi="Arial" w:cs="Arial"/>
          <w:b/>
          <w:sz w:val="24"/>
          <w:szCs w:val="24"/>
          <w:u w:val="single"/>
        </w:rPr>
      </w:pPr>
    </w:p>
    <w:p w:rsidR="009C0345" w:rsidRDefault="009C0345" w:rsidP="0077749F">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A continuación se presenta</w:t>
      </w:r>
      <w:r w:rsidR="0025101A">
        <w:rPr>
          <w:rFonts w:ascii="Arial" w:hAnsi="Arial" w:cs="Arial"/>
          <w:sz w:val="24"/>
          <w:szCs w:val="24"/>
        </w:rPr>
        <w:t>n</w:t>
      </w:r>
      <w:r w:rsidRPr="00B67BEE">
        <w:rPr>
          <w:rFonts w:ascii="Arial" w:hAnsi="Arial" w:cs="Arial"/>
          <w:sz w:val="24"/>
          <w:szCs w:val="24"/>
        </w:rPr>
        <w:t xml:space="preserve"> </w:t>
      </w:r>
      <w:r w:rsidR="0025101A">
        <w:rPr>
          <w:rFonts w:ascii="Arial" w:hAnsi="Arial" w:cs="Arial"/>
          <w:sz w:val="24"/>
          <w:szCs w:val="24"/>
        </w:rPr>
        <w:t>los datos más sobresalientes de los Estados Financieros</w:t>
      </w:r>
      <w:r w:rsidR="00FE0BE7">
        <w:rPr>
          <w:rFonts w:ascii="Arial" w:hAnsi="Arial" w:cs="Arial"/>
          <w:sz w:val="24"/>
          <w:szCs w:val="24"/>
        </w:rPr>
        <w:t xml:space="preserve"> al 31 de Diciembre del 2015</w:t>
      </w:r>
      <w:r w:rsidR="0025101A">
        <w:rPr>
          <w:rFonts w:ascii="Arial" w:hAnsi="Arial" w:cs="Arial"/>
          <w:sz w:val="24"/>
          <w:szCs w:val="24"/>
        </w:rPr>
        <w:t xml:space="preserve"> de</w:t>
      </w:r>
      <w:r w:rsidR="0077749F">
        <w:rPr>
          <w:rFonts w:ascii="Arial" w:hAnsi="Arial" w:cs="Arial"/>
          <w:sz w:val="24"/>
          <w:szCs w:val="24"/>
        </w:rPr>
        <w:t xml:space="preserve"> </w:t>
      </w:r>
      <w:r w:rsidR="00E568A4">
        <w:rPr>
          <w:rFonts w:ascii="Arial" w:hAnsi="Arial" w:cs="Arial"/>
          <w:sz w:val="24"/>
          <w:szCs w:val="24"/>
        </w:rPr>
        <w:t>este Instituto</w:t>
      </w:r>
      <w:r w:rsidR="00276558">
        <w:rPr>
          <w:rFonts w:ascii="Arial" w:hAnsi="Arial" w:cs="Arial"/>
          <w:sz w:val="24"/>
          <w:szCs w:val="24"/>
        </w:rPr>
        <w:t>:</w:t>
      </w:r>
    </w:p>
    <w:p w:rsidR="00276558" w:rsidRDefault="00276558" w:rsidP="0077749F">
      <w:pPr>
        <w:pStyle w:val="Prrafodelista"/>
        <w:spacing w:after="0" w:line="360" w:lineRule="auto"/>
        <w:ind w:left="0" w:firstLine="709"/>
        <w:jc w:val="both"/>
        <w:rPr>
          <w:rFonts w:ascii="Arial" w:hAnsi="Arial" w:cs="Arial"/>
          <w:sz w:val="24"/>
          <w:szCs w:val="24"/>
        </w:rPr>
      </w:pPr>
    </w:p>
    <w:p w:rsidR="00276558" w:rsidRPr="00FE0BE7" w:rsidRDefault="00276558" w:rsidP="0077749F">
      <w:pPr>
        <w:pStyle w:val="Prrafodelista"/>
        <w:spacing w:after="0" w:line="360" w:lineRule="auto"/>
        <w:ind w:left="0" w:firstLine="709"/>
        <w:jc w:val="both"/>
        <w:rPr>
          <w:rFonts w:ascii="Arial" w:hAnsi="Arial" w:cs="Arial"/>
          <w:b/>
          <w:sz w:val="24"/>
          <w:szCs w:val="24"/>
        </w:rPr>
      </w:pPr>
    </w:p>
    <w:p w:rsidR="005F4540" w:rsidRDefault="005F4540" w:rsidP="0077749F">
      <w:pPr>
        <w:pStyle w:val="Prrafodelista"/>
        <w:spacing w:after="0" w:line="360" w:lineRule="auto"/>
        <w:ind w:left="0" w:firstLine="709"/>
        <w:jc w:val="both"/>
        <w:rPr>
          <w:rFonts w:ascii="Arial" w:hAnsi="Arial" w:cs="Arial"/>
          <w:b/>
          <w:sz w:val="24"/>
          <w:szCs w:val="24"/>
        </w:rPr>
      </w:pPr>
    </w:p>
    <w:p w:rsidR="0077749F" w:rsidRDefault="0077749F" w:rsidP="0077749F">
      <w:pPr>
        <w:pStyle w:val="Prrafodelista"/>
        <w:spacing w:after="0" w:line="360" w:lineRule="auto"/>
        <w:ind w:left="0" w:firstLine="709"/>
        <w:jc w:val="both"/>
        <w:rPr>
          <w:rFonts w:ascii="Arial" w:hAnsi="Arial" w:cs="Arial"/>
          <w:sz w:val="24"/>
          <w:szCs w:val="24"/>
        </w:rPr>
      </w:pPr>
    </w:p>
    <w:p w:rsidR="009C0345" w:rsidRDefault="009C0345" w:rsidP="009C0345">
      <w:pPr>
        <w:spacing w:after="0"/>
        <w:contextualSpacing/>
        <w:jc w:val="both"/>
        <w:rPr>
          <w:rFonts w:ascii="Arial" w:hAnsi="Arial" w:cs="Arial"/>
          <w:b/>
          <w:sz w:val="24"/>
        </w:rPr>
      </w:pPr>
    </w:p>
    <w:p w:rsidR="00CC0FD0" w:rsidRDefault="00CC0FD0" w:rsidP="009C0345">
      <w:pPr>
        <w:spacing w:after="0"/>
        <w:contextualSpacing/>
        <w:jc w:val="both"/>
        <w:rPr>
          <w:rFonts w:ascii="Arial" w:hAnsi="Arial" w:cs="Arial"/>
          <w:b/>
          <w:sz w:val="24"/>
        </w:rPr>
      </w:pPr>
    </w:p>
    <w:p w:rsidR="00CC0FD0" w:rsidRDefault="00CC0FD0" w:rsidP="009C0345">
      <w:pPr>
        <w:spacing w:after="0"/>
        <w:contextualSpacing/>
        <w:jc w:val="both"/>
        <w:rPr>
          <w:rFonts w:ascii="Arial" w:hAnsi="Arial" w:cs="Arial"/>
          <w:b/>
          <w:sz w:val="24"/>
        </w:rPr>
      </w:pPr>
    </w:p>
    <w:p w:rsidR="00CC0FD0" w:rsidRDefault="00CC0FD0" w:rsidP="009C0345">
      <w:pPr>
        <w:spacing w:after="0"/>
        <w:contextualSpacing/>
        <w:jc w:val="both"/>
        <w:rPr>
          <w:rFonts w:ascii="Arial" w:hAnsi="Arial" w:cs="Arial"/>
          <w:b/>
          <w:sz w:val="24"/>
        </w:rPr>
      </w:pPr>
    </w:p>
    <w:p w:rsidR="00CC0FD0" w:rsidRDefault="00CC0FD0" w:rsidP="009C0345">
      <w:pPr>
        <w:spacing w:after="0"/>
        <w:contextualSpacing/>
        <w:jc w:val="both"/>
        <w:rPr>
          <w:rFonts w:ascii="Arial" w:hAnsi="Arial" w:cs="Arial"/>
          <w:b/>
          <w:sz w:val="24"/>
        </w:rPr>
      </w:pPr>
    </w:p>
    <w:p w:rsidR="00CC0FD0" w:rsidRDefault="00CC0FD0" w:rsidP="009C0345">
      <w:pPr>
        <w:spacing w:after="0"/>
        <w:contextualSpacing/>
        <w:jc w:val="both"/>
        <w:rPr>
          <w:rFonts w:ascii="Arial" w:hAnsi="Arial" w:cs="Arial"/>
          <w:b/>
          <w:sz w:val="24"/>
        </w:rPr>
      </w:pPr>
    </w:p>
    <w:p w:rsidR="00CC0FD0" w:rsidRDefault="00CC0FD0" w:rsidP="009C0345">
      <w:pPr>
        <w:spacing w:after="0"/>
        <w:contextualSpacing/>
        <w:jc w:val="both"/>
        <w:rPr>
          <w:rFonts w:ascii="Arial" w:hAnsi="Arial" w:cs="Arial"/>
          <w:b/>
          <w:sz w:val="24"/>
        </w:rPr>
      </w:pPr>
    </w:p>
    <w:p w:rsidR="00CC0FD0" w:rsidRDefault="00FE0BE7" w:rsidP="00CC0FD0">
      <w:pPr>
        <w:spacing w:after="0"/>
        <w:contextualSpacing/>
        <w:jc w:val="center"/>
        <w:rPr>
          <w:rFonts w:ascii="Arial" w:hAnsi="Arial" w:cs="Arial"/>
          <w:b/>
          <w:sz w:val="24"/>
        </w:rPr>
      </w:pPr>
      <w:r>
        <w:rPr>
          <w:rFonts w:ascii="Arial" w:hAnsi="Arial" w:cs="Arial"/>
          <w:b/>
          <w:noProof/>
          <w:sz w:val="24"/>
          <w:lang w:val="es-MX" w:eastAsia="es-MX"/>
        </w:rPr>
        <w:drawing>
          <wp:inline distT="0" distB="0" distL="0" distR="0">
            <wp:extent cx="5094605" cy="541528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4605" cy="5415280"/>
                    </a:xfrm>
                    <a:prstGeom prst="rect">
                      <a:avLst/>
                    </a:prstGeom>
                    <a:noFill/>
                    <a:ln>
                      <a:noFill/>
                    </a:ln>
                  </pic:spPr>
                </pic:pic>
              </a:graphicData>
            </a:graphic>
          </wp:inline>
        </w:drawing>
      </w:r>
    </w:p>
    <w:p w:rsidR="00FE0BE7" w:rsidRDefault="00FE0BE7" w:rsidP="00CC0FD0">
      <w:pPr>
        <w:spacing w:after="0"/>
        <w:contextualSpacing/>
        <w:jc w:val="center"/>
        <w:rPr>
          <w:rFonts w:ascii="Arial" w:hAnsi="Arial" w:cs="Arial"/>
          <w:b/>
          <w:sz w:val="24"/>
        </w:rPr>
      </w:pPr>
    </w:p>
    <w:p w:rsidR="00FE0BE7" w:rsidRDefault="00FE0BE7" w:rsidP="00CC0FD0">
      <w:pPr>
        <w:spacing w:after="0"/>
        <w:contextualSpacing/>
        <w:jc w:val="center"/>
        <w:rPr>
          <w:rFonts w:ascii="Arial" w:hAnsi="Arial" w:cs="Arial"/>
          <w:b/>
          <w:sz w:val="24"/>
        </w:rPr>
      </w:pPr>
      <w:r>
        <w:rPr>
          <w:rFonts w:ascii="Arial" w:hAnsi="Arial" w:cs="Arial"/>
          <w:b/>
          <w:noProof/>
          <w:sz w:val="24"/>
          <w:lang w:val="es-MX" w:eastAsia="es-MX"/>
        </w:rPr>
        <w:lastRenderedPageBreak/>
        <w:drawing>
          <wp:inline distT="0" distB="0" distL="0" distR="0">
            <wp:extent cx="5130165" cy="517779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0165" cy="5177790"/>
                    </a:xfrm>
                    <a:prstGeom prst="rect">
                      <a:avLst/>
                    </a:prstGeom>
                    <a:noFill/>
                    <a:ln>
                      <a:noFill/>
                    </a:ln>
                  </pic:spPr>
                </pic:pic>
              </a:graphicData>
            </a:graphic>
          </wp:inline>
        </w:drawing>
      </w:r>
    </w:p>
    <w:p w:rsidR="00FE0BE7" w:rsidRDefault="00FE0BE7" w:rsidP="00CC0FD0">
      <w:pPr>
        <w:spacing w:after="0"/>
        <w:contextualSpacing/>
        <w:jc w:val="center"/>
        <w:rPr>
          <w:rFonts w:ascii="Arial" w:hAnsi="Arial" w:cs="Arial"/>
          <w:b/>
          <w:sz w:val="24"/>
        </w:rPr>
      </w:pPr>
    </w:p>
    <w:p w:rsidR="00FE0BE7" w:rsidRDefault="00FE0BE7" w:rsidP="00CC0FD0">
      <w:pPr>
        <w:spacing w:after="0"/>
        <w:contextualSpacing/>
        <w:jc w:val="center"/>
        <w:rPr>
          <w:rFonts w:ascii="Arial" w:hAnsi="Arial" w:cs="Arial"/>
          <w:b/>
          <w:sz w:val="24"/>
        </w:rPr>
      </w:pPr>
      <w:r>
        <w:rPr>
          <w:rFonts w:ascii="Arial" w:hAnsi="Arial" w:cs="Arial"/>
          <w:b/>
          <w:noProof/>
          <w:sz w:val="24"/>
          <w:lang w:val="es-MX" w:eastAsia="es-MX"/>
        </w:rPr>
        <w:drawing>
          <wp:inline distT="0" distB="0" distL="0" distR="0">
            <wp:extent cx="4975860" cy="115189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5860" cy="1151890"/>
                    </a:xfrm>
                    <a:prstGeom prst="rect">
                      <a:avLst/>
                    </a:prstGeom>
                    <a:noFill/>
                    <a:ln>
                      <a:noFill/>
                    </a:ln>
                  </pic:spPr>
                </pic:pic>
              </a:graphicData>
            </a:graphic>
          </wp:inline>
        </w:drawing>
      </w:r>
    </w:p>
    <w:p w:rsidR="00CC0FD0" w:rsidRDefault="00CC0FD0" w:rsidP="009C0345">
      <w:pPr>
        <w:spacing w:after="0"/>
        <w:contextualSpacing/>
        <w:jc w:val="both"/>
        <w:rPr>
          <w:rFonts w:ascii="Arial" w:hAnsi="Arial" w:cs="Arial"/>
          <w:b/>
          <w:sz w:val="24"/>
        </w:rPr>
      </w:pPr>
    </w:p>
    <w:p w:rsidR="00CC0FD0" w:rsidRDefault="00CC0FD0" w:rsidP="009C0345">
      <w:pPr>
        <w:spacing w:after="0"/>
        <w:contextualSpacing/>
        <w:jc w:val="both"/>
        <w:rPr>
          <w:rFonts w:ascii="Arial" w:hAnsi="Arial" w:cs="Arial"/>
          <w:b/>
          <w:sz w:val="24"/>
        </w:rPr>
      </w:pPr>
    </w:p>
    <w:p w:rsidR="005F4540" w:rsidRDefault="005F4540" w:rsidP="009C0345">
      <w:pPr>
        <w:spacing w:after="0"/>
        <w:contextualSpacing/>
        <w:jc w:val="both"/>
        <w:rPr>
          <w:rFonts w:ascii="Arial" w:hAnsi="Arial" w:cs="Arial"/>
          <w:b/>
          <w:sz w:val="24"/>
        </w:rPr>
      </w:pPr>
    </w:p>
    <w:p w:rsidR="00381115" w:rsidRPr="0072204F" w:rsidRDefault="005F4540" w:rsidP="00381115">
      <w:pPr>
        <w:pStyle w:val="Prrafodelista"/>
        <w:numPr>
          <w:ilvl w:val="0"/>
          <w:numId w:val="4"/>
        </w:numPr>
        <w:spacing w:after="0"/>
        <w:contextualSpacing/>
        <w:jc w:val="both"/>
        <w:rPr>
          <w:rFonts w:ascii="Arial" w:hAnsi="Arial" w:cs="Arial"/>
          <w:b/>
          <w:sz w:val="24"/>
        </w:rPr>
      </w:pPr>
      <w:r>
        <w:rPr>
          <w:rFonts w:ascii="Arial" w:hAnsi="Arial" w:cs="Arial"/>
          <w:b/>
          <w:sz w:val="24"/>
        </w:rPr>
        <w:t>Cumplimiento de la Ley de Contabilidad Gubernamental y de las disposiciones contenidas</w:t>
      </w:r>
      <w:r w:rsidR="00381115" w:rsidRPr="0072204F">
        <w:rPr>
          <w:rFonts w:ascii="Arial" w:hAnsi="Arial" w:cs="Arial"/>
          <w:b/>
          <w:sz w:val="24"/>
        </w:rPr>
        <w:t xml:space="preserve"> e</w:t>
      </w:r>
      <w:r>
        <w:rPr>
          <w:rFonts w:ascii="Arial" w:hAnsi="Arial" w:cs="Arial"/>
          <w:b/>
          <w:sz w:val="24"/>
        </w:rPr>
        <w:t>n los ordenamientos y normativa</w:t>
      </w:r>
      <w:r w:rsidR="00381115" w:rsidRPr="0072204F">
        <w:rPr>
          <w:rFonts w:ascii="Arial" w:hAnsi="Arial" w:cs="Arial"/>
          <w:b/>
          <w:sz w:val="24"/>
        </w:rPr>
        <w:t xml:space="preserve"> correspondientes.</w:t>
      </w:r>
    </w:p>
    <w:p w:rsidR="00381115" w:rsidRPr="00381115" w:rsidRDefault="00381115" w:rsidP="00381115">
      <w:pPr>
        <w:pStyle w:val="Prrafodelista"/>
        <w:spacing w:after="0"/>
        <w:contextualSpacing/>
        <w:jc w:val="both"/>
        <w:rPr>
          <w:rFonts w:ascii="Arial" w:hAnsi="Arial" w:cs="Arial"/>
          <w:sz w:val="24"/>
        </w:rPr>
      </w:pPr>
    </w:p>
    <w:p w:rsidR="000A10A8" w:rsidRDefault="00381115" w:rsidP="009A7A82">
      <w:pPr>
        <w:spacing w:after="0" w:line="360" w:lineRule="auto"/>
        <w:ind w:firstLine="709"/>
        <w:contextualSpacing/>
        <w:jc w:val="both"/>
        <w:rPr>
          <w:rFonts w:ascii="Arial" w:hAnsi="Arial" w:cs="Arial"/>
          <w:sz w:val="24"/>
        </w:rPr>
      </w:pPr>
      <w:r w:rsidRPr="00381115">
        <w:rPr>
          <w:rFonts w:ascii="Arial" w:hAnsi="Arial" w:cs="Arial"/>
          <w:sz w:val="24"/>
        </w:rPr>
        <w:t>En este sentido nuestro Órgano Técnico Fiscalizador, nos informa que con posterioridad a la verificación de los Estados Financieros que se incluyen e</w:t>
      </w:r>
      <w:r w:rsidR="005F4540">
        <w:rPr>
          <w:rFonts w:ascii="Arial" w:hAnsi="Arial" w:cs="Arial"/>
          <w:sz w:val="24"/>
        </w:rPr>
        <w:t>n la Cuenta Pública, se concluyó</w:t>
      </w:r>
      <w:r w:rsidRPr="00381115">
        <w:rPr>
          <w:rFonts w:ascii="Arial" w:hAnsi="Arial" w:cs="Arial"/>
          <w:sz w:val="24"/>
        </w:rPr>
        <w:t xml:space="preserve"> que su pres</w:t>
      </w:r>
      <w:r w:rsidR="005F4540">
        <w:rPr>
          <w:rFonts w:ascii="Arial" w:hAnsi="Arial" w:cs="Arial"/>
          <w:sz w:val="24"/>
        </w:rPr>
        <w:t>entación está de acuerdo con la Ley de Contabilidad Gubernamental</w:t>
      </w:r>
      <w:r w:rsidRPr="00381115">
        <w:rPr>
          <w:rFonts w:ascii="Arial" w:hAnsi="Arial" w:cs="Arial"/>
          <w:sz w:val="24"/>
        </w:rPr>
        <w:t xml:space="preserve">, normatividad aplicable a este tipo de </w:t>
      </w:r>
      <w:r w:rsidR="005F4540">
        <w:rPr>
          <w:rFonts w:ascii="Arial" w:hAnsi="Arial" w:cs="Arial"/>
          <w:sz w:val="24"/>
        </w:rPr>
        <w:t>Ente Público</w:t>
      </w:r>
      <w:r w:rsidRPr="00381115">
        <w:rPr>
          <w:rFonts w:ascii="Arial" w:hAnsi="Arial" w:cs="Arial"/>
          <w:sz w:val="24"/>
        </w:rPr>
        <w:t xml:space="preserve"> y se apegó al cumplimiento de la Ley de Egresos del Estado de Nuevo León y demás ordenami</w:t>
      </w:r>
      <w:r>
        <w:rPr>
          <w:rFonts w:ascii="Arial" w:hAnsi="Arial" w:cs="Arial"/>
          <w:sz w:val="24"/>
        </w:rPr>
        <w:t>entos aplicables en la materia.</w:t>
      </w:r>
    </w:p>
    <w:p w:rsidR="005F4540" w:rsidRDefault="005F4540" w:rsidP="009A7A82">
      <w:pPr>
        <w:spacing w:after="0" w:line="360" w:lineRule="auto"/>
        <w:ind w:firstLine="709"/>
        <w:contextualSpacing/>
        <w:jc w:val="both"/>
        <w:rPr>
          <w:rFonts w:ascii="Arial" w:hAnsi="Arial" w:cs="Arial"/>
          <w:sz w:val="24"/>
        </w:rPr>
      </w:pPr>
    </w:p>
    <w:p w:rsidR="005F4540" w:rsidRDefault="005F4540" w:rsidP="005F4540">
      <w:pPr>
        <w:pStyle w:val="Prrafodelista"/>
        <w:numPr>
          <w:ilvl w:val="0"/>
          <w:numId w:val="4"/>
        </w:numPr>
        <w:spacing w:after="0" w:line="240" w:lineRule="auto"/>
        <w:contextualSpacing/>
        <w:jc w:val="both"/>
        <w:rPr>
          <w:rFonts w:ascii="Arial" w:hAnsi="Arial" w:cs="Arial"/>
          <w:b/>
          <w:sz w:val="24"/>
        </w:rPr>
      </w:pPr>
      <w:r>
        <w:rPr>
          <w:rFonts w:ascii="Arial" w:hAnsi="Arial" w:cs="Arial"/>
          <w:b/>
          <w:sz w:val="24"/>
        </w:rPr>
        <w:t>La Evaluación del avance o cumplimiento de los programas y subprogramas aprobados.</w:t>
      </w:r>
    </w:p>
    <w:p w:rsidR="005F4540" w:rsidRDefault="005F4540" w:rsidP="005F4540">
      <w:pPr>
        <w:pStyle w:val="Prrafodelista"/>
        <w:spacing w:after="0" w:line="240" w:lineRule="auto"/>
        <w:contextualSpacing/>
        <w:jc w:val="both"/>
        <w:rPr>
          <w:rFonts w:ascii="Arial" w:hAnsi="Arial" w:cs="Arial"/>
          <w:b/>
          <w:sz w:val="24"/>
        </w:rPr>
      </w:pPr>
    </w:p>
    <w:p w:rsidR="005F4540" w:rsidRDefault="005F4540" w:rsidP="005F4540">
      <w:pPr>
        <w:pStyle w:val="Textoindependiente"/>
        <w:spacing w:line="360" w:lineRule="auto"/>
        <w:rPr>
          <w:rFonts w:ascii="Arial" w:hAnsi="Arial" w:cs="Arial"/>
          <w:sz w:val="24"/>
          <w:szCs w:val="24"/>
          <w:lang w:val="es-MX"/>
        </w:rPr>
      </w:pPr>
      <w:r w:rsidRPr="00B1053E">
        <w:rPr>
          <w:rFonts w:ascii="Arial" w:hAnsi="Arial" w:cs="Arial"/>
          <w:sz w:val="24"/>
          <w:szCs w:val="24"/>
          <w:lang w:val="es-MX"/>
        </w:rPr>
        <w:t>Los indicadores de gestión determinados por la</w:t>
      </w:r>
      <w:r w:rsidR="00CC0FD0">
        <w:rPr>
          <w:rFonts w:ascii="Arial" w:hAnsi="Arial" w:cs="Arial"/>
          <w:sz w:val="24"/>
          <w:szCs w:val="24"/>
          <w:lang w:val="es-MX"/>
        </w:rPr>
        <w:t xml:space="preserve"> administración de este Instituto </w:t>
      </w:r>
      <w:r w:rsidRPr="00B1053E">
        <w:rPr>
          <w:rFonts w:ascii="Arial" w:hAnsi="Arial" w:cs="Arial"/>
          <w:sz w:val="24"/>
          <w:szCs w:val="24"/>
          <w:lang w:val="es-MX"/>
        </w:rPr>
        <w:t>son los siguientes:</w:t>
      </w:r>
    </w:p>
    <w:p w:rsidR="00CC0FD0" w:rsidRDefault="00FE0BE7" w:rsidP="005F4540">
      <w:pPr>
        <w:pStyle w:val="Textoindependiente"/>
        <w:spacing w:line="360" w:lineRule="auto"/>
        <w:rPr>
          <w:rFonts w:ascii="Arial" w:hAnsi="Arial" w:cs="Arial"/>
          <w:sz w:val="24"/>
          <w:szCs w:val="24"/>
          <w:lang w:val="es-MX"/>
        </w:rPr>
      </w:pPr>
      <w:r>
        <w:rPr>
          <w:rFonts w:ascii="Arial" w:hAnsi="Arial" w:cs="Arial"/>
          <w:noProof/>
          <w:sz w:val="24"/>
          <w:szCs w:val="24"/>
          <w:lang w:val="es-MX" w:eastAsia="es-MX"/>
        </w:rPr>
        <w:drawing>
          <wp:inline distT="0" distB="0" distL="0" distR="0">
            <wp:extent cx="4595495" cy="1520190"/>
            <wp:effectExtent l="0" t="0" r="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5495" cy="1520190"/>
                    </a:xfrm>
                    <a:prstGeom prst="rect">
                      <a:avLst/>
                    </a:prstGeom>
                    <a:noFill/>
                    <a:ln>
                      <a:noFill/>
                    </a:ln>
                  </pic:spPr>
                </pic:pic>
              </a:graphicData>
            </a:graphic>
          </wp:inline>
        </w:drawing>
      </w:r>
    </w:p>
    <w:p w:rsidR="00FE0BE7" w:rsidRDefault="00FE0BE7" w:rsidP="005F4540">
      <w:pPr>
        <w:pStyle w:val="Textoindependiente"/>
        <w:spacing w:line="360" w:lineRule="auto"/>
        <w:rPr>
          <w:rFonts w:ascii="Arial" w:hAnsi="Arial" w:cs="Arial"/>
          <w:sz w:val="24"/>
          <w:szCs w:val="24"/>
          <w:lang w:val="es-MX"/>
        </w:rPr>
      </w:pPr>
    </w:p>
    <w:p w:rsidR="00FE0BE7" w:rsidRDefault="00FE0BE7" w:rsidP="005F4540">
      <w:pPr>
        <w:pStyle w:val="Textoindependiente"/>
        <w:spacing w:line="360" w:lineRule="auto"/>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4524375" cy="5474335"/>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4375" cy="5474335"/>
                    </a:xfrm>
                    <a:prstGeom prst="rect">
                      <a:avLst/>
                    </a:prstGeom>
                    <a:noFill/>
                    <a:ln>
                      <a:noFill/>
                    </a:ln>
                  </pic:spPr>
                </pic:pic>
              </a:graphicData>
            </a:graphic>
          </wp:inline>
        </w:drawing>
      </w:r>
    </w:p>
    <w:p w:rsidR="00FE0BE7" w:rsidRDefault="00FE0BE7" w:rsidP="005F4540">
      <w:pPr>
        <w:pStyle w:val="Textoindependiente"/>
        <w:spacing w:line="360" w:lineRule="auto"/>
        <w:rPr>
          <w:rFonts w:ascii="Arial" w:hAnsi="Arial" w:cs="Arial"/>
          <w:sz w:val="24"/>
          <w:szCs w:val="24"/>
          <w:lang w:val="es-MX"/>
        </w:rPr>
      </w:pPr>
    </w:p>
    <w:p w:rsidR="00FE0BE7" w:rsidRDefault="00FE0BE7" w:rsidP="005F4540">
      <w:pPr>
        <w:pStyle w:val="Textoindependiente"/>
        <w:spacing w:line="360" w:lineRule="auto"/>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4559935" cy="4832985"/>
            <wp:effectExtent l="0" t="0" r="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9935" cy="4832985"/>
                    </a:xfrm>
                    <a:prstGeom prst="rect">
                      <a:avLst/>
                    </a:prstGeom>
                    <a:noFill/>
                    <a:ln>
                      <a:noFill/>
                    </a:ln>
                  </pic:spPr>
                </pic:pic>
              </a:graphicData>
            </a:graphic>
          </wp:inline>
        </w:drawing>
      </w:r>
    </w:p>
    <w:p w:rsidR="00FE0BE7" w:rsidRDefault="00FE0BE7" w:rsidP="005F4540">
      <w:pPr>
        <w:pStyle w:val="Textoindependiente"/>
        <w:spacing w:line="360" w:lineRule="auto"/>
        <w:rPr>
          <w:rFonts w:ascii="Arial" w:hAnsi="Arial" w:cs="Arial"/>
          <w:sz w:val="24"/>
          <w:szCs w:val="24"/>
          <w:lang w:val="es-MX"/>
        </w:rPr>
      </w:pPr>
    </w:p>
    <w:p w:rsidR="00FE0BE7" w:rsidRDefault="00FE0BE7" w:rsidP="005F4540">
      <w:pPr>
        <w:pStyle w:val="Textoindependiente"/>
        <w:spacing w:line="360" w:lineRule="auto"/>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4524375" cy="5177790"/>
            <wp:effectExtent l="0" t="0" r="9525"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24375" cy="5177790"/>
                    </a:xfrm>
                    <a:prstGeom prst="rect">
                      <a:avLst/>
                    </a:prstGeom>
                    <a:noFill/>
                    <a:ln>
                      <a:noFill/>
                    </a:ln>
                  </pic:spPr>
                </pic:pic>
              </a:graphicData>
            </a:graphic>
          </wp:inline>
        </w:drawing>
      </w:r>
    </w:p>
    <w:p w:rsidR="00FE0BE7" w:rsidRDefault="00FE0BE7" w:rsidP="005F4540">
      <w:pPr>
        <w:pStyle w:val="Textoindependiente"/>
        <w:spacing w:line="360" w:lineRule="auto"/>
        <w:rPr>
          <w:rFonts w:ascii="Arial" w:hAnsi="Arial" w:cs="Arial"/>
          <w:sz w:val="24"/>
          <w:szCs w:val="24"/>
          <w:lang w:val="es-MX"/>
        </w:rPr>
      </w:pPr>
    </w:p>
    <w:p w:rsidR="00FE0BE7" w:rsidRDefault="00FE0BE7" w:rsidP="005F4540">
      <w:pPr>
        <w:pStyle w:val="Textoindependiente"/>
        <w:spacing w:line="360" w:lineRule="auto"/>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4678680" cy="4773930"/>
            <wp:effectExtent l="0" t="0" r="762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8680" cy="4773930"/>
                    </a:xfrm>
                    <a:prstGeom prst="rect">
                      <a:avLst/>
                    </a:prstGeom>
                    <a:noFill/>
                    <a:ln>
                      <a:noFill/>
                    </a:ln>
                  </pic:spPr>
                </pic:pic>
              </a:graphicData>
            </a:graphic>
          </wp:inline>
        </w:drawing>
      </w:r>
    </w:p>
    <w:p w:rsidR="00FE0BE7" w:rsidRDefault="00FE0BE7" w:rsidP="005F4540">
      <w:pPr>
        <w:pStyle w:val="Textoindependiente"/>
        <w:spacing w:line="360" w:lineRule="auto"/>
        <w:rPr>
          <w:rFonts w:ascii="Arial" w:hAnsi="Arial" w:cs="Arial"/>
          <w:sz w:val="24"/>
          <w:szCs w:val="24"/>
          <w:lang w:val="es-MX"/>
        </w:rPr>
      </w:pPr>
    </w:p>
    <w:p w:rsidR="00FE0BE7" w:rsidRDefault="00FE0BE7" w:rsidP="005F4540">
      <w:pPr>
        <w:pStyle w:val="Textoindependiente"/>
        <w:spacing w:line="360" w:lineRule="auto"/>
        <w:rPr>
          <w:rFonts w:ascii="Arial" w:hAnsi="Arial" w:cs="Arial"/>
          <w:sz w:val="24"/>
          <w:szCs w:val="24"/>
          <w:lang w:val="es-MX"/>
        </w:rPr>
      </w:pPr>
      <w:r>
        <w:rPr>
          <w:rFonts w:ascii="Arial" w:hAnsi="Arial" w:cs="Arial"/>
          <w:noProof/>
          <w:sz w:val="24"/>
          <w:szCs w:val="24"/>
          <w:lang w:val="es-MX" w:eastAsia="es-MX"/>
        </w:rPr>
        <w:lastRenderedPageBreak/>
        <w:drawing>
          <wp:inline distT="0" distB="0" distL="0" distR="0">
            <wp:extent cx="4595495" cy="478599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5495" cy="4785995"/>
                    </a:xfrm>
                    <a:prstGeom prst="rect">
                      <a:avLst/>
                    </a:prstGeom>
                    <a:noFill/>
                    <a:ln>
                      <a:noFill/>
                    </a:ln>
                  </pic:spPr>
                </pic:pic>
              </a:graphicData>
            </a:graphic>
          </wp:inline>
        </w:drawing>
      </w:r>
    </w:p>
    <w:p w:rsidR="00CC0FD0" w:rsidRDefault="00CC0FD0" w:rsidP="005F4540">
      <w:pPr>
        <w:pStyle w:val="Textoindependiente"/>
        <w:spacing w:line="360" w:lineRule="auto"/>
        <w:rPr>
          <w:rFonts w:ascii="Arial" w:hAnsi="Arial" w:cs="Arial"/>
          <w:sz w:val="24"/>
          <w:szCs w:val="24"/>
          <w:lang w:val="es-MX"/>
        </w:rPr>
      </w:pPr>
    </w:p>
    <w:p w:rsidR="00CC0FD0" w:rsidRDefault="00CC0FD0" w:rsidP="005F4540">
      <w:pPr>
        <w:pStyle w:val="Textoindependiente"/>
        <w:spacing w:line="360" w:lineRule="auto"/>
        <w:rPr>
          <w:rFonts w:ascii="Arial" w:hAnsi="Arial" w:cs="Arial"/>
          <w:sz w:val="24"/>
          <w:szCs w:val="24"/>
          <w:lang w:val="es-MX"/>
        </w:rPr>
      </w:pPr>
    </w:p>
    <w:p w:rsidR="00CC0FD0" w:rsidRDefault="00CC0FD0" w:rsidP="005F4540">
      <w:pPr>
        <w:pStyle w:val="Textoindependiente"/>
        <w:spacing w:line="360" w:lineRule="auto"/>
        <w:rPr>
          <w:rFonts w:ascii="Arial" w:hAnsi="Arial" w:cs="Arial"/>
          <w:sz w:val="24"/>
          <w:szCs w:val="24"/>
          <w:lang w:val="es-MX"/>
        </w:rPr>
      </w:pPr>
    </w:p>
    <w:p w:rsidR="00CC0FD0" w:rsidRDefault="00CC0FD0" w:rsidP="005F4540">
      <w:pPr>
        <w:pStyle w:val="Textoindependiente"/>
        <w:spacing w:line="360" w:lineRule="auto"/>
        <w:rPr>
          <w:rFonts w:ascii="Arial" w:hAnsi="Arial" w:cs="Arial"/>
          <w:sz w:val="24"/>
          <w:szCs w:val="24"/>
          <w:lang w:val="es-MX"/>
        </w:rPr>
      </w:pPr>
    </w:p>
    <w:p w:rsidR="00CC0FD0" w:rsidRDefault="00CC0FD0" w:rsidP="005F4540">
      <w:pPr>
        <w:pStyle w:val="Textoindependiente"/>
        <w:spacing w:line="360" w:lineRule="auto"/>
        <w:rPr>
          <w:rFonts w:ascii="Arial" w:hAnsi="Arial" w:cs="Arial"/>
          <w:sz w:val="24"/>
          <w:szCs w:val="24"/>
          <w:lang w:val="es-MX"/>
        </w:rPr>
      </w:pPr>
    </w:p>
    <w:p w:rsidR="00CC0FD0" w:rsidRDefault="00CC0FD0" w:rsidP="005F4540">
      <w:pPr>
        <w:pStyle w:val="Textoindependiente"/>
        <w:spacing w:line="360" w:lineRule="auto"/>
        <w:rPr>
          <w:rFonts w:ascii="Arial" w:hAnsi="Arial" w:cs="Arial"/>
          <w:sz w:val="24"/>
          <w:szCs w:val="24"/>
          <w:lang w:val="es-MX"/>
        </w:rPr>
      </w:pPr>
    </w:p>
    <w:p w:rsidR="005F4540" w:rsidRDefault="005F4540" w:rsidP="005F4540">
      <w:pPr>
        <w:pStyle w:val="Textoindependiente"/>
        <w:spacing w:line="360" w:lineRule="auto"/>
        <w:rPr>
          <w:rFonts w:ascii="Arial" w:hAnsi="Arial" w:cs="Arial"/>
          <w:sz w:val="24"/>
          <w:szCs w:val="24"/>
          <w:lang w:val="es-MX"/>
        </w:rPr>
      </w:pPr>
    </w:p>
    <w:p w:rsidR="004171CD" w:rsidRDefault="004171CD" w:rsidP="005F4540">
      <w:pPr>
        <w:pStyle w:val="Prrafodelista"/>
        <w:spacing w:after="0" w:line="240" w:lineRule="auto"/>
        <w:contextualSpacing/>
        <w:jc w:val="both"/>
        <w:rPr>
          <w:rFonts w:ascii="Arial" w:hAnsi="Arial" w:cs="Arial"/>
          <w:sz w:val="24"/>
        </w:rPr>
      </w:pPr>
    </w:p>
    <w:p w:rsidR="00620A59" w:rsidRDefault="00620A59" w:rsidP="006415AE">
      <w:pPr>
        <w:pStyle w:val="Prrafodelista"/>
        <w:spacing w:after="0" w:line="240" w:lineRule="auto"/>
        <w:ind w:left="0"/>
        <w:contextualSpacing/>
        <w:jc w:val="center"/>
        <w:rPr>
          <w:rFonts w:ascii="Arial" w:hAnsi="Arial" w:cs="Arial"/>
          <w:sz w:val="24"/>
        </w:rPr>
      </w:pPr>
    </w:p>
    <w:p w:rsidR="00381115" w:rsidRDefault="00381115" w:rsidP="009C0345">
      <w:pPr>
        <w:spacing w:after="0"/>
        <w:contextualSpacing/>
        <w:jc w:val="both"/>
        <w:rPr>
          <w:rFonts w:ascii="Arial" w:hAnsi="Arial" w:cs="Arial"/>
          <w:b/>
          <w:sz w:val="24"/>
        </w:rPr>
      </w:pPr>
    </w:p>
    <w:p w:rsidR="00620A59" w:rsidRDefault="00620A59" w:rsidP="00620A59">
      <w:pPr>
        <w:pStyle w:val="Prrafodelista"/>
        <w:spacing w:after="0"/>
        <w:ind w:left="425"/>
        <w:contextualSpacing/>
        <w:jc w:val="both"/>
        <w:rPr>
          <w:rFonts w:ascii="Arial" w:hAnsi="Arial" w:cs="Arial"/>
          <w:b/>
          <w:bCs/>
          <w:sz w:val="24"/>
        </w:rPr>
      </w:pPr>
    </w:p>
    <w:p w:rsidR="008B1EB7" w:rsidRPr="008B1EB7" w:rsidRDefault="009C0345" w:rsidP="00620A59">
      <w:pPr>
        <w:pStyle w:val="Prrafodelista"/>
        <w:numPr>
          <w:ilvl w:val="0"/>
          <w:numId w:val="3"/>
        </w:numPr>
        <w:spacing w:after="0"/>
        <w:contextualSpacing/>
        <w:jc w:val="both"/>
        <w:rPr>
          <w:rFonts w:ascii="Arial" w:hAnsi="Arial" w:cs="Arial"/>
          <w:sz w:val="24"/>
        </w:rPr>
      </w:pPr>
      <w:r w:rsidRPr="00401C23">
        <w:rPr>
          <w:rFonts w:ascii="Arial" w:hAnsi="Arial" w:cs="Arial"/>
          <w:b/>
          <w:bCs/>
          <w:sz w:val="24"/>
        </w:rPr>
        <w:t>Observaciones derivadas de la revisión practicada</w:t>
      </w:r>
      <w:r w:rsidR="00401C23" w:rsidRPr="00401C23">
        <w:rPr>
          <w:rFonts w:ascii="Arial" w:hAnsi="Arial" w:cs="Arial"/>
          <w:b/>
          <w:bCs/>
          <w:sz w:val="24"/>
        </w:rPr>
        <w:t xml:space="preserve"> por la Auditoría Superior </w:t>
      </w:r>
      <w:r w:rsidR="00DD3DF8">
        <w:rPr>
          <w:rFonts w:ascii="Arial" w:hAnsi="Arial" w:cs="Arial"/>
          <w:b/>
          <w:bCs/>
          <w:sz w:val="24"/>
        </w:rPr>
        <w:t>del Estado, incluyendo las acciones que se ejercerán y re</w:t>
      </w:r>
      <w:r w:rsidR="00E568A4">
        <w:rPr>
          <w:rFonts w:ascii="Arial" w:hAnsi="Arial" w:cs="Arial"/>
          <w:b/>
          <w:bCs/>
          <w:sz w:val="24"/>
        </w:rPr>
        <w:t>comendaciones que se formularán.</w:t>
      </w:r>
    </w:p>
    <w:p w:rsidR="008B1EB7" w:rsidRDefault="008B1EB7" w:rsidP="008B1EB7">
      <w:pPr>
        <w:spacing w:after="0"/>
        <w:contextualSpacing/>
        <w:jc w:val="both"/>
        <w:rPr>
          <w:rFonts w:ascii="Arial" w:hAnsi="Arial" w:cs="Arial"/>
          <w:sz w:val="24"/>
        </w:rPr>
      </w:pPr>
    </w:p>
    <w:p w:rsidR="00412005" w:rsidRDefault="00412005" w:rsidP="00412005">
      <w:pPr>
        <w:spacing w:after="0"/>
        <w:contextualSpacing/>
        <w:jc w:val="both"/>
        <w:rPr>
          <w:rFonts w:ascii="Arial" w:hAnsi="Arial" w:cs="Arial"/>
          <w:b/>
          <w:sz w:val="24"/>
          <w:u w:val="single"/>
        </w:rPr>
      </w:pPr>
    </w:p>
    <w:p w:rsidR="00412005" w:rsidRDefault="00412005" w:rsidP="00412005">
      <w:pPr>
        <w:spacing w:after="0"/>
        <w:contextualSpacing/>
        <w:jc w:val="both"/>
        <w:rPr>
          <w:rFonts w:ascii="Arial" w:hAnsi="Arial" w:cs="Arial"/>
          <w:b/>
          <w:sz w:val="24"/>
          <w:u w:val="single"/>
        </w:rPr>
      </w:pPr>
      <w:r w:rsidRPr="00412005">
        <w:rPr>
          <w:rFonts w:ascii="Arial" w:hAnsi="Arial" w:cs="Arial"/>
          <w:b/>
          <w:sz w:val="24"/>
          <w:u w:val="single"/>
        </w:rPr>
        <w:t>LEY GENERAL DE CONTABILIDAD GUBERNAMENTAL</w:t>
      </w:r>
    </w:p>
    <w:p w:rsidR="00412005" w:rsidRPr="00412005" w:rsidRDefault="00412005" w:rsidP="00412005">
      <w:pPr>
        <w:spacing w:after="0"/>
        <w:contextualSpacing/>
        <w:jc w:val="both"/>
        <w:rPr>
          <w:rFonts w:ascii="Arial" w:hAnsi="Arial" w:cs="Arial"/>
          <w:b/>
          <w:sz w:val="24"/>
          <w:u w:val="single"/>
        </w:rPr>
      </w:pPr>
    </w:p>
    <w:p w:rsidR="00FE0BE7" w:rsidRPr="00FE0BE7" w:rsidRDefault="00FE0BE7" w:rsidP="00FE0BE7">
      <w:pPr>
        <w:spacing w:after="0" w:line="360" w:lineRule="auto"/>
        <w:contextualSpacing/>
        <w:jc w:val="both"/>
        <w:rPr>
          <w:rFonts w:ascii="Arial" w:hAnsi="Arial" w:cs="Arial"/>
          <w:sz w:val="24"/>
        </w:rPr>
      </w:pPr>
      <w:r w:rsidRPr="00FE0BE7">
        <w:rPr>
          <w:rFonts w:ascii="Arial" w:hAnsi="Arial" w:cs="Arial"/>
          <w:sz w:val="24"/>
        </w:rPr>
        <w:t>1. Se revisó la observancia de la Ley General de Contabilidad Gubernamental (LGCG)</w:t>
      </w:r>
      <w:r w:rsidR="000130B3">
        <w:rPr>
          <w:rFonts w:ascii="Arial" w:hAnsi="Arial" w:cs="Arial"/>
          <w:sz w:val="24"/>
        </w:rPr>
        <w:t xml:space="preserve"> </w:t>
      </w:r>
      <w:r w:rsidRPr="00FE0BE7">
        <w:rPr>
          <w:rFonts w:ascii="Arial" w:hAnsi="Arial" w:cs="Arial"/>
          <w:sz w:val="24"/>
        </w:rPr>
        <w:t>y la normatividad emitida por el Consejo Nacional de Armonización Contable (Conac),</w:t>
      </w:r>
      <w:r w:rsidR="000130B3">
        <w:rPr>
          <w:rFonts w:ascii="Arial" w:hAnsi="Arial" w:cs="Arial"/>
          <w:sz w:val="24"/>
        </w:rPr>
        <w:t xml:space="preserve"> </w:t>
      </w:r>
      <w:r w:rsidRPr="00FE0BE7">
        <w:rPr>
          <w:rFonts w:ascii="Arial" w:hAnsi="Arial" w:cs="Arial"/>
          <w:sz w:val="24"/>
        </w:rPr>
        <w:t>advirtiéndose incumplimientos por parte del Ente Público, a las obligaciones que diversos</w:t>
      </w:r>
      <w:r w:rsidR="000130B3">
        <w:rPr>
          <w:rFonts w:ascii="Arial" w:hAnsi="Arial" w:cs="Arial"/>
          <w:sz w:val="24"/>
        </w:rPr>
        <w:t xml:space="preserve"> </w:t>
      </w:r>
      <w:r w:rsidRPr="00FE0BE7">
        <w:rPr>
          <w:rFonts w:ascii="Arial" w:hAnsi="Arial" w:cs="Arial"/>
          <w:sz w:val="24"/>
        </w:rPr>
        <w:t>preceptos de la referida Ley le imponen, acorde con lo que se enuncia a continuación:</w:t>
      </w:r>
    </w:p>
    <w:p w:rsidR="000130B3" w:rsidRDefault="000130B3" w:rsidP="00FE0BE7">
      <w:pPr>
        <w:spacing w:after="0" w:line="360" w:lineRule="auto"/>
        <w:contextualSpacing/>
        <w:jc w:val="both"/>
        <w:rPr>
          <w:rFonts w:ascii="Arial" w:hAnsi="Arial" w:cs="Arial"/>
          <w:sz w:val="24"/>
        </w:rPr>
      </w:pPr>
    </w:p>
    <w:p w:rsidR="00FE0BE7" w:rsidRPr="000130B3" w:rsidRDefault="00FE0BE7" w:rsidP="00FE0BE7">
      <w:pPr>
        <w:spacing w:after="0" w:line="360" w:lineRule="auto"/>
        <w:contextualSpacing/>
        <w:jc w:val="both"/>
        <w:rPr>
          <w:rFonts w:ascii="Arial" w:hAnsi="Arial" w:cs="Arial"/>
          <w:b/>
          <w:sz w:val="24"/>
        </w:rPr>
      </w:pPr>
      <w:r w:rsidRPr="000130B3">
        <w:rPr>
          <w:rFonts w:ascii="Arial" w:hAnsi="Arial" w:cs="Arial"/>
          <w:b/>
          <w:sz w:val="24"/>
        </w:rPr>
        <w:t>I. Registros contables</w:t>
      </w:r>
    </w:p>
    <w:p w:rsidR="00FE0BE7" w:rsidRPr="00FE0BE7" w:rsidRDefault="00FE0BE7" w:rsidP="00FE0BE7">
      <w:pPr>
        <w:spacing w:after="0" w:line="360" w:lineRule="auto"/>
        <w:contextualSpacing/>
        <w:jc w:val="both"/>
        <w:rPr>
          <w:rFonts w:ascii="Arial" w:hAnsi="Arial" w:cs="Arial"/>
          <w:sz w:val="24"/>
        </w:rPr>
      </w:pPr>
      <w:r w:rsidRPr="00FE0BE7">
        <w:rPr>
          <w:rFonts w:ascii="Arial" w:hAnsi="Arial" w:cs="Arial"/>
          <w:sz w:val="24"/>
        </w:rPr>
        <w:t>a) Contar con manuales de contabilidad (artículo 20).</w:t>
      </w:r>
    </w:p>
    <w:p w:rsidR="00FE0BE7" w:rsidRPr="00FE0BE7" w:rsidRDefault="00FE0BE7" w:rsidP="00FE0BE7">
      <w:pPr>
        <w:spacing w:after="0" w:line="360" w:lineRule="auto"/>
        <w:contextualSpacing/>
        <w:jc w:val="both"/>
        <w:rPr>
          <w:rFonts w:ascii="Arial" w:hAnsi="Arial" w:cs="Arial"/>
          <w:sz w:val="24"/>
        </w:rPr>
      </w:pPr>
      <w:r w:rsidRPr="00FE0BE7">
        <w:rPr>
          <w:rFonts w:ascii="Arial" w:hAnsi="Arial" w:cs="Arial"/>
          <w:sz w:val="24"/>
        </w:rPr>
        <w:t>b) Realizar la baja de bienes muebles e inmuebles (artículo 28, conforme a las Reglas</w:t>
      </w:r>
      <w:r w:rsidR="000130B3">
        <w:rPr>
          <w:rFonts w:ascii="Arial" w:hAnsi="Arial" w:cs="Arial"/>
          <w:sz w:val="24"/>
        </w:rPr>
        <w:t xml:space="preserve"> </w:t>
      </w:r>
      <w:r w:rsidRPr="00FE0BE7">
        <w:rPr>
          <w:rFonts w:ascii="Arial" w:hAnsi="Arial" w:cs="Arial"/>
          <w:sz w:val="24"/>
        </w:rPr>
        <w:t>específicas de registro y valoración del patrimonio y a los Lineamientos dirigidos a</w:t>
      </w:r>
      <w:r w:rsidR="000130B3">
        <w:rPr>
          <w:rFonts w:ascii="Arial" w:hAnsi="Arial" w:cs="Arial"/>
          <w:sz w:val="24"/>
        </w:rPr>
        <w:t xml:space="preserve"> </w:t>
      </w:r>
      <w:r w:rsidRPr="00FE0BE7">
        <w:rPr>
          <w:rFonts w:ascii="Arial" w:hAnsi="Arial" w:cs="Arial"/>
          <w:sz w:val="24"/>
        </w:rPr>
        <w:t>asegurar que el sistema de contabilidad gubernamental facilite el registro y control</w:t>
      </w:r>
      <w:r w:rsidR="000130B3">
        <w:rPr>
          <w:rFonts w:ascii="Arial" w:hAnsi="Arial" w:cs="Arial"/>
          <w:sz w:val="24"/>
        </w:rPr>
        <w:t xml:space="preserve"> </w:t>
      </w:r>
      <w:r w:rsidRPr="00FE0BE7">
        <w:rPr>
          <w:rFonts w:ascii="Arial" w:hAnsi="Arial" w:cs="Arial"/>
          <w:sz w:val="24"/>
        </w:rPr>
        <w:t>de los inventarios de los bienes muebles e inmuebles de los entes públicos).</w:t>
      </w:r>
    </w:p>
    <w:p w:rsidR="00FE0BE7" w:rsidRPr="00FE0BE7" w:rsidRDefault="00FE0BE7" w:rsidP="00FE0BE7">
      <w:pPr>
        <w:spacing w:after="0" w:line="360" w:lineRule="auto"/>
        <w:contextualSpacing/>
        <w:jc w:val="both"/>
        <w:rPr>
          <w:rFonts w:ascii="Arial" w:hAnsi="Arial" w:cs="Arial"/>
          <w:sz w:val="24"/>
        </w:rPr>
      </w:pPr>
      <w:r w:rsidRPr="00FE0BE7">
        <w:rPr>
          <w:rFonts w:ascii="Arial" w:hAnsi="Arial" w:cs="Arial"/>
          <w:sz w:val="24"/>
        </w:rPr>
        <w:t>c) Realizar los registros contables del gasto conforme a su fecha de realización y</w:t>
      </w:r>
      <w:r w:rsidR="000130B3">
        <w:rPr>
          <w:rFonts w:ascii="Arial" w:hAnsi="Arial" w:cs="Arial"/>
          <w:sz w:val="24"/>
        </w:rPr>
        <w:t xml:space="preserve"> </w:t>
      </w:r>
      <w:r w:rsidRPr="00FE0BE7">
        <w:rPr>
          <w:rFonts w:ascii="Arial" w:hAnsi="Arial" w:cs="Arial"/>
          <w:sz w:val="24"/>
        </w:rPr>
        <w:t>el ingreso cuando exista jurídicamente derecho de cobro (artículo 34, conforme a</w:t>
      </w:r>
      <w:r w:rsidR="000130B3">
        <w:rPr>
          <w:rFonts w:ascii="Arial" w:hAnsi="Arial" w:cs="Arial"/>
          <w:sz w:val="24"/>
        </w:rPr>
        <w:t xml:space="preserve"> </w:t>
      </w:r>
      <w:r w:rsidRPr="00FE0BE7">
        <w:rPr>
          <w:rFonts w:ascii="Arial" w:hAnsi="Arial" w:cs="Arial"/>
          <w:sz w:val="24"/>
        </w:rPr>
        <w:t xml:space="preserve">Normas y metodología para la determinación de los </w:t>
      </w:r>
      <w:r w:rsidRPr="00FE0BE7">
        <w:rPr>
          <w:rFonts w:ascii="Arial" w:hAnsi="Arial" w:cs="Arial"/>
          <w:sz w:val="24"/>
        </w:rPr>
        <w:lastRenderedPageBreak/>
        <w:t>momentos contables de los</w:t>
      </w:r>
      <w:r w:rsidR="000130B3">
        <w:rPr>
          <w:rFonts w:ascii="Arial" w:hAnsi="Arial" w:cs="Arial"/>
          <w:sz w:val="24"/>
        </w:rPr>
        <w:t xml:space="preserve"> </w:t>
      </w:r>
      <w:r w:rsidRPr="00FE0BE7">
        <w:rPr>
          <w:rFonts w:ascii="Arial" w:hAnsi="Arial" w:cs="Arial"/>
          <w:sz w:val="24"/>
        </w:rPr>
        <w:t>ingresos y Normas y metodología para la determinación de los momentos contables</w:t>
      </w:r>
      <w:r w:rsidR="000130B3">
        <w:rPr>
          <w:rFonts w:ascii="Arial" w:hAnsi="Arial" w:cs="Arial"/>
          <w:sz w:val="24"/>
        </w:rPr>
        <w:t xml:space="preserve"> </w:t>
      </w:r>
      <w:r w:rsidRPr="00FE0BE7">
        <w:rPr>
          <w:rFonts w:ascii="Arial" w:hAnsi="Arial" w:cs="Arial"/>
          <w:sz w:val="24"/>
        </w:rPr>
        <w:t>de los egresos).</w:t>
      </w:r>
    </w:p>
    <w:p w:rsidR="00FE0BE7" w:rsidRPr="00FE0BE7" w:rsidRDefault="00FE0BE7" w:rsidP="00FE0BE7">
      <w:pPr>
        <w:spacing w:after="0" w:line="360" w:lineRule="auto"/>
        <w:contextualSpacing/>
        <w:jc w:val="both"/>
        <w:rPr>
          <w:rFonts w:ascii="Arial" w:hAnsi="Arial" w:cs="Arial"/>
          <w:sz w:val="24"/>
        </w:rPr>
      </w:pPr>
      <w:r w:rsidRPr="00FE0BE7">
        <w:rPr>
          <w:rFonts w:ascii="Arial" w:hAnsi="Arial" w:cs="Arial"/>
          <w:sz w:val="24"/>
        </w:rPr>
        <w:t>d) Mantener un registro histórico de sus operaciones en los libros diario, mayor e</w:t>
      </w:r>
      <w:r w:rsidR="000130B3">
        <w:rPr>
          <w:rFonts w:ascii="Arial" w:hAnsi="Arial" w:cs="Arial"/>
          <w:sz w:val="24"/>
        </w:rPr>
        <w:t xml:space="preserve"> </w:t>
      </w:r>
      <w:r w:rsidRPr="00FE0BE7">
        <w:rPr>
          <w:rFonts w:ascii="Arial" w:hAnsi="Arial" w:cs="Arial"/>
          <w:sz w:val="24"/>
        </w:rPr>
        <w:t>inventarios y balances (artículo 35 y cuarto transitorio del decreto por el que se expide</w:t>
      </w:r>
      <w:r w:rsidR="000130B3">
        <w:rPr>
          <w:rFonts w:ascii="Arial" w:hAnsi="Arial" w:cs="Arial"/>
          <w:sz w:val="24"/>
        </w:rPr>
        <w:t xml:space="preserve"> </w:t>
      </w:r>
      <w:r w:rsidRPr="00FE0BE7">
        <w:rPr>
          <w:rFonts w:ascii="Arial" w:hAnsi="Arial" w:cs="Arial"/>
          <w:sz w:val="24"/>
        </w:rPr>
        <w:t>la LGCG publicado en el Diario Oficial de la Federación el 31 de diciembre de 2008,</w:t>
      </w:r>
      <w:r w:rsidR="000130B3">
        <w:rPr>
          <w:rFonts w:ascii="Arial" w:hAnsi="Arial" w:cs="Arial"/>
          <w:sz w:val="24"/>
        </w:rPr>
        <w:t xml:space="preserve"> </w:t>
      </w:r>
      <w:r w:rsidRPr="00FE0BE7">
        <w:rPr>
          <w:rFonts w:ascii="Arial" w:hAnsi="Arial" w:cs="Arial"/>
          <w:sz w:val="24"/>
        </w:rPr>
        <w:t>conforme a los Lineamientos mínimos relativos al diseño e integración del registro</w:t>
      </w:r>
      <w:r w:rsidR="000130B3">
        <w:rPr>
          <w:rFonts w:ascii="Arial" w:hAnsi="Arial" w:cs="Arial"/>
          <w:sz w:val="24"/>
        </w:rPr>
        <w:t xml:space="preserve"> </w:t>
      </w:r>
      <w:r w:rsidRPr="00FE0BE7">
        <w:rPr>
          <w:rFonts w:ascii="Arial" w:hAnsi="Arial" w:cs="Arial"/>
          <w:sz w:val="24"/>
        </w:rPr>
        <w:t>en los libros diario, mayor e inventarios y balances, registro electrónico).</w:t>
      </w:r>
    </w:p>
    <w:p w:rsidR="00FE0BE7" w:rsidRPr="00FE0BE7" w:rsidRDefault="00FE0BE7" w:rsidP="00FE0BE7">
      <w:pPr>
        <w:spacing w:after="0" w:line="360" w:lineRule="auto"/>
        <w:contextualSpacing/>
        <w:jc w:val="both"/>
        <w:rPr>
          <w:rFonts w:ascii="Arial" w:hAnsi="Arial" w:cs="Arial"/>
          <w:sz w:val="24"/>
        </w:rPr>
      </w:pPr>
      <w:r w:rsidRPr="00FE0BE7">
        <w:rPr>
          <w:rFonts w:ascii="Arial" w:hAnsi="Arial" w:cs="Arial"/>
          <w:sz w:val="24"/>
        </w:rPr>
        <w:t>e) Realizar el registro contable, presupuestario y patrimonial de las operaciones</w:t>
      </w:r>
      <w:r w:rsidR="000130B3">
        <w:rPr>
          <w:rFonts w:ascii="Arial" w:hAnsi="Arial" w:cs="Arial"/>
          <w:sz w:val="24"/>
        </w:rPr>
        <w:t xml:space="preserve"> </w:t>
      </w:r>
      <w:r w:rsidRPr="00FE0BE7">
        <w:rPr>
          <w:rFonts w:ascii="Arial" w:hAnsi="Arial" w:cs="Arial"/>
          <w:sz w:val="24"/>
        </w:rPr>
        <w:t>realizadas con los recursos federales conforme a los momentos contables y</w:t>
      </w:r>
      <w:r w:rsidR="000130B3">
        <w:rPr>
          <w:rFonts w:ascii="Arial" w:hAnsi="Arial" w:cs="Arial"/>
          <w:sz w:val="24"/>
        </w:rPr>
        <w:t xml:space="preserve"> </w:t>
      </w:r>
      <w:r w:rsidRPr="00FE0BE7">
        <w:rPr>
          <w:rFonts w:ascii="Arial" w:hAnsi="Arial" w:cs="Arial"/>
          <w:sz w:val="24"/>
        </w:rPr>
        <w:t>clasificaciones de programas y fuentes de financiamiento (artículo 70 fracción III).</w:t>
      </w:r>
    </w:p>
    <w:p w:rsidR="00BC5008" w:rsidRDefault="00FE0BE7" w:rsidP="00FE0BE7">
      <w:pPr>
        <w:spacing w:after="0" w:line="360" w:lineRule="auto"/>
        <w:contextualSpacing/>
        <w:jc w:val="both"/>
        <w:rPr>
          <w:rFonts w:ascii="Arial" w:hAnsi="Arial" w:cs="Arial"/>
          <w:sz w:val="24"/>
        </w:rPr>
      </w:pPr>
      <w:r w:rsidRPr="00FE0BE7">
        <w:rPr>
          <w:rFonts w:ascii="Arial" w:hAnsi="Arial" w:cs="Arial"/>
          <w:sz w:val="24"/>
        </w:rPr>
        <w:t>f) Disponer de las matrices de conversión con las características señaladas en los</w:t>
      </w:r>
      <w:r w:rsidR="000130B3">
        <w:rPr>
          <w:rFonts w:ascii="Arial" w:hAnsi="Arial" w:cs="Arial"/>
          <w:sz w:val="24"/>
        </w:rPr>
        <w:t xml:space="preserve"> </w:t>
      </w:r>
      <w:r w:rsidRPr="00FE0BE7">
        <w:rPr>
          <w:rFonts w:ascii="Arial" w:hAnsi="Arial" w:cs="Arial"/>
          <w:sz w:val="24"/>
        </w:rPr>
        <w:t>artículos 40 y 41, (artículo cuarto transitorio del decreto por el que se expide l</w:t>
      </w:r>
      <w:r w:rsidR="00381EA2">
        <w:rPr>
          <w:rFonts w:ascii="Arial" w:hAnsi="Arial" w:cs="Arial"/>
          <w:sz w:val="24"/>
        </w:rPr>
        <w:t xml:space="preserve">a LGCG </w:t>
      </w:r>
      <w:r w:rsidRPr="00FE0BE7">
        <w:rPr>
          <w:rFonts w:ascii="Arial" w:hAnsi="Arial" w:cs="Arial"/>
          <w:sz w:val="24"/>
        </w:rPr>
        <w:t>publicado en el Diario Oficial de la Federación el 31 de diciembre de 2008).</w:t>
      </w:r>
    </w:p>
    <w:p w:rsidR="00FE0BE7" w:rsidRDefault="00FE0BE7" w:rsidP="00FE0BE7">
      <w:pPr>
        <w:spacing w:after="0" w:line="360" w:lineRule="auto"/>
        <w:contextualSpacing/>
        <w:jc w:val="both"/>
        <w:rPr>
          <w:rFonts w:ascii="Arial" w:hAnsi="Arial" w:cs="Arial"/>
          <w:sz w:val="24"/>
        </w:rPr>
      </w:pPr>
    </w:p>
    <w:p w:rsidR="00FE0BE7" w:rsidRPr="000130B3" w:rsidRDefault="00FE0BE7" w:rsidP="00FE0BE7">
      <w:pPr>
        <w:spacing w:after="0" w:line="360" w:lineRule="auto"/>
        <w:contextualSpacing/>
        <w:jc w:val="both"/>
        <w:rPr>
          <w:rFonts w:ascii="Arial" w:hAnsi="Arial" w:cs="Arial"/>
          <w:b/>
          <w:sz w:val="24"/>
        </w:rPr>
      </w:pPr>
      <w:r w:rsidRPr="000130B3">
        <w:rPr>
          <w:rFonts w:ascii="Arial" w:hAnsi="Arial" w:cs="Arial"/>
          <w:b/>
          <w:sz w:val="24"/>
        </w:rPr>
        <w:t>II. Registros presupuestarios</w:t>
      </w:r>
    </w:p>
    <w:p w:rsidR="00FE0BE7" w:rsidRPr="00FE0BE7" w:rsidRDefault="00FE0BE7" w:rsidP="00FE0BE7">
      <w:pPr>
        <w:spacing w:after="0" w:line="360" w:lineRule="auto"/>
        <w:contextualSpacing/>
        <w:jc w:val="both"/>
        <w:rPr>
          <w:rFonts w:ascii="Arial" w:hAnsi="Arial" w:cs="Arial"/>
          <w:sz w:val="24"/>
        </w:rPr>
      </w:pPr>
      <w:r w:rsidRPr="00FE0BE7">
        <w:rPr>
          <w:rFonts w:ascii="Arial" w:hAnsi="Arial" w:cs="Arial"/>
          <w:sz w:val="24"/>
        </w:rPr>
        <w:t>a) Realizar los registros en las etapas del presupuesto de egresos en aprobado,</w:t>
      </w:r>
      <w:r w:rsidR="000130B3">
        <w:rPr>
          <w:rFonts w:ascii="Arial" w:hAnsi="Arial" w:cs="Arial"/>
          <w:sz w:val="24"/>
        </w:rPr>
        <w:t xml:space="preserve"> </w:t>
      </w:r>
      <w:r w:rsidRPr="00FE0BE7">
        <w:rPr>
          <w:rFonts w:ascii="Arial" w:hAnsi="Arial" w:cs="Arial"/>
          <w:sz w:val="24"/>
        </w:rPr>
        <w:t xml:space="preserve">modificado, comprometido, devengado, ejercido y pagado y del </w:t>
      </w:r>
      <w:r w:rsidR="00381EA2">
        <w:rPr>
          <w:rFonts w:ascii="Arial" w:hAnsi="Arial" w:cs="Arial"/>
          <w:sz w:val="24"/>
        </w:rPr>
        <w:t xml:space="preserve">ingreso en estimado, </w:t>
      </w:r>
      <w:r w:rsidRPr="00FE0BE7">
        <w:rPr>
          <w:rFonts w:ascii="Arial" w:hAnsi="Arial" w:cs="Arial"/>
          <w:sz w:val="24"/>
        </w:rPr>
        <w:t xml:space="preserve">modificado, devengado y recaudado (artículo 38, </w:t>
      </w:r>
      <w:r w:rsidR="00381EA2">
        <w:rPr>
          <w:rFonts w:ascii="Arial" w:hAnsi="Arial" w:cs="Arial"/>
          <w:sz w:val="24"/>
        </w:rPr>
        <w:t xml:space="preserve">conforme a Normas y metodología </w:t>
      </w:r>
      <w:r w:rsidRPr="00FE0BE7">
        <w:rPr>
          <w:rFonts w:ascii="Arial" w:hAnsi="Arial" w:cs="Arial"/>
          <w:sz w:val="24"/>
        </w:rPr>
        <w:t>para la determinación de los momentos conta</w:t>
      </w:r>
      <w:r w:rsidR="00381EA2">
        <w:rPr>
          <w:rFonts w:ascii="Arial" w:hAnsi="Arial" w:cs="Arial"/>
          <w:sz w:val="24"/>
        </w:rPr>
        <w:t xml:space="preserve">bles de los ingresos y Normas y </w:t>
      </w:r>
      <w:r w:rsidRPr="00FE0BE7">
        <w:rPr>
          <w:rFonts w:ascii="Arial" w:hAnsi="Arial" w:cs="Arial"/>
          <w:sz w:val="24"/>
        </w:rPr>
        <w:t>metodología para la determinación de los momentos contables de los egresos).</w:t>
      </w:r>
    </w:p>
    <w:p w:rsidR="00FE0BE7" w:rsidRPr="00FE0BE7" w:rsidRDefault="00FE0BE7" w:rsidP="00FE0BE7">
      <w:pPr>
        <w:spacing w:after="0" w:line="360" w:lineRule="auto"/>
        <w:contextualSpacing/>
        <w:jc w:val="both"/>
        <w:rPr>
          <w:rFonts w:ascii="Arial" w:hAnsi="Arial" w:cs="Arial"/>
          <w:sz w:val="24"/>
        </w:rPr>
      </w:pPr>
      <w:r w:rsidRPr="00FE0BE7">
        <w:rPr>
          <w:rFonts w:ascii="Arial" w:hAnsi="Arial" w:cs="Arial"/>
          <w:sz w:val="24"/>
        </w:rPr>
        <w:lastRenderedPageBreak/>
        <w:t>b) Exhibir en los registros auxiliares los avances presup</w:t>
      </w:r>
      <w:r w:rsidR="00381EA2">
        <w:rPr>
          <w:rFonts w:ascii="Arial" w:hAnsi="Arial" w:cs="Arial"/>
          <w:sz w:val="24"/>
        </w:rPr>
        <w:t xml:space="preserve">uestarios y contables (artículo </w:t>
      </w:r>
      <w:r w:rsidRPr="00FE0BE7">
        <w:rPr>
          <w:rFonts w:ascii="Arial" w:hAnsi="Arial" w:cs="Arial"/>
          <w:sz w:val="24"/>
        </w:rPr>
        <w:t>36).</w:t>
      </w:r>
    </w:p>
    <w:p w:rsidR="00FE0BE7" w:rsidRPr="00FE0BE7" w:rsidRDefault="00FE0BE7" w:rsidP="00FE0BE7">
      <w:pPr>
        <w:spacing w:after="0" w:line="360" w:lineRule="auto"/>
        <w:contextualSpacing/>
        <w:jc w:val="both"/>
        <w:rPr>
          <w:rFonts w:ascii="Arial" w:hAnsi="Arial" w:cs="Arial"/>
          <w:sz w:val="24"/>
        </w:rPr>
      </w:pPr>
      <w:r w:rsidRPr="00FE0BE7">
        <w:rPr>
          <w:rFonts w:ascii="Arial" w:hAnsi="Arial" w:cs="Arial"/>
          <w:sz w:val="24"/>
        </w:rPr>
        <w:t>c) Generar registros automáticos y por únic</w:t>
      </w:r>
      <w:r w:rsidR="00381EA2">
        <w:rPr>
          <w:rFonts w:ascii="Arial" w:hAnsi="Arial" w:cs="Arial"/>
          <w:sz w:val="24"/>
        </w:rPr>
        <w:t xml:space="preserve">a vez en los momentos contables </w:t>
      </w:r>
      <w:r w:rsidRPr="00FE0BE7">
        <w:rPr>
          <w:rFonts w:ascii="Arial" w:hAnsi="Arial" w:cs="Arial"/>
          <w:sz w:val="24"/>
        </w:rPr>
        <w:t>correspondientes de los procesos administra</w:t>
      </w:r>
      <w:r w:rsidR="00381EA2">
        <w:rPr>
          <w:rFonts w:ascii="Arial" w:hAnsi="Arial" w:cs="Arial"/>
          <w:sz w:val="24"/>
        </w:rPr>
        <w:t xml:space="preserve">tivos de los Entes Públicos que </w:t>
      </w:r>
      <w:r w:rsidRPr="00FE0BE7">
        <w:rPr>
          <w:rFonts w:ascii="Arial" w:hAnsi="Arial" w:cs="Arial"/>
          <w:sz w:val="24"/>
        </w:rPr>
        <w:t xml:space="preserve">impliquen transacciones presupuestarias y contables </w:t>
      </w:r>
      <w:r w:rsidR="00381EA2">
        <w:rPr>
          <w:rFonts w:ascii="Arial" w:hAnsi="Arial" w:cs="Arial"/>
          <w:sz w:val="24"/>
        </w:rPr>
        <w:t xml:space="preserve">(artículos 16 y 40, conforme al </w:t>
      </w:r>
      <w:r w:rsidRPr="00FE0BE7">
        <w:rPr>
          <w:rFonts w:ascii="Arial" w:hAnsi="Arial" w:cs="Arial"/>
          <w:sz w:val="24"/>
        </w:rPr>
        <w:t>Acuerdo por el que se determina la norma de infor</w:t>
      </w:r>
      <w:r w:rsidR="00381EA2">
        <w:rPr>
          <w:rFonts w:ascii="Arial" w:hAnsi="Arial" w:cs="Arial"/>
          <w:sz w:val="24"/>
        </w:rPr>
        <w:t xml:space="preserve">mación financiera para precisar </w:t>
      </w:r>
      <w:r w:rsidRPr="00FE0BE7">
        <w:rPr>
          <w:rFonts w:ascii="Arial" w:hAnsi="Arial" w:cs="Arial"/>
          <w:sz w:val="24"/>
        </w:rPr>
        <w:t>los alcances del Acuerdo 1 aprobado por el C</w:t>
      </w:r>
      <w:r w:rsidR="00381EA2">
        <w:rPr>
          <w:rFonts w:ascii="Arial" w:hAnsi="Arial" w:cs="Arial"/>
          <w:sz w:val="24"/>
        </w:rPr>
        <w:t xml:space="preserve">onsejo Nacional de Armonización </w:t>
      </w:r>
      <w:r w:rsidRPr="00FE0BE7">
        <w:rPr>
          <w:rFonts w:ascii="Arial" w:hAnsi="Arial" w:cs="Arial"/>
          <w:sz w:val="24"/>
        </w:rPr>
        <w:t>Contable, en reunión del 3 de mayo de 2013 y publicado el 16 de mayo de 2013).</w:t>
      </w:r>
    </w:p>
    <w:p w:rsidR="00FE0BE7" w:rsidRPr="00FE0BE7" w:rsidRDefault="00FE0BE7" w:rsidP="00FE0BE7">
      <w:pPr>
        <w:spacing w:after="0" w:line="360" w:lineRule="auto"/>
        <w:contextualSpacing/>
        <w:jc w:val="both"/>
        <w:rPr>
          <w:rFonts w:ascii="Arial" w:hAnsi="Arial" w:cs="Arial"/>
          <w:sz w:val="24"/>
        </w:rPr>
      </w:pPr>
      <w:r w:rsidRPr="00FE0BE7">
        <w:rPr>
          <w:rFonts w:ascii="Arial" w:hAnsi="Arial" w:cs="Arial"/>
          <w:sz w:val="24"/>
        </w:rPr>
        <w:t>d) El sistema interrelaciona de manera automática los c</w:t>
      </w:r>
      <w:r w:rsidR="00381EA2">
        <w:rPr>
          <w:rFonts w:ascii="Arial" w:hAnsi="Arial" w:cs="Arial"/>
          <w:sz w:val="24"/>
        </w:rPr>
        <w:t xml:space="preserve">lasificadores presupuestarios y </w:t>
      </w:r>
      <w:r w:rsidRPr="00FE0BE7">
        <w:rPr>
          <w:rFonts w:ascii="Arial" w:hAnsi="Arial" w:cs="Arial"/>
          <w:sz w:val="24"/>
        </w:rPr>
        <w:t>lista de cuenta (artículos 19, fracción III y IV y 41, co</w:t>
      </w:r>
      <w:r w:rsidR="00381EA2">
        <w:rPr>
          <w:rFonts w:ascii="Arial" w:hAnsi="Arial" w:cs="Arial"/>
          <w:sz w:val="24"/>
        </w:rPr>
        <w:t xml:space="preserve">nforme al Acuerdo por el que se </w:t>
      </w:r>
      <w:r w:rsidRPr="00FE0BE7">
        <w:rPr>
          <w:rFonts w:ascii="Arial" w:hAnsi="Arial" w:cs="Arial"/>
          <w:sz w:val="24"/>
        </w:rPr>
        <w:t>determina la norma de información financiera para pr</w:t>
      </w:r>
      <w:r w:rsidR="00381EA2">
        <w:rPr>
          <w:rFonts w:ascii="Arial" w:hAnsi="Arial" w:cs="Arial"/>
          <w:sz w:val="24"/>
        </w:rPr>
        <w:t>ecisar los alcances del Acuerdo</w:t>
      </w:r>
      <w:r w:rsidRPr="00FE0BE7">
        <w:rPr>
          <w:rFonts w:ascii="Arial" w:hAnsi="Arial" w:cs="Arial"/>
          <w:sz w:val="24"/>
        </w:rPr>
        <w:t>1 aprobado por el Consejo Nacional de Armonizació</w:t>
      </w:r>
      <w:r w:rsidR="00381EA2">
        <w:rPr>
          <w:rFonts w:ascii="Arial" w:hAnsi="Arial" w:cs="Arial"/>
          <w:sz w:val="24"/>
        </w:rPr>
        <w:t xml:space="preserve">n Contable, en reunión del 3 de </w:t>
      </w:r>
      <w:r w:rsidRPr="00FE0BE7">
        <w:rPr>
          <w:rFonts w:ascii="Arial" w:hAnsi="Arial" w:cs="Arial"/>
          <w:sz w:val="24"/>
        </w:rPr>
        <w:t>mayo de 2013 y publicado el 16 de mayo de 2013).</w:t>
      </w:r>
    </w:p>
    <w:p w:rsidR="00FE0BE7" w:rsidRDefault="00FE0BE7" w:rsidP="00FE0BE7">
      <w:pPr>
        <w:spacing w:after="0" w:line="360" w:lineRule="auto"/>
        <w:contextualSpacing/>
        <w:jc w:val="both"/>
        <w:rPr>
          <w:rFonts w:ascii="Arial" w:hAnsi="Arial" w:cs="Arial"/>
          <w:sz w:val="24"/>
        </w:rPr>
      </w:pPr>
      <w:r w:rsidRPr="00FE0BE7">
        <w:rPr>
          <w:rFonts w:ascii="Arial" w:hAnsi="Arial" w:cs="Arial"/>
          <w:sz w:val="24"/>
        </w:rPr>
        <w:t>e) Generar estados financieros en tiempo real (artículo 19, fracción V, V</w:t>
      </w:r>
      <w:r w:rsidR="00381EA2">
        <w:rPr>
          <w:rFonts w:ascii="Arial" w:hAnsi="Arial" w:cs="Arial"/>
          <w:sz w:val="24"/>
        </w:rPr>
        <w:t xml:space="preserve">I y Sexto </w:t>
      </w:r>
      <w:r w:rsidRPr="00FE0BE7">
        <w:rPr>
          <w:rFonts w:ascii="Arial" w:hAnsi="Arial" w:cs="Arial"/>
          <w:sz w:val="24"/>
        </w:rPr>
        <w:t>transitorio, conforme al Acuerdo por el que se de</w:t>
      </w:r>
      <w:r w:rsidR="00381EA2">
        <w:rPr>
          <w:rFonts w:ascii="Arial" w:hAnsi="Arial" w:cs="Arial"/>
          <w:sz w:val="24"/>
        </w:rPr>
        <w:t xml:space="preserve">termina la norma de información </w:t>
      </w:r>
      <w:r w:rsidRPr="00FE0BE7">
        <w:rPr>
          <w:rFonts w:ascii="Arial" w:hAnsi="Arial" w:cs="Arial"/>
          <w:sz w:val="24"/>
        </w:rPr>
        <w:t>financiera para precisar los alcances del Ac</w:t>
      </w:r>
      <w:r w:rsidR="00381EA2">
        <w:rPr>
          <w:rFonts w:ascii="Arial" w:hAnsi="Arial" w:cs="Arial"/>
          <w:sz w:val="24"/>
        </w:rPr>
        <w:t xml:space="preserve">uerdo 1 aprobado por el Consejo </w:t>
      </w:r>
      <w:r w:rsidRPr="00FE0BE7">
        <w:rPr>
          <w:rFonts w:ascii="Arial" w:hAnsi="Arial" w:cs="Arial"/>
          <w:sz w:val="24"/>
        </w:rPr>
        <w:t>Nacional de Armonización Contable, en reunión de</w:t>
      </w:r>
      <w:r w:rsidR="00381EA2">
        <w:rPr>
          <w:rFonts w:ascii="Arial" w:hAnsi="Arial" w:cs="Arial"/>
          <w:sz w:val="24"/>
        </w:rPr>
        <w:t xml:space="preserve">l 3 de mayo de 2013 y publicado </w:t>
      </w:r>
      <w:r w:rsidRPr="00FE0BE7">
        <w:rPr>
          <w:rFonts w:ascii="Arial" w:hAnsi="Arial" w:cs="Arial"/>
          <w:sz w:val="24"/>
        </w:rPr>
        <w:t>el 16 de mayo de 2013).</w:t>
      </w:r>
    </w:p>
    <w:p w:rsidR="00381EA2" w:rsidRPr="00FE0BE7" w:rsidRDefault="00381EA2" w:rsidP="00FE0BE7">
      <w:pPr>
        <w:spacing w:after="0" w:line="360" w:lineRule="auto"/>
        <w:contextualSpacing/>
        <w:jc w:val="both"/>
        <w:rPr>
          <w:rFonts w:ascii="Arial" w:hAnsi="Arial" w:cs="Arial"/>
          <w:sz w:val="24"/>
        </w:rPr>
      </w:pPr>
    </w:p>
    <w:p w:rsidR="00FE0BE7" w:rsidRPr="00381EA2" w:rsidRDefault="00FE0BE7" w:rsidP="00FE0BE7">
      <w:pPr>
        <w:spacing w:after="0" w:line="360" w:lineRule="auto"/>
        <w:contextualSpacing/>
        <w:jc w:val="both"/>
        <w:rPr>
          <w:rFonts w:ascii="Arial" w:hAnsi="Arial" w:cs="Arial"/>
          <w:b/>
          <w:sz w:val="24"/>
        </w:rPr>
      </w:pPr>
      <w:r w:rsidRPr="00381EA2">
        <w:rPr>
          <w:rFonts w:ascii="Arial" w:hAnsi="Arial" w:cs="Arial"/>
          <w:b/>
          <w:sz w:val="24"/>
        </w:rPr>
        <w:t>III. Registros administrativos</w:t>
      </w:r>
    </w:p>
    <w:p w:rsidR="00FE0BE7" w:rsidRPr="00FE0BE7" w:rsidRDefault="00FE0BE7" w:rsidP="00FE0BE7">
      <w:pPr>
        <w:spacing w:after="0" w:line="360" w:lineRule="auto"/>
        <w:contextualSpacing/>
        <w:jc w:val="both"/>
        <w:rPr>
          <w:rFonts w:ascii="Arial" w:hAnsi="Arial" w:cs="Arial"/>
          <w:sz w:val="24"/>
        </w:rPr>
      </w:pPr>
      <w:r w:rsidRPr="00FE0BE7">
        <w:rPr>
          <w:rFonts w:ascii="Arial" w:hAnsi="Arial" w:cs="Arial"/>
          <w:sz w:val="24"/>
        </w:rPr>
        <w:t xml:space="preserve">a) Respaldar la contabilización de las operaciones </w:t>
      </w:r>
      <w:r w:rsidR="00381EA2">
        <w:rPr>
          <w:rFonts w:ascii="Arial" w:hAnsi="Arial" w:cs="Arial"/>
          <w:sz w:val="24"/>
        </w:rPr>
        <w:t xml:space="preserve">presupuestarias y contables con </w:t>
      </w:r>
      <w:r w:rsidRPr="00FE0BE7">
        <w:rPr>
          <w:rFonts w:ascii="Arial" w:hAnsi="Arial" w:cs="Arial"/>
          <w:sz w:val="24"/>
        </w:rPr>
        <w:t>la documentación original que compruebe y justifiqu</w:t>
      </w:r>
      <w:r w:rsidR="006A2F96">
        <w:rPr>
          <w:rFonts w:ascii="Arial" w:hAnsi="Arial" w:cs="Arial"/>
          <w:sz w:val="24"/>
        </w:rPr>
        <w:t xml:space="preserve">e los registros que se efectúen </w:t>
      </w:r>
      <w:r w:rsidRPr="00FE0BE7">
        <w:rPr>
          <w:rFonts w:ascii="Arial" w:hAnsi="Arial" w:cs="Arial"/>
          <w:sz w:val="24"/>
        </w:rPr>
        <w:t>(artículo 42).</w:t>
      </w:r>
    </w:p>
    <w:p w:rsidR="00FE0BE7" w:rsidRPr="00FE0BE7" w:rsidRDefault="00FE0BE7" w:rsidP="00FE0BE7">
      <w:pPr>
        <w:spacing w:after="0" w:line="360" w:lineRule="auto"/>
        <w:contextualSpacing/>
        <w:jc w:val="both"/>
        <w:rPr>
          <w:rFonts w:ascii="Arial" w:hAnsi="Arial" w:cs="Arial"/>
          <w:sz w:val="24"/>
        </w:rPr>
      </w:pPr>
      <w:r w:rsidRPr="00FE0BE7">
        <w:rPr>
          <w:rFonts w:ascii="Arial" w:hAnsi="Arial" w:cs="Arial"/>
          <w:sz w:val="24"/>
        </w:rPr>
        <w:lastRenderedPageBreak/>
        <w:t>b) Realizar los pagos directamente en forma electr</w:t>
      </w:r>
      <w:r w:rsidR="006A2F96">
        <w:rPr>
          <w:rFonts w:ascii="Arial" w:hAnsi="Arial" w:cs="Arial"/>
          <w:sz w:val="24"/>
        </w:rPr>
        <w:t xml:space="preserve">ónica, mediante abono en cuenta </w:t>
      </w:r>
      <w:r w:rsidRPr="00FE0BE7">
        <w:rPr>
          <w:rFonts w:ascii="Arial" w:hAnsi="Arial" w:cs="Arial"/>
          <w:sz w:val="24"/>
        </w:rPr>
        <w:t>del beneficiario (artículo 67, párrafo segundo).</w:t>
      </w:r>
    </w:p>
    <w:p w:rsidR="00FE0BE7" w:rsidRDefault="00FE0BE7" w:rsidP="00FE0BE7">
      <w:pPr>
        <w:spacing w:after="0" w:line="360" w:lineRule="auto"/>
        <w:contextualSpacing/>
        <w:jc w:val="both"/>
        <w:rPr>
          <w:rFonts w:ascii="Arial" w:hAnsi="Arial" w:cs="Arial"/>
          <w:sz w:val="24"/>
        </w:rPr>
      </w:pPr>
      <w:r w:rsidRPr="00FE0BE7">
        <w:rPr>
          <w:rFonts w:ascii="Arial" w:hAnsi="Arial" w:cs="Arial"/>
          <w:sz w:val="24"/>
        </w:rPr>
        <w:t xml:space="preserve">c) Mantener registros específicos de cada fondo, </w:t>
      </w:r>
      <w:r w:rsidR="006A2F96">
        <w:rPr>
          <w:rFonts w:ascii="Arial" w:hAnsi="Arial" w:cs="Arial"/>
          <w:sz w:val="24"/>
        </w:rPr>
        <w:t xml:space="preserve">programa o convenio debidamente </w:t>
      </w:r>
      <w:r w:rsidRPr="00FE0BE7">
        <w:rPr>
          <w:rFonts w:ascii="Arial" w:hAnsi="Arial" w:cs="Arial"/>
          <w:sz w:val="24"/>
        </w:rPr>
        <w:t>actualizados, identificados y controlados, así como la documentación orig</w:t>
      </w:r>
      <w:r w:rsidR="006A2F96">
        <w:rPr>
          <w:rFonts w:ascii="Arial" w:hAnsi="Arial" w:cs="Arial"/>
          <w:sz w:val="24"/>
        </w:rPr>
        <w:t xml:space="preserve">inal que </w:t>
      </w:r>
      <w:r w:rsidRPr="00FE0BE7">
        <w:rPr>
          <w:rFonts w:ascii="Arial" w:hAnsi="Arial" w:cs="Arial"/>
          <w:sz w:val="24"/>
        </w:rPr>
        <w:t>justifique y compruebe el gasto incurrido (artículo 70 fracción I).</w:t>
      </w:r>
    </w:p>
    <w:p w:rsidR="00FE0BE7" w:rsidRPr="00FE0BE7" w:rsidRDefault="00FE0BE7" w:rsidP="00FE0BE7">
      <w:pPr>
        <w:spacing w:after="0" w:line="360" w:lineRule="auto"/>
        <w:contextualSpacing/>
        <w:jc w:val="both"/>
        <w:rPr>
          <w:rFonts w:ascii="Arial" w:hAnsi="Arial" w:cs="Arial"/>
          <w:sz w:val="24"/>
        </w:rPr>
      </w:pPr>
      <w:r w:rsidRPr="00FE0BE7">
        <w:rPr>
          <w:rFonts w:ascii="Arial" w:hAnsi="Arial" w:cs="Arial"/>
          <w:sz w:val="24"/>
        </w:rPr>
        <w:t>d) Cancelar la documentación comprobatoria del eg</w:t>
      </w:r>
      <w:r w:rsidR="006A2F96">
        <w:rPr>
          <w:rFonts w:ascii="Arial" w:hAnsi="Arial" w:cs="Arial"/>
          <w:sz w:val="24"/>
        </w:rPr>
        <w:t xml:space="preserve">reso con la leyenda "Operado" o </w:t>
      </w:r>
      <w:r w:rsidRPr="00FE0BE7">
        <w:rPr>
          <w:rFonts w:ascii="Arial" w:hAnsi="Arial" w:cs="Arial"/>
          <w:sz w:val="24"/>
        </w:rPr>
        <w:t>como se establezca en las disposiciones locales, id</w:t>
      </w:r>
      <w:r w:rsidR="006A2F96">
        <w:rPr>
          <w:rFonts w:ascii="Arial" w:hAnsi="Arial" w:cs="Arial"/>
          <w:sz w:val="24"/>
        </w:rPr>
        <w:t xml:space="preserve">entificándose con el nombre del </w:t>
      </w:r>
      <w:r w:rsidRPr="00FE0BE7">
        <w:rPr>
          <w:rFonts w:ascii="Arial" w:hAnsi="Arial" w:cs="Arial"/>
          <w:sz w:val="24"/>
        </w:rPr>
        <w:t>fondo de aportaciones, programa o convenio respectivo (artículo 70 fracción II).</w:t>
      </w:r>
    </w:p>
    <w:p w:rsidR="00FE0BE7" w:rsidRPr="00FE0BE7" w:rsidRDefault="00FE0BE7" w:rsidP="00FE0BE7">
      <w:pPr>
        <w:spacing w:after="0" w:line="360" w:lineRule="auto"/>
        <w:contextualSpacing/>
        <w:jc w:val="both"/>
        <w:rPr>
          <w:rFonts w:ascii="Arial" w:hAnsi="Arial" w:cs="Arial"/>
          <w:sz w:val="24"/>
        </w:rPr>
      </w:pPr>
      <w:r w:rsidRPr="00FE0BE7">
        <w:rPr>
          <w:rFonts w:ascii="Arial" w:hAnsi="Arial" w:cs="Arial"/>
          <w:sz w:val="24"/>
        </w:rPr>
        <w:t>e) Informar de forma pormenorizada el avance físico de las obras y acciones</w:t>
      </w:r>
      <w:r w:rsidR="006A2F96">
        <w:rPr>
          <w:rFonts w:ascii="Arial" w:hAnsi="Arial" w:cs="Arial"/>
          <w:sz w:val="24"/>
        </w:rPr>
        <w:t xml:space="preserve"> </w:t>
      </w:r>
      <w:r w:rsidRPr="00FE0BE7">
        <w:rPr>
          <w:rFonts w:ascii="Arial" w:hAnsi="Arial" w:cs="Arial"/>
          <w:sz w:val="24"/>
        </w:rPr>
        <w:t>respectivas y, en su caso, la diferencia entre el mon</w:t>
      </w:r>
      <w:r w:rsidR="006A2F96">
        <w:rPr>
          <w:rFonts w:ascii="Arial" w:hAnsi="Arial" w:cs="Arial"/>
          <w:sz w:val="24"/>
        </w:rPr>
        <w:t xml:space="preserve">to de los recursos transferidos </w:t>
      </w:r>
      <w:r w:rsidRPr="00FE0BE7">
        <w:rPr>
          <w:rFonts w:ascii="Arial" w:hAnsi="Arial" w:cs="Arial"/>
          <w:sz w:val="24"/>
        </w:rPr>
        <w:t>y aquéllos erogados, así como las evaluaciones real</w:t>
      </w:r>
      <w:r w:rsidR="006A2F96">
        <w:rPr>
          <w:rFonts w:ascii="Arial" w:hAnsi="Arial" w:cs="Arial"/>
          <w:sz w:val="24"/>
        </w:rPr>
        <w:t xml:space="preserve">izadas (artículo 71, conforme a </w:t>
      </w:r>
      <w:r w:rsidRPr="00FE0BE7">
        <w:rPr>
          <w:rFonts w:ascii="Arial" w:hAnsi="Arial" w:cs="Arial"/>
          <w:sz w:val="24"/>
        </w:rPr>
        <w:t>los Lineamientos sobre los indicadores para medir lo</w:t>
      </w:r>
      <w:r w:rsidR="006A2F96">
        <w:rPr>
          <w:rFonts w:ascii="Arial" w:hAnsi="Arial" w:cs="Arial"/>
          <w:sz w:val="24"/>
        </w:rPr>
        <w:t xml:space="preserve">s avances físicos y financieros </w:t>
      </w:r>
      <w:r w:rsidRPr="00FE0BE7">
        <w:rPr>
          <w:rFonts w:ascii="Arial" w:hAnsi="Arial" w:cs="Arial"/>
          <w:sz w:val="24"/>
        </w:rPr>
        <w:t>relacionados con los recursos públicos federales).</w:t>
      </w:r>
    </w:p>
    <w:p w:rsidR="00FE0BE7" w:rsidRPr="00FE0BE7" w:rsidRDefault="00FE0BE7" w:rsidP="00FE0BE7">
      <w:pPr>
        <w:spacing w:after="0" w:line="360" w:lineRule="auto"/>
        <w:contextualSpacing/>
        <w:jc w:val="both"/>
        <w:rPr>
          <w:rFonts w:ascii="Arial" w:hAnsi="Arial" w:cs="Arial"/>
          <w:sz w:val="24"/>
        </w:rPr>
      </w:pPr>
      <w:r w:rsidRPr="00FE0BE7">
        <w:rPr>
          <w:rFonts w:ascii="Arial" w:hAnsi="Arial" w:cs="Arial"/>
          <w:sz w:val="24"/>
        </w:rPr>
        <w:t xml:space="preserve">f) Remitir a la Secretaría de Hacienda y Crédito Público a través </w:t>
      </w:r>
      <w:r w:rsidR="006A2F96">
        <w:rPr>
          <w:rFonts w:ascii="Arial" w:hAnsi="Arial" w:cs="Arial"/>
          <w:sz w:val="24"/>
        </w:rPr>
        <w:t xml:space="preserve">del sistema de </w:t>
      </w:r>
      <w:r w:rsidRPr="00FE0BE7">
        <w:rPr>
          <w:rFonts w:ascii="Arial" w:hAnsi="Arial" w:cs="Arial"/>
          <w:sz w:val="24"/>
        </w:rPr>
        <w:t>información la relativa al grado de avance en el ejer</w:t>
      </w:r>
      <w:r w:rsidR="006A2F96">
        <w:rPr>
          <w:rFonts w:ascii="Arial" w:hAnsi="Arial" w:cs="Arial"/>
          <w:sz w:val="24"/>
        </w:rPr>
        <w:t xml:space="preserve">cicio y destino de los recursos </w:t>
      </w:r>
      <w:r w:rsidRPr="00FE0BE7">
        <w:rPr>
          <w:rFonts w:ascii="Arial" w:hAnsi="Arial" w:cs="Arial"/>
          <w:sz w:val="24"/>
        </w:rPr>
        <w:t>federales transferidos, de los recursos aplicados conf</w:t>
      </w:r>
      <w:r w:rsidR="006A2F96">
        <w:rPr>
          <w:rFonts w:ascii="Arial" w:hAnsi="Arial" w:cs="Arial"/>
          <w:sz w:val="24"/>
        </w:rPr>
        <w:t xml:space="preserve">orme a reglas de operación y de </w:t>
      </w:r>
      <w:r w:rsidRPr="00FE0BE7">
        <w:rPr>
          <w:rFonts w:ascii="Arial" w:hAnsi="Arial" w:cs="Arial"/>
          <w:sz w:val="24"/>
        </w:rPr>
        <w:t>los proyectos, metas y resultados obtenidos con los recursos aplicados</w:t>
      </w:r>
      <w:r w:rsidR="006A2F96">
        <w:rPr>
          <w:rFonts w:ascii="Arial" w:hAnsi="Arial" w:cs="Arial"/>
          <w:sz w:val="24"/>
        </w:rPr>
        <w:t xml:space="preserve"> (artículo 72, </w:t>
      </w:r>
      <w:r w:rsidRPr="00FE0BE7">
        <w:rPr>
          <w:rFonts w:ascii="Arial" w:hAnsi="Arial" w:cs="Arial"/>
          <w:sz w:val="24"/>
        </w:rPr>
        <w:t>en relación al 85 de la Ley Federal de Presupuesto y Responsabilidad Hacendaria).</w:t>
      </w:r>
    </w:p>
    <w:p w:rsidR="00FE0BE7" w:rsidRDefault="00FE0BE7" w:rsidP="00FE0BE7">
      <w:pPr>
        <w:spacing w:after="0" w:line="360" w:lineRule="auto"/>
        <w:contextualSpacing/>
        <w:jc w:val="both"/>
        <w:rPr>
          <w:rFonts w:ascii="Arial" w:hAnsi="Arial" w:cs="Arial"/>
          <w:sz w:val="24"/>
        </w:rPr>
      </w:pPr>
      <w:r w:rsidRPr="00FE0BE7">
        <w:rPr>
          <w:rFonts w:ascii="Arial" w:hAnsi="Arial" w:cs="Arial"/>
          <w:sz w:val="24"/>
        </w:rPr>
        <w:t xml:space="preserve">g) Contar con indicadores para medir los avances </w:t>
      </w:r>
      <w:r w:rsidR="006A2F96">
        <w:rPr>
          <w:rFonts w:ascii="Arial" w:hAnsi="Arial" w:cs="Arial"/>
          <w:sz w:val="24"/>
        </w:rPr>
        <w:t xml:space="preserve">físico-financieros relacionados </w:t>
      </w:r>
      <w:r w:rsidRPr="00FE0BE7">
        <w:rPr>
          <w:rFonts w:ascii="Arial" w:hAnsi="Arial" w:cs="Arial"/>
          <w:sz w:val="24"/>
        </w:rPr>
        <w:t>con los recursos federales (cuarto transitorio del decreto por el que se expid</w:t>
      </w:r>
      <w:r w:rsidR="006A2F96">
        <w:rPr>
          <w:rFonts w:ascii="Arial" w:hAnsi="Arial" w:cs="Arial"/>
          <w:sz w:val="24"/>
        </w:rPr>
        <w:t xml:space="preserve">e la </w:t>
      </w:r>
      <w:r w:rsidRPr="00FE0BE7">
        <w:rPr>
          <w:rFonts w:ascii="Arial" w:hAnsi="Arial" w:cs="Arial"/>
          <w:sz w:val="24"/>
        </w:rPr>
        <w:t>LGCG publicado en el Diario Oficial de la Federac</w:t>
      </w:r>
      <w:r w:rsidR="006A2F96">
        <w:rPr>
          <w:rFonts w:ascii="Arial" w:hAnsi="Arial" w:cs="Arial"/>
          <w:sz w:val="24"/>
        </w:rPr>
        <w:t xml:space="preserve">ión el 31 </w:t>
      </w:r>
      <w:r w:rsidR="006A2F96">
        <w:rPr>
          <w:rFonts w:ascii="Arial" w:hAnsi="Arial" w:cs="Arial"/>
          <w:sz w:val="24"/>
        </w:rPr>
        <w:lastRenderedPageBreak/>
        <w:t xml:space="preserve">de diciembre de 2008, </w:t>
      </w:r>
      <w:r w:rsidRPr="00FE0BE7">
        <w:rPr>
          <w:rFonts w:ascii="Arial" w:hAnsi="Arial" w:cs="Arial"/>
          <w:sz w:val="24"/>
        </w:rPr>
        <w:t>conforme a los Lineamientos sobre los Indicadores p</w:t>
      </w:r>
      <w:r w:rsidR="006A2F96">
        <w:rPr>
          <w:rFonts w:ascii="Arial" w:hAnsi="Arial" w:cs="Arial"/>
          <w:sz w:val="24"/>
        </w:rPr>
        <w:t xml:space="preserve">ara medir los avances físicos y </w:t>
      </w:r>
      <w:r w:rsidRPr="00FE0BE7">
        <w:rPr>
          <w:rFonts w:ascii="Arial" w:hAnsi="Arial" w:cs="Arial"/>
          <w:sz w:val="24"/>
        </w:rPr>
        <w:t>financieros relacionados con los recursos públicos fe</w:t>
      </w:r>
      <w:r w:rsidR="006A2F96">
        <w:rPr>
          <w:rFonts w:ascii="Arial" w:hAnsi="Arial" w:cs="Arial"/>
          <w:sz w:val="24"/>
        </w:rPr>
        <w:t xml:space="preserve">derales y los Lineamientos para </w:t>
      </w:r>
      <w:r w:rsidRPr="00FE0BE7">
        <w:rPr>
          <w:rFonts w:ascii="Arial" w:hAnsi="Arial" w:cs="Arial"/>
          <w:sz w:val="24"/>
        </w:rPr>
        <w:t>la construcción y diseño de indicadores de desem</w:t>
      </w:r>
      <w:r w:rsidR="006A2F96">
        <w:rPr>
          <w:rFonts w:ascii="Arial" w:hAnsi="Arial" w:cs="Arial"/>
          <w:sz w:val="24"/>
        </w:rPr>
        <w:t xml:space="preserve">peño mediante la metodología de </w:t>
      </w:r>
      <w:r w:rsidRPr="00FE0BE7">
        <w:rPr>
          <w:rFonts w:ascii="Arial" w:hAnsi="Arial" w:cs="Arial"/>
          <w:sz w:val="24"/>
        </w:rPr>
        <w:t>marco lógico).</w:t>
      </w:r>
    </w:p>
    <w:p w:rsidR="006A2F96" w:rsidRPr="00FE0BE7" w:rsidRDefault="006A2F96" w:rsidP="00FE0BE7">
      <w:pPr>
        <w:spacing w:after="0" w:line="360" w:lineRule="auto"/>
        <w:contextualSpacing/>
        <w:jc w:val="both"/>
        <w:rPr>
          <w:rFonts w:ascii="Arial" w:hAnsi="Arial" w:cs="Arial"/>
          <w:sz w:val="24"/>
        </w:rPr>
      </w:pPr>
    </w:p>
    <w:p w:rsidR="00FE0BE7" w:rsidRPr="006A2F96" w:rsidRDefault="00FE0BE7" w:rsidP="00FE0BE7">
      <w:pPr>
        <w:spacing w:after="0" w:line="360" w:lineRule="auto"/>
        <w:contextualSpacing/>
        <w:jc w:val="both"/>
        <w:rPr>
          <w:rFonts w:ascii="Arial" w:hAnsi="Arial" w:cs="Arial"/>
          <w:b/>
          <w:sz w:val="24"/>
        </w:rPr>
      </w:pPr>
      <w:r w:rsidRPr="006A2F96">
        <w:rPr>
          <w:rFonts w:ascii="Arial" w:hAnsi="Arial" w:cs="Arial"/>
          <w:b/>
          <w:sz w:val="24"/>
        </w:rPr>
        <w:t>IV. Cuenta pública</w:t>
      </w:r>
    </w:p>
    <w:p w:rsidR="00FE0BE7" w:rsidRPr="00FE0BE7" w:rsidRDefault="00FE0BE7" w:rsidP="00FE0BE7">
      <w:pPr>
        <w:spacing w:after="0" w:line="360" w:lineRule="auto"/>
        <w:contextualSpacing/>
        <w:jc w:val="both"/>
        <w:rPr>
          <w:rFonts w:ascii="Arial" w:hAnsi="Arial" w:cs="Arial"/>
          <w:sz w:val="24"/>
        </w:rPr>
      </w:pPr>
      <w:r w:rsidRPr="00FE0BE7">
        <w:rPr>
          <w:rFonts w:ascii="Arial" w:hAnsi="Arial" w:cs="Arial"/>
          <w:sz w:val="24"/>
        </w:rPr>
        <w:t xml:space="preserve">Generar cuenta pública conforme a los artículos 52 y 53 </w:t>
      </w:r>
      <w:r w:rsidR="006A2F96">
        <w:rPr>
          <w:rFonts w:ascii="Arial" w:hAnsi="Arial" w:cs="Arial"/>
          <w:sz w:val="24"/>
        </w:rPr>
        <w:t xml:space="preserve">con relación a los artículos 46 </w:t>
      </w:r>
      <w:r w:rsidRPr="00FE0BE7">
        <w:rPr>
          <w:rFonts w:ascii="Arial" w:hAnsi="Arial" w:cs="Arial"/>
          <w:sz w:val="24"/>
        </w:rPr>
        <w:t>y 47, así como al acuerdo por el que se armoniza la estr</w:t>
      </w:r>
      <w:r w:rsidR="006A2F96">
        <w:rPr>
          <w:rFonts w:ascii="Arial" w:hAnsi="Arial" w:cs="Arial"/>
          <w:sz w:val="24"/>
        </w:rPr>
        <w:t xml:space="preserve">uctura de las cuentas públicas, </w:t>
      </w:r>
      <w:r w:rsidRPr="00FE0BE7">
        <w:rPr>
          <w:rFonts w:ascii="Arial" w:hAnsi="Arial" w:cs="Arial"/>
          <w:sz w:val="24"/>
        </w:rPr>
        <w:t>las Normas y metodología para la emisión de información</w:t>
      </w:r>
      <w:r w:rsidR="006A2F96">
        <w:rPr>
          <w:rFonts w:ascii="Arial" w:hAnsi="Arial" w:cs="Arial"/>
          <w:sz w:val="24"/>
        </w:rPr>
        <w:t xml:space="preserve"> financiera y estructura de los </w:t>
      </w:r>
      <w:r w:rsidRPr="00FE0BE7">
        <w:rPr>
          <w:rFonts w:ascii="Arial" w:hAnsi="Arial" w:cs="Arial"/>
          <w:sz w:val="24"/>
        </w:rPr>
        <w:t>estados financieros básicos del ente público y característi</w:t>
      </w:r>
      <w:r w:rsidR="006A2F96">
        <w:rPr>
          <w:rFonts w:ascii="Arial" w:hAnsi="Arial" w:cs="Arial"/>
          <w:sz w:val="24"/>
        </w:rPr>
        <w:t xml:space="preserve">cas de sus notas y el Manual de contabilidad </w:t>
      </w:r>
      <w:r w:rsidRPr="00FE0BE7">
        <w:rPr>
          <w:rFonts w:ascii="Arial" w:hAnsi="Arial" w:cs="Arial"/>
          <w:sz w:val="24"/>
        </w:rPr>
        <w:t>gubernamental, la cual debe contener:</w:t>
      </w:r>
    </w:p>
    <w:p w:rsidR="006A2F96" w:rsidRDefault="006A2F96" w:rsidP="00FE0BE7">
      <w:pPr>
        <w:spacing w:after="0" w:line="360" w:lineRule="auto"/>
        <w:contextualSpacing/>
        <w:jc w:val="both"/>
        <w:rPr>
          <w:rFonts w:ascii="Arial" w:hAnsi="Arial" w:cs="Arial"/>
          <w:sz w:val="24"/>
        </w:rPr>
      </w:pPr>
    </w:p>
    <w:p w:rsidR="00FE0BE7" w:rsidRPr="00FE0BE7" w:rsidRDefault="00FE0BE7" w:rsidP="00FE0BE7">
      <w:pPr>
        <w:spacing w:after="0" w:line="360" w:lineRule="auto"/>
        <w:contextualSpacing/>
        <w:jc w:val="both"/>
        <w:rPr>
          <w:rFonts w:ascii="Arial" w:hAnsi="Arial" w:cs="Arial"/>
          <w:sz w:val="24"/>
        </w:rPr>
      </w:pPr>
      <w:r w:rsidRPr="00FE0BE7">
        <w:rPr>
          <w:rFonts w:ascii="Arial" w:hAnsi="Arial" w:cs="Arial"/>
          <w:sz w:val="24"/>
        </w:rPr>
        <w:t>a) Información presupuestaria</w:t>
      </w:r>
    </w:p>
    <w:p w:rsidR="00FE0BE7" w:rsidRPr="00FE0BE7" w:rsidRDefault="00FE0BE7" w:rsidP="006A2F96">
      <w:pPr>
        <w:spacing w:after="0" w:line="360" w:lineRule="auto"/>
        <w:ind w:firstLine="708"/>
        <w:contextualSpacing/>
        <w:jc w:val="both"/>
        <w:rPr>
          <w:rFonts w:ascii="Arial" w:hAnsi="Arial" w:cs="Arial"/>
          <w:sz w:val="24"/>
        </w:rPr>
      </w:pPr>
      <w:r w:rsidRPr="00FE0BE7">
        <w:rPr>
          <w:rFonts w:ascii="Arial" w:hAnsi="Arial" w:cs="Arial"/>
          <w:sz w:val="24"/>
        </w:rPr>
        <w:t>a.1. Estado analítico de ingresos del que se derivará la presentación en clasificación</w:t>
      </w:r>
      <w:r w:rsidR="006A2F96">
        <w:rPr>
          <w:rFonts w:ascii="Arial" w:hAnsi="Arial" w:cs="Arial"/>
          <w:sz w:val="24"/>
        </w:rPr>
        <w:t xml:space="preserve"> </w:t>
      </w:r>
      <w:r w:rsidRPr="00FE0BE7">
        <w:rPr>
          <w:rFonts w:ascii="Arial" w:hAnsi="Arial" w:cs="Arial"/>
          <w:sz w:val="24"/>
        </w:rPr>
        <w:t>económica por fuente de financiamiento y concepto, inc</w:t>
      </w:r>
      <w:r w:rsidR="006A2F96">
        <w:rPr>
          <w:rFonts w:ascii="Arial" w:hAnsi="Arial" w:cs="Arial"/>
          <w:sz w:val="24"/>
        </w:rPr>
        <w:t xml:space="preserve">luyendo los ingresos excedentes </w:t>
      </w:r>
      <w:r w:rsidRPr="00FE0BE7">
        <w:rPr>
          <w:rFonts w:ascii="Arial" w:hAnsi="Arial" w:cs="Arial"/>
          <w:sz w:val="24"/>
        </w:rPr>
        <w:t>generados.</w:t>
      </w:r>
    </w:p>
    <w:p w:rsidR="00FE0BE7" w:rsidRDefault="00FE0BE7" w:rsidP="006A2F96">
      <w:pPr>
        <w:spacing w:after="0" w:line="360" w:lineRule="auto"/>
        <w:ind w:firstLine="708"/>
        <w:contextualSpacing/>
        <w:jc w:val="both"/>
        <w:rPr>
          <w:rFonts w:ascii="Arial" w:hAnsi="Arial" w:cs="Arial"/>
          <w:sz w:val="24"/>
        </w:rPr>
      </w:pPr>
      <w:r w:rsidRPr="00FE0BE7">
        <w:rPr>
          <w:rFonts w:ascii="Arial" w:hAnsi="Arial" w:cs="Arial"/>
          <w:sz w:val="24"/>
        </w:rPr>
        <w:t>a.2. Estado analítico del ejercicio del presupuesto de egresos en clasificación por objeto</w:t>
      </w:r>
      <w:r w:rsidR="006A2F96">
        <w:rPr>
          <w:rFonts w:ascii="Arial" w:hAnsi="Arial" w:cs="Arial"/>
          <w:sz w:val="24"/>
        </w:rPr>
        <w:t xml:space="preserve"> </w:t>
      </w:r>
      <w:r w:rsidRPr="00FE0BE7">
        <w:rPr>
          <w:rFonts w:ascii="Arial" w:hAnsi="Arial" w:cs="Arial"/>
          <w:sz w:val="24"/>
        </w:rPr>
        <w:t>del gasto.</w:t>
      </w:r>
    </w:p>
    <w:p w:rsidR="00FE0BE7" w:rsidRPr="00FE0BE7" w:rsidRDefault="00FE0BE7" w:rsidP="006A2F96">
      <w:pPr>
        <w:spacing w:after="0" w:line="360" w:lineRule="auto"/>
        <w:ind w:firstLine="708"/>
        <w:contextualSpacing/>
        <w:jc w:val="both"/>
        <w:rPr>
          <w:rFonts w:ascii="Arial" w:hAnsi="Arial" w:cs="Arial"/>
          <w:sz w:val="24"/>
        </w:rPr>
      </w:pPr>
      <w:r w:rsidRPr="00FE0BE7">
        <w:rPr>
          <w:rFonts w:ascii="Arial" w:hAnsi="Arial" w:cs="Arial"/>
          <w:sz w:val="24"/>
        </w:rPr>
        <w:t>a.3. Estado analítico del ejercicio del presupuesto de egresos en clasificación económica</w:t>
      </w:r>
      <w:r w:rsidR="006A2F96">
        <w:rPr>
          <w:rFonts w:ascii="Arial" w:hAnsi="Arial" w:cs="Arial"/>
          <w:sz w:val="24"/>
        </w:rPr>
        <w:t xml:space="preserve"> </w:t>
      </w:r>
      <w:r w:rsidRPr="00FE0BE7">
        <w:rPr>
          <w:rFonts w:ascii="Arial" w:hAnsi="Arial" w:cs="Arial"/>
          <w:sz w:val="24"/>
        </w:rPr>
        <w:t>(por tipo de gasto).</w:t>
      </w:r>
    </w:p>
    <w:p w:rsidR="00FE0BE7" w:rsidRPr="00FE0BE7" w:rsidRDefault="00FE0BE7" w:rsidP="006A2F96">
      <w:pPr>
        <w:spacing w:after="0" w:line="360" w:lineRule="auto"/>
        <w:ind w:firstLine="708"/>
        <w:contextualSpacing/>
        <w:jc w:val="both"/>
        <w:rPr>
          <w:rFonts w:ascii="Arial" w:hAnsi="Arial" w:cs="Arial"/>
          <w:sz w:val="24"/>
        </w:rPr>
      </w:pPr>
      <w:r w:rsidRPr="00FE0BE7">
        <w:rPr>
          <w:rFonts w:ascii="Arial" w:hAnsi="Arial" w:cs="Arial"/>
          <w:sz w:val="24"/>
        </w:rPr>
        <w:t>a.4. Estado analítico del ejercicio del presupuesto de egresos en clasificación funcional.</w:t>
      </w:r>
    </w:p>
    <w:p w:rsidR="00FE0BE7" w:rsidRPr="00FE0BE7" w:rsidRDefault="00FE0BE7" w:rsidP="006A2F96">
      <w:pPr>
        <w:spacing w:after="0" w:line="360" w:lineRule="auto"/>
        <w:ind w:firstLine="708"/>
        <w:contextualSpacing/>
        <w:jc w:val="both"/>
        <w:rPr>
          <w:rFonts w:ascii="Arial" w:hAnsi="Arial" w:cs="Arial"/>
          <w:sz w:val="24"/>
        </w:rPr>
      </w:pPr>
      <w:r w:rsidRPr="00FE0BE7">
        <w:rPr>
          <w:rFonts w:ascii="Arial" w:hAnsi="Arial" w:cs="Arial"/>
          <w:sz w:val="24"/>
        </w:rPr>
        <w:t>a.5. Estado analítico del ejercicio del presupue</w:t>
      </w:r>
      <w:r w:rsidR="006A2F96">
        <w:rPr>
          <w:rFonts w:ascii="Arial" w:hAnsi="Arial" w:cs="Arial"/>
          <w:sz w:val="24"/>
        </w:rPr>
        <w:t xml:space="preserve">sto de egresos en clasificación </w:t>
      </w:r>
      <w:r w:rsidRPr="00FE0BE7">
        <w:rPr>
          <w:rFonts w:ascii="Arial" w:hAnsi="Arial" w:cs="Arial"/>
          <w:sz w:val="24"/>
        </w:rPr>
        <w:t>programática.</w:t>
      </w:r>
    </w:p>
    <w:p w:rsidR="00FE0BE7" w:rsidRPr="00FE0BE7" w:rsidRDefault="00FE0BE7" w:rsidP="006A2F96">
      <w:pPr>
        <w:spacing w:after="0" w:line="360" w:lineRule="auto"/>
        <w:ind w:firstLine="708"/>
        <w:contextualSpacing/>
        <w:jc w:val="both"/>
        <w:rPr>
          <w:rFonts w:ascii="Arial" w:hAnsi="Arial" w:cs="Arial"/>
          <w:sz w:val="24"/>
        </w:rPr>
      </w:pPr>
      <w:r w:rsidRPr="00FE0BE7">
        <w:rPr>
          <w:rFonts w:ascii="Arial" w:hAnsi="Arial" w:cs="Arial"/>
          <w:sz w:val="24"/>
        </w:rPr>
        <w:lastRenderedPageBreak/>
        <w:t>a.6. Estado analítico del ejercicio del presupuesto de egresos en clasificación</w:t>
      </w:r>
      <w:r w:rsidR="006A2F96">
        <w:rPr>
          <w:rFonts w:ascii="Arial" w:hAnsi="Arial" w:cs="Arial"/>
          <w:sz w:val="24"/>
        </w:rPr>
        <w:t xml:space="preserve"> </w:t>
      </w:r>
      <w:r w:rsidRPr="00FE0BE7">
        <w:rPr>
          <w:rFonts w:ascii="Arial" w:hAnsi="Arial" w:cs="Arial"/>
          <w:sz w:val="24"/>
        </w:rPr>
        <w:t>administrativa.</w:t>
      </w:r>
    </w:p>
    <w:p w:rsidR="00FE0BE7" w:rsidRPr="00FE0BE7" w:rsidRDefault="00FE0BE7" w:rsidP="00FE0BE7">
      <w:pPr>
        <w:spacing w:after="0" w:line="360" w:lineRule="auto"/>
        <w:contextualSpacing/>
        <w:jc w:val="both"/>
        <w:rPr>
          <w:rFonts w:ascii="Arial" w:hAnsi="Arial" w:cs="Arial"/>
          <w:sz w:val="24"/>
        </w:rPr>
      </w:pPr>
      <w:r w:rsidRPr="00FE0BE7">
        <w:rPr>
          <w:rFonts w:ascii="Arial" w:hAnsi="Arial" w:cs="Arial"/>
          <w:sz w:val="24"/>
        </w:rPr>
        <w:t>b) Información programática</w:t>
      </w:r>
    </w:p>
    <w:p w:rsidR="00FE0BE7" w:rsidRPr="00FE0BE7" w:rsidRDefault="00FE0BE7" w:rsidP="006A2F96">
      <w:pPr>
        <w:spacing w:after="0" w:line="360" w:lineRule="auto"/>
        <w:ind w:firstLine="708"/>
        <w:contextualSpacing/>
        <w:jc w:val="both"/>
        <w:rPr>
          <w:rFonts w:ascii="Arial" w:hAnsi="Arial" w:cs="Arial"/>
          <w:sz w:val="24"/>
        </w:rPr>
      </w:pPr>
      <w:r w:rsidRPr="00FE0BE7">
        <w:rPr>
          <w:rFonts w:ascii="Arial" w:hAnsi="Arial" w:cs="Arial"/>
          <w:sz w:val="24"/>
        </w:rPr>
        <w:t>b.1. Gasto por categoría programática</w:t>
      </w:r>
    </w:p>
    <w:p w:rsidR="00FE0BE7" w:rsidRPr="00FE0BE7" w:rsidRDefault="00FE0BE7" w:rsidP="006A2F96">
      <w:pPr>
        <w:spacing w:after="0" w:line="360" w:lineRule="auto"/>
        <w:ind w:firstLine="708"/>
        <w:contextualSpacing/>
        <w:jc w:val="both"/>
        <w:rPr>
          <w:rFonts w:ascii="Arial" w:hAnsi="Arial" w:cs="Arial"/>
          <w:sz w:val="24"/>
        </w:rPr>
      </w:pPr>
      <w:r w:rsidRPr="00FE0BE7">
        <w:rPr>
          <w:rFonts w:ascii="Arial" w:hAnsi="Arial" w:cs="Arial"/>
          <w:sz w:val="24"/>
        </w:rPr>
        <w:t>b.2. Programas y proyectos de inversión</w:t>
      </w:r>
    </w:p>
    <w:p w:rsidR="00FE0BE7" w:rsidRPr="00FE0BE7" w:rsidRDefault="00FE0BE7" w:rsidP="006A2F96">
      <w:pPr>
        <w:spacing w:after="0" w:line="360" w:lineRule="auto"/>
        <w:ind w:firstLine="708"/>
        <w:contextualSpacing/>
        <w:jc w:val="both"/>
        <w:rPr>
          <w:rFonts w:ascii="Arial" w:hAnsi="Arial" w:cs="Arial"/>
          <w:sz w:val="24"/>
        </w:rPr>
      </w:pPr>
      <w:r w:rsidRPr="00FE0BE7">
        <w:rPr>
          <w:rFonts w:ascii="Arial" w:hAnsi="Arial" w:cs="Arial"/>
          <w:sz w:val="24"/>
        </w:rPr>
        <w:t>b.3. Indicadores de resultados.</w:t>
      </w:r>
    </w:p>
    <w:p w:rsidR="00FE0BE7" w:rsidRPr="00FE0BE7" w:rsidRDefault="00FE0BE7" w:rsidP="00FE0BE7">
      <w:pPr>
        <w:spacing w:after="0" w:line="360" w:lineRule="auto"/>
        <w:contextualSpacing/>
        <w:jc w:val="both"/>
        <w:rPr>
          <w:rFonts w:ascii="Arial" w:hAnsi="Arial" w:cs="Arial"/>
          <w:sz w:val="24"/>
        </w:rPr>
      </w:pPr>
      <w:r w:rsidRPr="00FE0BE7">
        <w:rPr>
          <w:rFonts w:ascii="Arial" w:hAnsi="Arial" w:cs="Arial"/>
          <w:sz w:val="24"/>
        </w:rPr>
        <w:t>c) Anexos (Información adicional)</w:t>
      </w:r>
    </w:p>
    <w:p w:rsidR="00FE0BE7" w:rsidRPr="00FE0BE7" w:rsidRDefault="00FE0BE7" w:rsidP="006A2F96">
      <w:pPr>
        <w:spacing w:after="0" w:line="360" w:lineRule="auto"/>
        <w:ind w:firstLine="708"/>
        <w:contextualSpacing/>
        <w:jc w:val="both"/>
        <w:rPr>
          <w:rFonts w:ascii="Arial" w:hAnsi="Arial" w:cs="Arial"/>
          <w:sz w:val="24"/>
        </w:rPr>
      </w:pPr>
      <w:r w:rsidRPr="00FE0BE7">
        <w:rPr>
          <w:rFonts w:ascii="Arial" w:hAnsi="Arial" w:cs="Arial"/>
          <w:sz w:val="24"/>
        </w:rPr>
        <w:t>c.1. La información financiera, presupuestaria, programática y contable, es la base para</w:t>
      </w:r>
      <w:r w:rsidR="006A2F96">
        <w:rPr>
          <w:rFonts w:ascii="Arial" w:hAnsi="Arial" w:cs="Arial"/>
          <w:sz w:val="24"/>
        </w:rPr>
        <w:t xml:space="preserve"> </w:t>
      </w:r>
      <w:r w:rsidRPr="00FE0BE7">
        <w:rPr>
          <w:rFonts w:ascii="Arial" w:hAnsi="Arial" w:cs="Arial"/>
          <w:sz w:val="24"/>
        </w:rPr>
        <w:t>la elaboración de la cuenta pública (artículo 52, párrafo primero).</w:t>
      </w:r>
    </w:p>
    <w:p w:rsidR="006A2F96" w:rsidRDefault="00FE0BE7" w:rsidP="006A2F96">
      <w:pPr>
        <w:spacing w:after="0" w:line="360" w:lineRule="auto"/>
        <w:ind w:firstLine="708"/>
        <w:contextualSpacing/>
        <w:jc w:val="both"/>
        <w:rPr>
          <w:rFonts w:ascii="Arial" w:hAnsi="Arial" w:cs="Arial"/>
          <w:sz w:val="24"/>
        </w:rPr>
      </w:pPr>
      <w:r w:rsidRPr="00FE0BE7">
        <w:rPr>
          <w:rFonts w:ascii="Arial" w:hAnsi="Arial" w:cs="Arial"/>
          <w:sz w:val="24"/>
        </w:rPr>
        <w:t>c.2. Se relaciona la información presupuestaria y programática con los objetivos y</w:t>
      </w:r>
      <w:r w:rsidR="006A2F96">
        <w:rPr>
          <w:rFonts w:ascii="Arial" w:hAnsi="Arial" w:cs="Arial"/>
          <w:sz w:val="24"/>
        </w:rPr>
        <w:t xml:space="preserve"> </w:t>
      </w:r>
      <w:r w:rsidRPr="00FE0BE7">
        <w:rPr>
          <w:rFonts w:ascii="Arial" w:hAnsi="Arial" w:cs="Arial"/>
          <w:sz w:val="24"/>
        </w:rPr>
        <w:t>prioridades de la planeación del desarrollo, que forme parte</w:t>
      </w:r>
      <w:r w:rsidR="006A2F96">
        <w:rPr>
          <w:rFonts w:ascii="Arial" w:hAnsi="Arial" w:cs="Arial"/>
          <w:sz w:val="24"/>
        </w:rPr>
        <w:t xml:space="preserve"> de la cuenta pública, así como </w:t>
      </w:r>
      <w:r w:rsidRPr="00FE0BE7">
        <w:rPr>
          <w:rFonts w:ascii="Arial" w:hAnsi="Arial" w:cs="Arial"/>
          <w:sz w:val="24"/>
        </w:rPr>
        <w:t>los resultados de la evaluación del desempeño (artículo 54, párrafo primero).</w:t>
      </w:r>
    </w:p>
    <w:p w:rsidR="006A2F96" w:rsidRDefault="006A2F96" w:rsidP="00FE0BE7">
      <w:pPr>
        <w:spacing w:after="0" w:line="360" w:lineRule="auto"/>
        <w:contextualSpacing/>
        <w:jc w:val="both"/>
        <w:rPr>
          <w:rFonts w:ascii="Arial" w:hAnsi="Arial" w:cs="Arial"/>
          <w:b/>
          <w:sz w:val="24"/>
        </w:rPr>
      </w:pPr>
    </w:p>
    <w:p w:rsidR="006A2F96" w:rsidRDefault="006A2F96" w:rsidP="00FE0BE7">
      <w:pPr>
        <w:spacing w:after="0" w:line="360" w:lineRule="auto"/>
        <w:contextualSpacing/>
        <w:jc w:val="both"/>
        <w:rPr>
          <w:rFonts w:ascii="Arial" w:hAnsi="Arial" w:cs="Arial"/>
          <w:b/>
          <w:sz w:val="24"/>
        </w:rPr>
      </w:pPr>
    </w:p>
    <w:p w:rsidR="006A2F96" w:rsidRDefault="006A2F96" w:rsidP="00FE0BE7">
      <w:pPr>
        <w:spacing w:after="0" w:line="360" w:lineRule="auto"/>
        <w:contextualSpacing/>
        <w:jc w:val="both"/>
        <w:rPr>
          <w:rFonts w:ascii="Arial" w:hAnsi="Arial" w:cs="Arial"/>
          <w:b/>
          <w:sz w:val="24"/>
        </w:rPr>
      </w:pPr>
    </w:p>
    <w:p w:rsidR="00FE0BE7" w:rsidRPr="006A2F96" w:rsidRDefault="00FE0BE7" w:rsidP="00FE0BE7">
      <w:pPr>
        <w:spacing w:after="0" w:line="360" w:lineRule="auto"/>
        <w:contextualSpacing/>
        <w:jc w:val="both"/>
        <w:rPr>
          <w:rFonts w:ascii="Arial" w:hAnsi="Arial" w:cs="Arial"/>
          <w:b/>
          <w:sz w:val="24"/>
        </w:rPr>
      </w:pPr>
      <w:r w:rsidRPr="006A2F96">
        <w:rPr>
          <w:rFonts w:ascii="Arial" w:hAnsi="Arial" w:cs="Arial"/>
          <w:b/>
          <w:sz w:val="24"/>
        </w:rPr>
        <w:t>Análisis de la Auditoría Superior del Estado</w:t>
      </w:r>
    </w:p>
    <w:p w:rsidR="00FE0BE7" w:rsidRPr="00FE0BE7" w:rsidRDefault="00FE0BE7" w:rsidP="00FE0BE7">
      <w:pPr>
        <w:spacing w:after="0" w:line="360" w:lineRule="auto"/>
        <w:contextualSpacing/>
        <w:jc w:val="both"/>
        <w:rPr>
          <w:rFonts w:ascii="Arial" w:hAnsi="Arial" w:cs="Arial"/>
          <w:sz w:val="24"/>
        </w:rPr>
      </w:pPr>
      <w:r w:rsidRPr="00FE0BE7">
        <w:rPr>
          <w:rFonts w:ascii="Arial" w:hAnsi="Arial" w:cs="Arial"/>
          <w:sz w:val="24"/>
        </w:rPr>
        <w:t>Se analizó la respuesta y documentación proporciona</w:t>
      </w:r>
      <w:r w:rsidR="006A2F96">
        <w:rPr>
          <w:rFonts w:ascii="Arial" w:hAnsi="Arial" w:cs="Arial"/>
          <w:sz w:val="24"/>
        </w:rPr>
        <w:t xml:space="preserve">da por el Ente Público, la cual </w:t>
      </w:r>
      <w:r w:rsidRPr="00FE0BE7">
        <w:rPr>
          <w:rFonts w:ascii="Arial" w:hAnsi="Arial" w:cs="Arial"/>
          <w:sz w:val="24"/>
        </w:rPr>
        <w:t>solventa parcialmente toda vez que presentó documentaci</w:t>
      </w:r>
      <w:r w:rsidR="006A2F96">
        <w:rPr>
          <w:rFonts w:ascii="Arial" w:hAnsi="Arial" w:cs="Arial"/>
          <w:sz w:val="24"/>
        </w:rPr>
        <w:t xml:space="preserve">ón y se encuentra en proceso de </w:t>
      </w:r>
      <w:r w:rsidRPr="00FE0BE7">
        <w:rPr>
          <w:rFonts w:ascii="Arial" w:hAnsi="Arial" w:cs="Arial"/>
          <w:sz w:val="24"/>
        </w:rPr>
        <w:t>implementación de medidas correctivas, sin embargo, no ha c</w:t>
      </w:r>
      <w:r w:rsidR="006A2F96">
        <w:rPr>
          <w:rFonts w:ascii="Arial" w:hAnsi="Arial" w:cs="Arial"/>
          <w:sz w:val="24"/>
        </w:rPr>
        <w:t xml:space="preserve">umplido con la totalidad de las </w:t>
      </w:r>
      <w:r w:rsidRPr="00FE0BE7">
        <w:rPr>
          <w:rFonts w:ascii="Arial" w:hAnsi="Arial" w:cs="Arial"/>
          <w:sz w:val="24"/>
        </w:rPr>
        <w:t>disposiciones señaladas en la Ley General de Contabilid</w:t>
      </w:r>
      <w:r w:rsidR="006A2F96">
        <w:rPr>
          <w:rFonts w:ascii="Arial" w:hAnsi="Arial" w:cs="Arial"/>
          <w:sz w:val="24"/>
        </w:rPr>
        <w:t xml:space="preserve">ad Gubernamental y la normativa </w:t>
      </w:r>
      <w:r w:rsidRPr="00FE0BE7">
        <w:rPr>
          <w:rFonts w:ascii="Arial" w:hAnsi="Arial" w:cs="Arial"/>
          <w:sz w:val="24"/>
        </w:rPr>
        <w:t>emitida por el Consejo Nacional de Armonización Contable.</w:t>
      </w:r>
    </w:p>
    <w:p w:rsidR="006A2F96" w:rsidRDefault="006A2F96" w:rsidP="00FE0BE7">
      <w:pPr>
        <w:spacing w:after="0" w:line="360" w:lineRule="auto"/>
        <w:contextualSpacing/>
        <w:jc w:val="both"/>
        <w:rPr>
          <w:rFonts w:ascii="Arial" w:hAnsi="Arial" w:cs="Arial"/>
          <w:sz w:val="24"/>
        </w:rPr>
      </w:pPr>
    </w:p>
    <w:p w:rsidR="00FE0BE7" w:rsidRPr="00FE0BE7" w:rsidRDefault="00FE0BE7" w:rsidP="00FE0BE7">
      <w:pPr>
        <w:spacing w:after="0" w:line="360" w:lineRule="auto"/>
        <w:contextualSpacing/>
        <w:jc w:val="both"/>
        <w:rPr>
          <w:rFonts w:ascii="Arial" w:hAnsi="Arial" w:cs="Arial"/>
          <w:sz w:val="24"/>
        </w:rPr>
      </w:pPr>
      <w:r w:rsidRPr="00FE0BE7">
        <w:rPr>
          <w:rFonts w:ascii="Arial" w:hAnsi="Arial" w:cs="Arial"/>
          <w:sz w:val="24"/>
        </w:rPr>
        <w:lastRenderedPageBreak/>
        <w:t>Cabe señalar lo siguiente:</w:t>
      </w:r>
    </w:p>
    <w:p w:rsidR="00FE0BE7" w:rsidRPr="00FE0BE7" w:rsidRDefault="00FE0BE7" w:rsidP="00FE0BE7">
      <w:pPr>
        <w:spacing w:after="0" w:line="360" w:lineRule="auto"/>
        <w:contextualSpacing/>
        <w:jc w:val="both"/>
        <w:rPr>
          <w:rFonts w:ascii="Arial" w:hAnsi="Arial" w:cs="Arial"/>
          <w:sz w:val="24"/>
        </w:rPr>
      </w:pPr>
      <w:r w:rsidRPr="00FE0BE7">
        <w:rPr>
          <w:rFonts w:ascii="Arial" w:hAnsi="Arial" w:cs="Arial"/>
          <w:sz w:val="24"/>
        </w:rPr>
        <w:t>a) Durante el ejercicio 2015 realizó baja de bienes mue</w:t>
      </w:r>
      <w:r w:rsidR="006A2F96">
        <w:rPr>
          <w:rFonts w:ascii="Arial" w:hAnsi="Arial" w:cs="Arial"/>
          <w:sz w:val="24"/>
        </w:rPr>
        <w:t xml:space="preserve">bles, que no cumplieron con los </w:t>
      </w:r>
      <w:r w:rsidRPr="00FE0BE7">
        <w:rPr>
          <w:rFonts w:ascii="Arial" w:hAnsi="Arial" w:cs="Arial"/>
          <w:sz w:val="24"/>
        </w:rPr>
        <w:t>Lineamientos dirigidos a asegurar que el Sistema de Contabilidad Gubernamental</w:t>
      </w:r>
      <w:r>
        <w:rPr>
          <w:rFonts w:ascii="Arial" w:hAnsi="Arial" w:cs="Arial"/>
          <w:sz w:val="24"/>
        </w:rPr>
        <w:t xml:space="preserve"> </w:t>
      </w:r>
      <w:r w:rsidRPr="00FE0BE7">
        <w:rPr>
          <w:rFonts w:ascii="Arial" w:hAnsi="Arial" w:cs="Arial"/>
          <w:sz w:val="24"/>
        </w:rPr>
        <w:t>facilite el Registro Contable de los Inventarios de</w:t>
      </w:r>
      <w:r w:rsidR="006A2F96">
        <w:rPr>
          <w:rFonts w:ascii="Arial" w:hAnsi="Arial" w:cs="Arial"/>
          <w:sz w:val="24"/>
        </w:rPr>
        <w:t xml:space="preserve"> los Bienes Muebles e Inmuebles </w:t>
      </w:r>
      <w:r w:rsidRPr="00FE0BE7">
        <w:rPr>
          <w:rFonts w:ascii="Arial" w:hAnsi="Arial" w:cs="Arial"/>
          <w:sz w:val="24"/>
        </w:rPr>
        <w:t>de los Entes Públicos.</w:t>
      </w:r>
    </w:p>
    <w:p w:rsidR="00FE0BE7" w:rsidRPr="00FE0BE7" w:rsidRDefault="00FE0BE7" w:rsidP="00FE0BE7">
      <w:pPr>
        <w:spacing w:after="0" w:line="360" w:lineRule="auto"/>
        <w:contextualSpacing/>
        <w:jc w:val="both"/>
        <w:rPr>
          <w:rFonts w:ascii="Arial" w:hAnsi="Arial" w:cs="Arial"/>
          <w:sz w:val="24"/>
        </w:rPr>
      </w:pPr>
      <w:r w:rsidRPr="00FE0BE7">
        <w:rPr>
          <w:rFonts w:ascii="Arial" w:hAnsi="Arial" w:cs="Arial"/>
          <w:sz w:val="24"/>
        </w:rPr>
        <w:t xml:space="preserve">b) Durante el ejercicio 2015 los registros contables </w:t>
      </w:r>
      <w:r w:rsidR="006A2F96">
        <w:rPr>
          <w:rFonts w:ascii="Arial" w:hAnsi="Arial" w:cs="Arial"/>
          <w:sz w:val="24"/>
        </w:rPr>
        <w:t xml:space="preserve">fueron realizados en el sistema </w:t>
      </w:r>
      <w:r w:rsidRPr="00FE0BE7">
        <w:rPr>
          <w:rFonts w:ascii="Arial" w:hAnsi="Arial" w:cs="Arial"/>
          <w:sz w:val="24"/>
        </w:rPr>
        <w:t>Contpaq y solo se realizó carga masiva al sistema Infofin.</w:t>
      </w:r>
    </w:p>
    <w:p w:rsidR="00FE0BE7" w:rsidRPr="00FE0BE7" w:rsidRDefault="00FE0BE7" w:rsidP="00FE0BE7">
      <w:pPr>
        <w:spacing w:after="0" w:line="360" w:lineRule="auto"/>
        <w:contextualSpacing/>
        <w:jc w:val="both"/>
        <w:rPr>
          <w:rFonts w:ascii="Arial" w:hAnsi="Arial" w:cs="Arial"/>
          <w:sz w:val="24"/>
        </w:rPr>
      </w:pPr>
      <w:r w:rsidRPr="00FE0BE7">
        <w:rPr>
          <w:rFonts w:ascii="Arial" w:hAnsi="Arial" w:cs="Arial"/>
          <w:sz w:val="24"/>
        </w:rPr>
        <w:t>c) Las pólizas impresas con su documentación comp</w:t>
      </w:r>
      <w:r w:rsidR="006A2F96">
        <w:rPr>
          <w:rFonts w:ascii="Arial" w:hAnsi="Arial" w:cs="Arial"/>
          <w:sz w:val="24"/>
        </w:rPr>
        <w:t xml:space="preserve">robatoria utilizadas durante el </w:t>
      </w:r>
      <w:r w:rsidRPr="00FE0BE7">
        <w:rPr>
          <w:rFonts w:ascii="Arial" w:hAnsi="Arial" w:cs="Arial"/>
          <w:sz w:val="24"/>
        </w:rPr>
        <w:t>ejercicio 2015 corresponden a las emitidas del sistema Contpaq.</w:t>
      </w:r>
    </w:p>
    <w:p w:rsidR="00FE0BE7" w:rsidRPr="00FE0BE7" w:rsidRDefault="00FE0BE7" w:rsidP="00FE0BE7">
      <w:pPr>
        <w:spacing w:after="0" w:line="360" w:lineRule="auto"/>
        <w:contextualSpacing/>
        <w:jc w:val="both"/>
        <w:rPr>
          <w:rFonts w:ascii="Arial" w:hAnsi="Arial" w:cs="Arial"/>
          <w:sz w:val="24"/>
        </w:rPr>
      </w:pPr>
      <w:r w:rsidRPr="00FE0BE7">
        <w:rPr>
          <w:rFonts w:ascii="Arial" w:hAnsi="Arial" w:cs="Arial"/>
          <w:sz w:val="24"/>
        </w:rPr>
        <w:t>d) El Ente Público durante el ejercicio 2015 realizó pagos mediante cheques.</w:t>
      </w:r>
    </w:p>
    <w:p w:rsidR="00FE0BE7" w:rsidRPr="00FE0BE7" w:rsidRDefault="00FE0BE7" w:rsidP="00FE0BE7">
      <w:pPr>
        <w:spacing w:after="0" w:line="360" w:lineRule="auto"/>
        <w:contextualSpacing/>
        <w:jc w:val="both"/>
        <w:rPr>
          <w:rFonts w:ascii="Arial" w:hAnsi="Arial" w:cs="Arial"/>
          <w:sz w:val="24"/>
        </w:rPr>
      </w:pPr>
      <w:r w:rsidRPr="00FE0BE7">
        <w:rPr>
          <w:rFonts w:ascii="Arial" w:hAnsi="Arial" w:cs="Arial"/>
          <w:sz w:val="24"/>
        </w:rPr>
        <w:t>e) En relación a la información presupuestaria y progr</w:t>
      </w:r>
      <w:r w:rsidR="006A2F96">
        <w:rPr>
          <w:rFonts w:ascii="Arial" w:hAnsi="Arial" w:cs="Arial"/>
          <w:sz w:val="24"/>
        </w:rPr>
        <w:t xml:space="preserve">amática presentada en la Cuenta </w:t>
      </w:r>
      <w:r w:rsidRPr="00FE0BE7">
        <w:rPr>
          <w:rFonts w:ascii="Arial" w:hAnsi="Arial" w:cs="Arial"/>
          <w:sz w:val="24"/>
        </w:rPr>
        <w:t>Pública 2015 durante el ejercicio auditado, no cumple con las</w:t>
      </w:r>
      <w:r w:rsidR="006A2F96">
        <w:rPr>
          <w:rFonts w:ascii="Arial" w:hAnsi="Arial" w:cs="Arial"/>
          <w:sz w:val="24"/>
        </w:rPr>
        <w:t xml:space="preserve"> Normas y Metodología </w:t>
      </w:r>
      <w:r w:rsidRPr="00FE0BE7">
        <w:rPr>
          <w:rFonts w:ascii="Arial" w:hAnsi="Arial" w:cs="Arial"/>
          <w:sz w:val="24"/>
        </w:rPr>
        <w:t>para la Emisión de la Información Financiera y Estruc</w:t>
      </w:r>
      <w:r w:rsidR="006A2F96">
        <w:rPr>
          <w:rFonts w:ascii="Arial" w:hAnsi="Arial" w:cs="Arial"/>
          <w:sz w:val="24"/>
        </w:rPr>
        <w:t xml:space="preserve">tura de los Estados Financieros </w:t>
      </w:r>
      <w:r w:rsidRPr="00FE0BE7">
        <w:rPr>
          <w:rFonts w:ascii="Arial" w:hAnsi="Arial" w:cs="Arial"/>
          <w:sz w:val="24"/>
        </w:rPr>
        <w:t>Básicos del Ente Público y Características de sus No</w:t>
      </w:r>
      <w:r w:rsidR="001E476B">
        <w:rPr>
          <w:rFonts w:ascii="Arial" w:hAnsi="Arial" w:cs="Arial"/>
          <w:sz w:val="24"/>
        </w:rPr>
        <w:t xml:space="preserve">tas y el Manual de Contabilidad </w:t>
      </w:r>
      <w:r w:rsidRPr="00FE0BE7">
        <w:rPr>
          <w:rFonts w:ascii="Arial" w:hAnsi="Arial" w:cs="Arial"/>
          <w:sz w:val="24"/>
        </w:rPr>
        <w:t>Gubernamental.</w:t>
      </w:r>
    </w:p>
    <w:p w:rsidR="00FE0BE7" w:rsidRPr="00FE0BE7" w:rsidRDefault="00FE0BE7" w:rsidP="00FE0BE7">
      <w:pPr>
        <w:spacing w:after="0" w:line="360" w:lineRule="auto"/>
        <w:contextualSpacing/>
        <w:jc w:val="both"/>
        <w:rPr>
          <w:rFonts w:ascii="Arial" w:hAnsi="Arial" w:cs="Arial"/>
          <w:sz w:val="24"/>
        </w:rPr>
      </w:pPr>
      <w:r w:rsidRPr="00FE0BE7">
        <w:rPr>
          <w:rFonts w:ascii="Arial" w:hAnsi="Arial" w:cs="Arial"/>
          <w:sz w:val="24"/>
        </w:rPr>
        <w:t>f) En cuanto a relacionar la información presupues</w:t>
      </w:r>
      <w:r w:rsidR="006A2F96">
        <w:rPr>
          <w:rFonts w:ascii="Arial" w:hAnsi="Arial" w:cs="Arial"/>
          <w:sz w:val="24"/>
        </w:rPr>
        <w:t xml:space="preserve">taria y programática con los </w:t>
      </w:r>
      <w:r w:rsidRPr="00FE0BE7">
        <w:rPr>
          <w:rFonts w:ascii="Arial" w:hAnsi="Arial" w:cs="Arial"/>
          <w:sz w:val="24"/>
        </w:rPr>
        <w:t>objetivos y prioridades de la planeación del desarrollo, esta información no formó</w:t>
      </w:r>
      <w:r w:rsidR="006A2F96">
        <w:rPr>
          <w:rFonts w:ascii="Arial" w:hAnsi="Arial" w:cs="Arial"/>
          <w:sz w:val="24"/>
        </w:rPr>
        <w:t xml:space="preserve"> </w:t>
      </w:r>
      <w:r w:rsidRPr="00FE0BE7">
        <w:rPr>
          <w:rFonts w:ascii="Arial" w:hAnsi="Arial" w:cs="Arial"/>
          <w:sz w:val="24"/>
        </w:rPr>
        <w:t>parte de la Cuenta Pública, así mismo no lo exime del cumplimiento el fundamento</w:t>
      </w:r>
      <w:r w:rsidR="006A2F96">
        <w:rPr>
          <w:rFonts w:ascii="Arial" w:hAnsi="Arial" w:cs="Arial"/>
          <w:sz w:val="24"/>
        </w:rPr>
        <w:t xml:space="preserve"> </w:t>
      </w:r>
      <w:r w:rsidRPr="00FE0BE7">
        <w:rPr>
          <w:rFonts w:ascii="Arial" w:hAnsi="Arial" w:cs="Arial"/>
          <w:sz w:val="24"/>
        </w:rPr>
        <w:t>señalado en la respuesta del Ente Público.</w:t>
      </w:r>
    </w:p>
    <w:p w:rsidR="006A2F96" w:rsidRDefault="00FE0BE7" w:rsidP="00FE0BE7">
      <w:pPr>
        <w:spacing w:after="0" w:line="360" w:lineRule="auto"/>
        <w:contextualSpacing/>
        <w:jc w:val="both"/>
        <w:rPr>
          <w:rFonts w:ascii="Arial" w:hAnsi="Arial" w:cs="Arial"/>
          <w:sz w:val="24"/>
        </w:rPr>
      </w:pPr>
      <w:r w:rsidRPr="00FE0BE7">
        <w:rPr>
          <w:rFonts w:ascii="Arial" w:hAnsi="Arial" w:cs="Arial"/>
          <w:sz w:val="24"/>
        </w:rPr>
        <w:t>g) Del punto I incisos c), d) y e), II incisos a), b), c), y e)</w:t>
      </w:r>
      <w:r w:rsidR="006A2F96">
        <w:rPr>
          <w:rFonts w:ascii="Arial" w:hAnsi="Arial" w:cs="Arial"/>
          <w:sz w:val="24"/>
        </w:rPr>
        <w:t xml:space="preserve"> y III incisos a), c) y d), las </w:t>
      </w:r>
      <w:r w:rsidRPr="00FE0BE7">
        <w:rPr>
          <w:rFonts w:ascii="Arial" w:hAnsi="Arial" w:cs="Arial"/>
          <w:sz w:val="24"/>
        </w:rPr>
        <w:t xml:space="preserve">respuestas y documentación presentada </w:t>
      </w:r>
      <w:r w:rsidR="001E476B">
        <w:rPr>
          <w:rFonts w:ascii="Arial" w:hAnsi="Arial" w:cs="Arial"/>
          <w:sz w:val="24"/>
        </w:rPr>
        <w:t>corresponden al ejercicio 2016.</w:t>
      </w:r>
    </w:p>
    <w:p w:rsidR="001E476B" w:rsidRDefault="001E476B" w:rsidP="00FE0BE7">
      <w:pPr>
        <w:spacing w:after="0" w:line="360" w:lineRule="auto"/>
        <w:contextualSpacing/>
        <w:jc w:val="both"/>
        <w:rPr>
          <w:rFonts w:ascii="Arial" w:hAnsi="Arial" w:cs="Arial"/>
          <w:sz w:val="24"/>
        </w:rPr>
      </w:pPr>
    </w:p>
    <w:p w:rsidR="00FE0BE7" w:rsidRPr="006A2F96" w:rsidRDefault="00FE0BE7" w:rsidP="00FE0BE7">
      <w:pPr>
        <w:spacing w:after="0" w:line="360" w:lineRule="auto"/>
        <w:contextualSpacing/>
        <w:jc w:val="both"/>
        <w:rPr>
          <w:rFonts w:ascii="Arial" w:hAnsi="Arial" w:cs="Arial"/>
          <w:b/>
          <w:sz w:val="24"/>
        </w:rPr>
      </w:pPr>
      <w:r w:rsidRPr="006A2F96">
        <w:rPr>
          <w:rFonts w:ascii="Arial" w:hAnsi="Arial" w:cs="Arial"/>
          <w:b/>
          <w:sz w:val="24"/>
        </w:rPr>
        <w:t>Acción(es) o recomendación(es) emitida(s)</w:t>
      </w:r>
    </w:p>
    <w:p w:rsidR="00FE0BE7" w:rsidRPr="006A2F96" w:rsidRDefault="00FE0BE7" w:rsidP="00FE0BE7">
      <w:pPr>
        <w:spacing w:after="0" w:line="360" w:lineRule="auto"/>
        <w:contextualSpacing/>
        <w:jc w:val="both"/>
        <w:rPr>
          <w:rFonts w:ascii="Arial" w:hAnsi="Arial" w:cs="Arial"/>
          <w:i/>
          <w:sz w:val="24"/>
        </w:rPr>
      </w:pPr>
      <w:r w:rsidRPr="006A2F96">
        <w:rPr>
          <w:rFonts w:ascii="Arial" w:hAnsi="Arial" w:cs="Arial"/>
          <w:i/>
          <w:sz w:val="24"/>
        </w:rPr>
        <w:t>Recomendaciones en Relación a la Gestión o Control Interno.</w:t>
      </w:r>
    </w:p>
    <w:p w:rsidR="00EE4233" w:rsidRDefault="00EE4233" w:rsidP="00FE0BE7">
      <w:pPr>
        <w:spacing w:after="0" w:line="360" w:lineRule="auto"/>
        <w:contextualSpacing/>
        <w:jc w:val="both"/>
        <w:rPr>
          <w:rFonts w:ascii="Arial" w:hAnsi="Arial" w:cs="Arial"/>
          <w:sz w:val="24"/>
        </w:rPr>
      </w:pPr>
    </w:p>
    <w:p w:rsidR="00EE4233" w:rsidRPr="006A2F96" w:rsidRDefault="00EE4233" w:rsidP="00EE4233">
      <w:pPr>
        <w:spacing w:after="0" w:line="360" w:lineRule="auto"/>
        <w:contextualSpacing/>
        <w:jc w:val="both"/>
        <w:rPr>
          <w:rFonts w:ascii="Arial" w:hAnsi="Arial" w:cs="Arial"/>
          <w:b/>
          <w:sz w:val="24"/>
        </w:rPr>
      </w:pPr>
      <w:r w:rsidRPr="006A2F96">
        <w:rPr>
          <w:rFonts w:ascii="Arial" w:hAnsi="Arial" w:cs="Arial"/>
          <w:b/>
          <w:sz w:val="24"/>
        </w:rPr>
        <w:lastRenderedPageBreak/>
        <w:t>ACTIVO</w:t>
      </w:r>
    </w:p>
    <w:p w:rsidR="00EE4233" w:rsidRPr="006A2F96" w:rsidRDefault="00EE4233" w:rsidP="00EE4233">
      <w:pPr>
        <w:spacing w:after="0" w:line="360" w:lineRule="auto"/>
        <w:contextualSpacing/>
        <w:jc w:val="both"/>
        <w:rPr>
          <w:rFonts w:ascii="Arial" w:hAnsi="Arial" w:cs="Arial"/>
          <w:b/>
          <w:sz w:val="24"/>
          <w:u w:val="single"/>
        </w:rPr>
      </w:pPr>
      <w:r w:rsidRPr="006A2F96">
        <w:rPr>
          <w:rFonts w:ascii="Arial" w:hAnsi="Arial" w:cs="Arial"/>
          <w:b/>
          <w:sz w:val="24"/>
          <w:u w:val="single"/>
        </w:rPr>
        <w:t>Activo no circulante</w:t>
      </w:r>
    </w:p>
    <w:p w:rsidR="00EE4233" w:rsidRPr="006A2F96" w:rsidRDefault="00EE4233" w:rsidP="00EE4233">
      <w:pPr>
        <w:spacing w:after="0" w:line="360" w:lineRule="auto"/>
        <w:contextualSpacing/>
        <w:jc w:val="both"/>
        <w:rPr>
          <w:rFonts w:ascii="Arial" w:hAnsi="Arial" w:cs="Arial"/>
          <w:b/>
          <w:sz w:val="24"/>
          <w:u w:val="single"/>
        </w:rPr>
      </w:pPr>
      <w:r w:rsidRPr="006A2F96">
        <w:rPr>
          <w:rFonts w:ascii="Arial" w:hAnsi="Arial" w:cs="Arial"/>
          <w:b/>
          <w:sz w:val="24"/>
          <w:u w:val="single"/>
        </w:rPr>
        <w:t>Bienes muebles</w:t>
      </w:r>
    </w:p>
    <w:p w:rsidR="00EE4233" w:rsidRDefault="00EE4233" w:rsidP="00EE4233">
      <w:pPr>
        <w:spacing w:after="0" w:line="360" w:lineRule="auto"/>
        <w:contextualSpacing/>
        <w:jc w:val="both"/>
        <w:rPr>
          <w:rFonts w:ascii="Arial" w:hAnsi="Arial" w:cs="Arial"/>
          <w:sz w:val="24"/>
        </w:rPr>
      </w:pPr>
      <w:r w:rsidRPr="006A2F96">
        <w:rPr>
          <w:rFonts w:ascii="Arial" w:hAnsi="Arial" w:cs="Arial"/>
          <w:b/>
          <w:sz w:val="24"/>
        </w:rPr>
        <w:t>2.</w:t>
      </w:r>
      <w:r w:rsidRPr="00EE4233">
        <w:rPr>
          <w:rFonts w:ascii="Arial" w:hAnsi="Arial" w:cs="Arial"/>
          <w:sz w:val="24"/>
        </w:rPr>
        <w:t xml:space="preserve"> Durante el ejercicio 2015 el Ente Público realizó afectaciones</w:t>
      </w:r>
      <w:r w:rsidR="006A2F96">
        <w:rPr>
          <w:rFonts w:ascii="Arial" w:hAnsi="Arial" w:cs="Arial"/>
          <w:sz w:val="24"/>
        </w:rPr>
        <w:t xml:space="preserve"> a la contabilidad por concepto </w:t>
      </w:r>
      <w:r w:rsidRPr="00EE4233">
        <w:rPr>
          <w:rFonts w:ascii="Arial" w:hAnsi="Arial" w:cs="Arial"/>
          <w:sz w:val="24"/>
        </w:rPr>
        <w:t>de baja de bienes obsoletos no útiles, con las pólizas de diario 111, 112 y 113 del 14 de</w:t>
      </w:r>
      <w:r>
        <w:rPr>
          <w:rFonts w:ascii="Arial" w:hAnsi="Arial" w:cs="Arial"/>
          <w:sz w:val="24"/>
        </w:rPr>
        <w:t xml:space="preserve"> </w:t>
      </w:r>
      <w:r w:rsidRPr="00EE4233">
        <w:rPr>
          <w:rFonts w:ascii="Arial" w:hAnsi="Arial" w:cs="Arial"/>
          <w:sz w:val="24"/>
        </w:rPr>
        <w:t>septiembre de 2015, observando que no se proporcionó ni fu</w:t>
      </w:r>
      <w:r w:rsidR="006A2F96">
        <w:rPr>
          <w:rFonts w:ascii="Arial" w:hAnsi="Arial" w:cs="Arial"/>
          <w:sz w:val="24"/>
        </w:rPr>
        <w:t xml:space="preserve">e exhibida por el Ente Público, </w:t>
      </w:r>
      <w:r w:rsidRPr="00EE4233">
        <w:rPr>
          <w:rFonts w:ascii="Arial" w:hAnsi="Arial" w:cs="Arial"/>
          <w:sz w:val="24"/>
        </w:rPr>
        <w:t>lo siguiente:</w:t>
      </w:r>
    </w:p>
    <w:p w:rsidR="006A2F96" w:rsidRPr="00EE4233" w:rsidRDefault="006A2F96" w:rsidP="00EE4233">
      <w:pPr>
        <w:spacing w:after="0" w:line="360" w:lineRule="auto"/>
        <w:contextualSpacing/>
        <w:jc w:val="both"/>
        <w:rPr>
          <w:rFonts w:ascii="Arial" w:hAnsi="Arial" w:cs="Arial"/>
          <w:sz w:val="24"/>
        </w:rPr>
      </w:pPr>
    </w:p>
    <w:p w:rsidR="00EE4233" w:rsidRPr="00EE4233" w:rsidRDefault="00EE4233" w:rsidP="00EE4233">
      <w:pPr>
        <w:spacing w:after="0" w:line="360" w:lineRule="auto"/>
        <w:contextualSpacing/>
        <w:jc w:val="both"/>
        <w:rPr>
          <w:rFonts w:ascii="Arial" w:hAnsi="Arial" w:cs="Arial"/>
          <w:sz w:val="24"/>
        </w:rPr>
      </w:pPr>
      <w:r w:rsidRPr="00EE4233">
        <w:rPr>
          <w:rFonts w:ascii="Arial" w:hAnsi="Arial" w:cs="Arial"/>
          <w:sz w:val="24"/>
        </w:rPr>
        <w:t>a) El programa anual para la disposición final de bienes previo dictamen de no utilidad.</w:t>
      </w:r>
    </w:p>
    <w:p w:rsidR="00EE4233" w:rsidRPr="00EE4233" w:rsidRDefault="00EE4233" w:rsidP="00EE4233">
      <w:pPr>
        <w:spacing w:after="0" w:line="360" w:lineRule="auto"/>
        <w:contextualSpacing/>
        <w:jc w:val="both"/>
        <w:rPr>
          <w:rFonts w:ascii="Arial" w:hAnsi="Arial" w:cs="Arial"/>
          <w:sz w:val="24"/>
        </w:rPr>
      </w:pPr>
      <w:r w:rsidRPr="00EE4233">
        <w:rPr>
          <w:rFonts w:ascii="Arial" w:hAnsi="Arial" w:cs="Arial"/>
          <w:sz w:val="24"/>
        </w:rPr>
        <w:t>b) El dictamen para determinar el destino final y baja d</w:t>
      </w:r>
      <w:r w:rsidR="006A2F96">
        <w:rPr>
          <w:rFonts w:ascii="Arial" w:hAnsi="Arial" w:cs="Arial"/>
          <w:sz w:val="24"/>
        </w:rPr>
        <w:t xml:space="preserve">e los bienes no útiles y, en su </w:t>
      </w:r>
      <w:r w:rsidRPr="00EE4233">
        <w:rPr>
          <w:rFonts w:ascii="Arial" w:hAnsi="Arial" w:cs="Arial"/>
          <w:sz w:val="24"/>
        </w:rPr>
        <w:t>caso, el control y registro de las partes reaprovechadas.</w:t>
      </w:r>
    </w:p>
    <w:p w:rsidR="006A2F96" w:rsidRDefault="006A2F96" w:rsidP="00EE4233">
      <w:pPr>
        <w:spacing w:after="0" w:line="360" w:lineRule="auto"/>
        <w:contextualSpacing/>
        <w:jc w:val="both"/>
        <w:rPr>
          <w:rFonts w:ascii="Arial" w:hAnsi="Arial" w:cs="Arial"/>
          <w:sz w:val="24"/>
        </w:rPr>
      </w:pPr>
    </w:p>
    <w:p w:rsidR="00EE4233" w:rsidRDefault="00EE4233" w:rsidP="00EE4233">
      <w:pPr>
        <w:spacing w:after="0" w:line="360" w:lineRule="auto"/>
        <w:contextualSpacing/>
        <w:jc w:val="both"/>
        <w:rPr>
          <w:rFonts w:ascii="Arial" w:hAnsi="Arial" w:cs="Arial"/>
          <w:sz w:val="24"/>
        </w:rPr>
      </w:pPr>
      <w:r w:rsidRPr="00EE4233">
        <w:rPr>
          <w:rFonts w:ascii="Arial" w:hAnsi="Arial" w:cs="Arial"/>
          <w:sz w:val="24"/>
        </w:rPr>
        <w:t>Lo anterior en contravención a lo establecido en los Lineam</w:t>
      </w:r>
      <w:r w:rsidR="006A2F96">
        <w:rPr>
          <w:rFonts w:ascii="Arial" w:hAnsi="Arial" w:cs="Arial"/>
          <w:sz w:val="24"/>
        </w:rPr>
        <w:t xml:space="preserve">ientos dirigidos a asegurar que </w:t>
      </w:r>
      <w:r w:rsidRPr="00EE4233">
        <w:rPr>
          <w:rFonts w:ascii="Arial" w:hAnsi="Arial" w:cs="Arial"/>
          <w:sz w:val="24"/>
        </w:rPr>
        <w:t>el Sistema de Contabilidad Gubernamental facilite el Regis</w:t>
      </w:r>
      <w:r w:rsidR="006A2F96">
        <w:rPr>
          <w:rFonts w:ascii="Arial" w:hAnsi="Arial" w:cs="Arial"/>
          <w:sz w:val="24"/>
        </w:rPr>
        <w:t xml:space="preserve">tro Contable de los Inventarios </w:t>
      </w:r>
      <w:r w:rsidRPr="00EE4233">
        <w:rPr>
          <w:rFonts w:ascii="Arial" w:hAnsi="Arial" w:cs="Arial"/>
          <w:sz w:val="24"/>
        </w:rPr>
        <w:t>de los Bienes Muebles e Inmuebles de los Entes Públic</w:t>
      </w:r>
      <w:r w:rsidR="006A2F96">
        <w:rPr>
          <w:rFonts w:ascii="Arial" w:hAnsi="Arial" w:cs="Arial"/>
          <w:sz w:val="24"/>
        </w:rPr>
        <w:t xml:space="preserve">os (inciso D - apartado D.1.3 - </w:t>
      </w:r>
      <w:r w:rsidRPr="00EE4233">
        <w:rPr>
          <w:rFonts w:ascii="Arial" w:hAnsi="Arial" w:cs="Arial"/>
          <w:sz w:val="24"/>
        </w:rPr>
        <w:t>Disposición final y baja de bienes muebles), estableciendo</w:t>
      </w:r>
      <w:r w:rsidR="006A2F96">
        <w:rPr>
          <w:rFonts w:ascii="Arial" w:hAnsi="Arial" w:cs="Arial"/>
          <w:sz w:val="24"/>
        </w:rPr>
        <w:t xml:space="preserve"> su observancia obligatoria, de </w:t>
      </w:r>
      <w:r w:rsidRPr="00EE4233">
        <w:rPr>
          <w:rFonts w:ascii="Arial" w:hAnsi="Arial" w:cs="Arial"/>
          <w:sz w:val="24"/>
        </w:rPr>
        <w:t>conformidad con el artículo 7 de la Ley General de Contabilidad Gubernamental, como sigue:</w:t>
      </w:r>
    </w:p>
    <w:p w:rsidR="006A2F96" w:rsidRDefault="00EE4233" w:rsidP="00EE4233">
      <w:pPr>
        <w:spacing w:after="0" w:line="360" w:lineRule="auto"/>
        <w:contextualSpacing/>
        <w:jc w:val="both"/>
        <w:rPr>
          <w:rFonts w:ascii="Arial" w:hAnsi="Arial" w:cs="Arial"/>
          <w:sz w:val="24"/>
        </w:rPr>
      </w:pPr>
      <w:r>
        <w:rPr>
          <w:rFonts w:ascii="Arial" w:hAnsi="Arial" w:cs="Arial"/>
          <w:noProof/>
          <w:sz w:val="24"/>
          <w:lang w:val="es-MX" w:eastAsia="es-MX"/>
        </w:rPr>
        <w:lastRenderedPageBreak/>
        <w:drawing>
          <wp:inline distT="0" distB="0" distL="0" distR="0">
            <wp:extent cx="4405630" cy="2624455"/>
            <wp:effectExtent l="0" t="0" r="0" b="444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05630" cy="2624455"/>
                    </a:xfrm>
                    <a:prstGeom prst="rect">
                      <a:avLst/>
                    </a:prstGeom>
                    <a:noFill/>
                    <a:ln>
                      <a:noFill/>
                    </a:ln>
                  </pic:spPr>
                </pic:pic>
              </a:graphicData>
            </a:graphic>
          </wp:inline>
        </w:drawing>
      </w:r>
    </w:p>
    <w:p w:rsidR="006A2F96" w:rsidRDefault="006A2F96" w:rsidP="00EE4233">
      <w:pPr>
        <w:spacing w:after="0" w:line="360" w:lineRule="auto"/>
        <w:contextualSpacing/>
        <w:jc w:val="both"/>
        <w:rPr>
          <w:rFonts w:ascii="Arial" w:hAnsi="Arial" w:cs="Arial"/>
          <w:sz w:val="24"/>
        </w:rPr>
      </w:pPr>
    </w:p>
    <w:p w:rsidR="00EE4233" w:rsidRPr="006A2F96" w:rsidRDefault="00EE4233" w:rsidP="00EE4233">
      <w:pPr>
        <w:spacing w:after="0" w:line="360" w:lineRule="auto"/>
        <w:contextualSpacing/>
        <w:jc w:val="both"/>
        <w:rPr>
          <w:rFonts w:ascii="Arial" w:hAnsi="Arial" w:cs="Arial"/>
          <w:sz w:val="24"/>
        </w:rPr>
      </w:pPr>
      <w:r w:rsidRPr="006A2F96">
        <w:rPr>
          <w:rFonts w:ascii="Arial" w:hAnsi="Arial" w:cs="Arial"/>
          <w:b/>
          <w:sz w:val="24"/>
        </w:rPr>
        <w:t>Análisis de la Auditoría Superior del Estado</w:t>
      </w:r>
    </w:p>
    <w:p w:rsidR="00EE4233" w:rsidRPr="00EE4233" w:rsidRDefault="00EE4233" w:rsidP="00EE4233">
      <w:pPr>
        <w:spacing w:after="0" w:line="360" w:lineRule="auto"/>
        <w:contextualSpacing/>
        <w:jc w:val="both"/>
        <w:rPr>
          <w:rFonts w:ascii="Arial" w:hAnsi="Arial" w:cs="Arial"/>
          <w:sz w:val="24"/>
        </w:rPr>
      </w:pPr>
      <w:r w:rsidRPr="00EE4233">
        <w:rPr>
          <w:rFonts w:ascii="Arial" w:hAnsi="Arial" w:cs="Arial"/>
          <w:sz w:val="24"/>
        </w:rPr>
        <w:t xml:space="preserve">Solventa parcialmente, toda vez que el programa anual de </w:t>
      </w:r>
      <w:r w:rsidR="006A2F96">
        <w:rPr>
          <w:rFonts w:ascii="Arial" w:hAnsi="Arial" w:cs="Arial"/>
          <w:sz w:val="24"/>
        </w:rPr>
        <w:t xml:space="preserve">disposición final de los bienes </w:t>
      </w:r>
      <w:r w:rsidRPr="00EE4233">
        <w:rPr>
          <w:rFonts w:ascii="Arial" w:hAnsi="Arial" w:cs="Arial"/>
          <w:sz w:val="24"/>
        </w:rPr>
        <w:t>muebles presentado por el Ente Público, no corresponde al</w:t>
      </w:r>
      <w:r w:rsidR="006A2F96">
        <w:rPr>
          <w:rFonts w:ascii="Arial" w:hAnsi="Arial" w:cs="Arial"/>
          <w:sz w:val="24"/>
        </w:rPr>
        <w:t xml:space="preserve"> documento definitivo, dado que </w:t>
      </w:r>
      <w:r w:rsidRPr="00EE4233">
        <w:rPr>
          <w:rFonts w:ascii="Arial" w:hAnsi="Arial" w:cs="Arial"/>
          <w:sz w:val="24"/>
        </w:rPr>
        <w:t>el mismo establece que está sujeto a modificaciones y s</w:t>
      </w:r>
      <w:r w:rsidR="006A2F96">
        <w:rPr>
          <w:rFonts w:ascii="Arial" w:hAnsi="Arial" w:cs="Arial"/>
          <w:sz w:val="24"/>
        </w:rPr>
        <w:t xml:space="preserve">erá debidamente aprobado por la </w:t>
      </w:r>
      <w:r w:rsidRPr="00EE4233">
        <w:rPr>
          <w:rFonts w:ascii="Arial" w:hAnsi="Arial" w:cs="Arial"/>
          <w:sz w:val="24"/>
        </w:rPr>
        <w:t>Junta de Gobierno, además debió emitirse con anteriorida</w:t>
      </w:r>
      <w:r w:rsidR="006A2F96">
        <w:rPr>
          <w:rFonts w:ascii="Arial" w:hAnsi="Arial" w:cs="Arial"/>
          <w:sz w:val="24"/>
        </w:rPr>
        <w:t xml:space="preserve">d a la fecha del dictamen de no </w:t>
      </w:r>
      <w:r w:rsidRPr="00EE4233">
        <w:rPr>
          <w:rFonts w:ascii="Arial" w:hAnsi="Arial" w:cs="Arial"/>
          <w:sz w:val="24"/>
        </w:rPr>
        <w:t>utilidad.</w:t>
      </w:r>
    </w:p>
    <w:p w:rsidR="006A2F96" w:rsidRDefault="006A2F96" w:rsidP="00EE4233">
      <w:pPr>
        <w:spacing w:after="0" w:line="360" w:lineRule="auto"/>
        <w:contextualSpacing/>
        <w:jc w:val="both"/>
        <w:rPr>
          <w:rFonts w:ascii="Arial" w:hAnsi="Arial" w:cs="Arial"/>
          <w:sz w:val="24"/>
        </w:rPr>
      </w:pPr>
    </w:p>
    <w:p w:rsidR="00EE4233" w:rsidRPr="00EE4233" w:rsidRDefault="00EE4233" w:rsidP="00EE4233">
      <w:pPr>
        <w:spacing w:after="0" w:line="360" w:lineRule="auto"/>
        <w:contextualSpacing/>
        <w:jc w:val="both"/>
        <w:rPr>
          <w:rFonts w:ascii="Arial" w:hAnsi="Arial" w:cs="Arial"/>
          <w:sz w:val="24"/>
        </w:rPr>
      </w:pPr>
      <w:r w:rsidRPr="00EE4233">
        <w:rPr>
          <w:rFonts w:ascii="Arial" w:hAnsi="Arial" w:cs="Arial"/>
          <w:sz w:val="24"/>
        </w:rPr>
        <w:t>Cabe mencionar que el lineamiento observa</w:t>
      </w:r>
      <w:r w:rsidR="006A2F96">
        <w:rPr>
          <w:rFonts w:ascii="Arial" w:hAnsi="Arial" w:cs="Arial"/>
          <w:sz w:val="24"/>
        </w:rPr>
        <w:t xml:space="preserve">do señala que una vez concluida la disposición </w:t>
      </w:r>
      <w:r w:rsidRPr="00EE4233">
        <w:rPr>
          <w:rFonts w:ascii="Arial" w:hAnsi="Arial" w:cs="Arial"/>
          <w:sz w:val="24"/>
        </w:rPr>
        <w:t>final de los bienes conforme a las normas aplicables, se pro</w:t>
      </w:r>
      <w:r w:rsidR="006A2F96">
        <w:rPr>
          <w:rFonts w:ascii="Arial" w:hAnsi="Arial" w:cs="Arial"/>
          <w:sz w:val="24"/>
        </w:rPr>
        <w:t xml:space="preserve">cederá a su baja, situación que </w:t>
      </w:r>
      <w:r w:rsidRPr="00EE4233">
        <w:rPr>
          <w:rFonts w:ascii="Arial" w:hAnsi="Arial" w:cs="Arial"/>
          <w:sz w:val="24"/>
        </w:rPr>
        <w:t>no se cumplió.</w:t>
      </w:r>
    </w:p>
    <w:p w:rsidR="006A2F96" w:rsidRDefault="006A2F96" w:rsidP="00EE4233">
      <w:pPr>
        <w:spacing w:after="0" w:line="360" w:lineRule="auto"/>
        <w:contextualSpacing/>
        <w:jc w:val="both"/>
        <w:rPr>
          <w:rFonts w:ascii="Arial" w:hAnsi="Arial" w:cs="Arial"/>
          <w:sz w:val="24"/>
        </w:rPr>
      </w:pPr>
    </w:p>
    <w:p w:rsidR="00EE4233" w:rsidRPr="006A2F96" w:rsidRDefault="00EE4233" w:rsidP="00EE4233">
      <w:pPr>
        <w:spacing w:after="0" w:line="360" w:lineRule="auto"/>
        <w:contextualSpacing/>
        <w:jc w:val="both"/>
        <w:rPr>
          <w:rFonts w:ascii="Arial" w:hAnsi="Arial" w:cs="Arial"/>
          <w:b/>
          <w:sz w:val="24"/>
        </w:rPr>
      </w:pPr>
      <w:r w:rsidRPr="006A2F96">
        <w:rPr>
          <w:rFonts w:ascii="Arial" w:hAnsi="Arial" w:cs="Arial"/>
          <w:b/>
          <w:sz w:val="24"/>
        </w:rPr>
        <w:t>Acción(es) o recomendación(es) emitida(s)</w:t>
      </w:r>
    </w:p>
    <w:p w:rsidR="00EE4233" w:rsidRPr="006A2F96" w:rsidRDefault="00EE4233" w:rsidP="00EE4233">
      <w:pPr>
        <w:spacing w:after="0" w:line="360" w:lineRule="auto"/>
        <w:contextualSpacing/>
        <w:jc w:val="both"/>
        <w:rPr>
          <w:rFonts w:ascii="Arial" w:hAnsi="Arial" w:cs="Arial"/>
          <w:i/>
          <w:sz w:val="24"/>
        </w:rPr>
      </w:pPr>
      <w:r w:rsidRPr="006A2F96">
        <w:rPr>
          <w:rFonts w:ascii="Arial" w:hAnsi="Arial" w:cs="Arial"/>
          <w:i/>
          <w:sz w:val="24"/>
        </w:rPr>
        <w:t>Promoción de Fincamiento de Responsabilidad Administrativa.</w:t>
      </w:r>
    </w:p>
    <w:p w:rsidR="006A2F96" w:rsidRDefault="006A2F96" w:rsidP="00EE4233">
      <w:pPr>
        <w:spacing w:after="0" w:line="360" w:lineRule="auto"/>
        <w:contextualSpacing/>
        <w:jc w:val="both"/>
        <w:rPr>
          <w:rFonts w:ascii="Arial" w:hAnsi="Arial" w:cs="Arial"/>
          <w:sz w:val="24"/>
        </w:rPr>
      </w:pPr>
    </w:p>
    <w:p w:rsidR="00EE4233" w:rsidRPr="006A2F96" w:rsidRDefault="00EE4233" w:rsidP="00EE4233">
      <w:pPr>
        <w:spacing w:after="0" w:line="360" w:lineRule="auto"/>
        <w:contextualSpacing/>
        <w:jc w:val="both"/>
        <w:rPr>
          <w:rFonts w:ascii="Arial" w:hAnsi="Arial" w:cs="Arial"/>
          <w:b/>
          <w:sz w:val="24"/>
          <w:u w:val="single"/>
        </w:rPr>
      </w:pPr>
      <w:r w:rsidRPr="006A2F96">
        <w:rPr>
          <w:rFonts w:ascii="Arial" w:hAnsi="Arial" w:cs="Arial"/>
          <w:b/>
          <w:sz w:val="24"/>
          <w:u w:val="single"/>
        </w:rPr>
        <w:lastRenderedPageBreak/>
        <w:t>Equipo de transporte</w:t>
      </w:r>
    </w:p>
    <w:p w:rsidR="006A2F96" w:rsidRDefault="00EE4233" w:rsidP="00EE4233">
      <w:pPr>
        <w:spacing w:after="0" w:line="360" w:lineRule="auto"/>
        <w:contextualSpacing/>
        <w:jc w:val="both"/>
        <w:rPr>
          <w:rFonts w:ascii="Arial" w:hAnsi="Arial" w:cs="Arial"/>
          <w:sz w:val="24"/>
        </w:rPr>
      </w:pPr>
      <w:r w:rsidRPr="006A2F96">
        <w:rPr>
          <w:rFonts w:ascii="Arial" w:hAnsi="Arial" w:cs="Arial"/>
          <w:b/>
          <w:sz w:val="24"/>
        </w:rPr>
        <w:t xml:space="preserve">3. </w:t>
      </w:r>
      <w:r w:rsidRPr="00EE4233">
        <w:rPr>
          <w:rFonts w:ascii="Arial" w:hAnsi="Arial" w:cs="Arial"/>
          <w:sz w:val="24"/>
        </w:rPr>
        <w:t>Durante el ejercicio 2015, el Ente Público realizó la baja</w:t>
      </w:r>
      <w:r w:rsidR="006A2F96">
        <w:rPr>
          <w:rFonts w:ascii="Arial" w:hAnsi="Arial" w:cs="Arial"/>
          <w:sz w:val="24"/>
        </w:rPr>
        <w:t xml:space="preserve"> de un vehículo marca Jeep tipo </w:t>
      </w:r>
      <w:r w:rsidRPr="00EE4233">
        <w:rPr>
          <w:rFonts w:ascii="Arial" w:hAnsi="Arial" w:cs="Arial"/>
          <w:sz w:val="24"/>
        </w:rPr>
        <w:t>Grand Cherokee número de serie 1J4GX48S84C428999 se</w:t>
      </w:r>
      <w:r w:rsidR="006A2F96">
        <w:rPr>
          <w:rFonts w:ascii="Arial" w:hAnsi="Arial" w:cs="Arial"/>
          <w:sz w:val="24"/>
        </w:rPr>
        <w:t xml:space="preserve">gún póliza de diario 113 del 14 </w:t>
      </w:r>
      <w:r w:rsidRPr="00EE4233">
        <w:rPr>
          <w:rFonts w:ascii="Arial" w:hAnsi="Arial" w:cs="Arial"/>
          <w:sz w:val="24"/>
        </w:rPr>
        <w:t>de septiembre de 2015, observando falta del reconocimie</w:t>
      </w:r>
      <w:r w:rsidR="006A2F96">
        <w:rPr>
          <w:rFonts w:ascii="Arial" w:hAnsi="Arial" w:cs="Arial"/>
          <w:sz w:val="24"/>
        </w:rPr>
        <w:t xml:space="preserve">nto del ingreso y evidencia del </w:t>
      </w:r>
      <w:r w:rsidRPr="00EE4233">
        <w:rPr>
          <w:rFonts w:ascii="Arial" w:hAnsi="Arial" w:cs="Arial"/>
          <w:sz w:val="24"/>
        </w:rPr>
        <w:t>depósito en las cuentas bancarias por $77,000, dado que al s</w:t>
      </w:r>
      <w:r w:rsidR="006A2F96">
        <w:rPr>
          <w:rFonts w:ascii="Arial" w:hAnsi="Arial" w:cs="Arial"/>
          <w:sz w:val="24"/>
        </w:rPr>
        <w:t xml:space="preserve">er el activo fijo propiedad del </w:t>
      </w:r>
      <w:r w:rsidRPr="00EE4233">
        <w:rPr>
          <w:rFonts w:ascii="Arial" w:hAnsi="Arial" w:cs="Arial"/>
          <w:sz w:val="24"/>
        </w:rPr>
        <w:t>Ente Público, el monto recuperado señalado</w:t>
      </w:r>
      <w:r w:rsidR="006A2F96">
        <w:rPr>
          <w:rFonts w:ascii="Arial" w:hAnsi="Arial" w:cs="Arial"/>
          <w:sz w:val="24"/>
        </w:rPr>
        <w:t xml:space="preserve"> en el contrato de compra venta </w:t>
      </w:r>
      <w:r w:rsidRPr="00EE4233">
        <w:rPr>
          <w:rFonts w:ascii="Arial" w:hAnsi="Arial" w:cs="Arial"/>
          <w:sz w:val="24"/>
        </w:rPr>
        <w:t>del 15 de mayo</w:t>
      </w:r>
      <w:r>
        <w:rPr>
          <w:rFonts w:ascii="Arial" w:hAnsi="Arial" w:cs="Arial"/>
          <w:sz w:val="24"/>
        </w:rPr>
        <w:t xml:space="preserve"> </w:t>
      </w:r>
      <w:r w:rsidRPr="00EE4233">
        <w:rPr>
          <w:rFonts w:ascii="Arial" w:hAnsi="Arial" w:cs="Arial"/>
          <w:sz w:val="24"/>
        </w:rPr>
        <w:t>de 2013 debió obtenerlo el Instituto de Innovación y Trans</w:t>
      </w:r>
      <w:r w:rsidR="006A2F96">
        <w:rPr>
          <w:rFonts w:ascii="Arial" w:hAnsi="Arial" w:cs="Arial"/>
          <w:sz w:val="24"/>
        </w:rPr>
        <w:t xml:space="preserve">ferencia de Tecnología de Nuevo León. </w:t>
      </w:r>
      <w:r w:rsidRPr="00EE4233">
        <w:rPr>
          <w:rFonts w:ascii="Arial" w:hAnsi="Arial" w:cs="Arial"/>
          <w:sz w:val="24"/>
        </w:rPr>
        <w:t>Incumpliendo con lo señalado en el capítulo III plan de</w:t>
      </w:r>
      <w:r w:rsidR="006A2F96">
        <w:rPr>
          <w:rFonts w:ascii="Arial" w:hAnsi="Arial" w:cs="Arial"/>
          <w:sz w:val="24"/>
        </w:rPr>
        <w:t xml:space="preserve"> cuentas del Acuerdo por el que </w:t>
      </w:r>
      <w:r w:rsidRPr="00EE4233">
        <w:rPr>
          <w:rFonts w:ascii="Arial" w:hAnsi="Arial" w:cs="Arial"/>
          <w:sz w:val="24"/>
        </w:rPr>
        <w:t>se emite el Manual de Contabilidad Gubernamental, publi</w:t>
      </w:r>
      <w:r w:rsidR="006A2F96">
        <w:rPr>
          <w:rFonts w:ascii="Arial" w:hAnsi="Arial" w:cs="Arial"/>
          <w:sz w:val="24"/>
        </w:rPr>
        <w:t xml:space="preserve">cado en el Diario Oficial de la </w:t>
      </w:r>
      <w:r w:rsidRPr="00EE4233">
        <w:rPr>
          <w:rFonts w:ascii="Arial" w:hAnsi="Arial" w:cs="Arial"/>
          <w:sz w:val="24"/>
        </w:rPr>
        <w:t>Federación el 22 de noviembre de 2010 por el Consejo Nac</w:t>
      </w:r>
      <w:r w:rsidR="006A2F96">
        <w:rPr>
          <w:rFonts w:ascii="Arial" w:hAnsi="Arial" w:cs="Arial"/>
          <w:sz w:val="24"/>
        </w:rPr>
        <w:t xml:space="preserve">ional de Armonización Contable, </w:t>
      </w:r>
      <w:r w:rsidRPr="00EE4233">
        <w:rPr>
          <w:rFonts w:ascii="Arial" w:hAnsi="Arial" w:cs="Arial"/>
          <w:sz w:val="24"/>
        </w:rPr>
        <w:t xml:space="preserve">estableciendo su observancia obligatoria, de conformidad con </w:t>
      </w:r>
      <w:r w:rsidR="006A2F96">
        <w:rPr>
          <w:rFonts w:ascii="Arial" w:hAnsi="Arial" w:cs="Arial"/>
          <w:sz w:val="24"/>
        </w:rPr>
        <w:t xml:space="preserve">el artículo 7 de la Ley General de Contabilidad Gubernamental. </w:t>
      </w:r>
    </w:p>
    <w:p w:rsidR="006A2F96" w:rsidRDefault="006A2F96" w:rsidP="00EE4233">
      <w:pPr>
        <w:spacing w:after="0" w:line="360" w:lineRule="auto"/>
        <w:contextualSpacing/>
        <w:jc w:val="both"/>
        <w:rPr>
          <w:rFonts w:ascii="Arial" w:hAnsi="Arial" w:cs="Arial"/>
          <w:sz w:val="24"/>
        </w:rPr>
      </w:pPr>
    </w:p>
    <w:p w:rsidR="00EE4233" w:rsidRDefault="00EE4233" w:rsidP="00EE4233">
      <w:pPr>
        <w:spacing w:after="0" w:line="360" w:lineRule="auto"/>
        <w:contextualSpacing/>
        <w:jc w:val="both"/>
        <w:rPr>
          <w:rFonts w:ascii="Arial" w:hAnsi="Arial" w:cs="Arial"/>
          <w:sz w:val="24"/>
        </w:rPr>
      </w:pPr>
      <w:r w:rsidRPr="00EE4233">
        <w:rPr>
          <w:rFonts w:ascii="Arial" w:hAnsi="Arial" w:cs="Arial"/>
          <w:sz w:val="24"/>
        </w:rPr>
        <w:t>Como nota: Los depósitos fueron realizados en las cue</w:t>
      </w:r>
      <w:r w:rsidR="006A2F96">
        <w:rPr>
          <w:rFonts w:ascii="Arial" w:hAnsi="Arial" w:cs="Arial"/>
          <w:sz w:val="24"/>
        </w:rPr>
        <w:t xml:space="preserve">ntas bancarias del Gobierno del </w:t>
      </w:r>
      <w:r w:rsidRPr="00EE4233">
        <w:rPr>
          <w:rFonts w:ascii="Arial" w:hAnsi="Arial" w:cs="Arial"/>
          <w:sz w:val="24"/>
        </w:rPr>
        <w:t>Estado de Nuevo León.</w:t>
      </w:r>
    </w:p>
    <w:p w:rsidR="006A2F96" w:rsidRDefault="006A2F96" w:rsidP="00EE4233">
      <w:pPr>
        <w:spacing w:after="0" w:line="360" w:lineRule="auto"/>
        <w:contextualSpacing/>
        <w:jc w:val="both"/>
        <w:rPr>
          <w:rFonts w:ascii="Arial" w:hAnsi="Arial" w:cs="Arial"/>
          <w:sz w:val="24"/>
        </w:rPr>
      </w:pPr>
    </w:p>
    <w:p w:rsidR="00EE4233" w:rsidRPr="006A2F96" w:rsidRDefault="00EE4233" w:rsidP="00EE4233">
      <w:pPr>
        <w:spacing w:after="0" w:line="360" w:lineRule="auto"/>
        <w:contextualSpacing/>
        <w:jc w:val="both"/>
        <w:rPr>
          <w:rFonts w:ascii="Arial" w:hAnsi="Arial" w:cs="Arial"/>
          <w:b/>
          <w:sz w:val="24"/>
        </w:rPr>
      </w:pPr>
      <w:r w:rsidRPr="006A2F96">
        <w:rPr>
          <w:rFonts w:ascii="Arial" w:hAnsi="Arial" w:cs="Arial"/>
          <w:b/>
          <w:sz w:val="24"/>
        </w:rPr>
        <w:t>Acción(es) o recomendación(es) emitida(s)</w:t>
      </w:r>
    </w:p>
    <w:p w:rsidR="00EE4233" w:rsidRPr="006A2F96" w:rsidRDefault="00EE4233" w:rsidP="00EE4233">
      <w:pPr>
        <w:spacing w:after="0" w:line="360" w:lineRule="auto"/>
        <w:contextualSpacing/>
        <w:jc w:val="both"/>
        <w:rPr>
          <w:rFonts w:ascii="Arial" w:hAnsi="Arial" w:cs="Arial"/>
          <w:i/>
          <w:sz w:val="24"/>
        </w:rPr>
      </w:pPr>
      <w:r w:rsidRPr="006A2F96">
        <w:rPr>
          <w:rFonts w:ascii="Arial" w:hAnsi="Arial" w:cs="Arial"/>
          <w:i/>
          <w:sz w:val="24"/>
        </w:rPr>
        <w:t>Promoción de Fincamiento de Responsabilidad Administrativa.</w:t>
      </w:r>
    </w:p>
    <w:p w:rsidR="006A2F96" w:rsidRDefault="006A2F96" w:rsidP="00EE4233">
      <w:pPr>
        <w:spacing w:after="0" w:line="360" w:lineRule="auto"/>
        <w:contextualSpacing/>
        <w:jc w:val="both"/>
        <w:rPr>
          <w:rFonts w:ascii="Arial" w:hAnsi="Arial" w:cs="Arial"/>
          <w:sz w:val="24"/>
        </w:rPr>
      </w:pPr>
    </w:p>
    <w:p w:rsidR="00EE4233" w:rsidRPr="006A2F96" w:rsidRDefault="00EE4233" w:rsidP="00EE4233">
      <w:pPr>
        <w:spacing w:after="0" w:line="360" w:lineRule="auto"/>
        <w:contextualSpacing/>
        <w:jc w:val="both"/>
        <w:rPr>
          <w:rFonts w:ascii="Arial" w:hAnsi="Arial" w:cs="Arial"/>
          <w:b/>
          <w:sz w:val="24"/>
          <w:u w:val="single"/>
        </w:rPr>
      </w:pPr>
      <w:r w:rsidRPr="006A2F96">
        <w:rPr>
          <w:rFonts w:ascii="Arial" w:hAnsi="Arial" w:cs="Arial"/>
          <w:b/>
          <w:sz w:val="24"/>
          <w:u w:val="single"/>
        </w:rPr>
        <w:t>Mobiliario y equipo de administración</w:t>
      </w:r>
    </w:p>
    <w:p w:rsidR="00EE4233" w:rsidRDefault="00EE4233" w:rsidP="00EE4233">
      <w:pPr>
        <w:spacing w:after="0" w:line="360" w:lineRule="auto"/>
        <w:contextualSpacing/>
        <w:jc w:val="both"/>
        <w:rPr>
          <w:rFonts w:ascii="Arial" w:hAnsi="Arial" w:cs="Arial"/>
          <w:sz w:val="24"/>
        </w:rPr>
      </w:pPr>
      <w:r w:rsidRPr="006A2F96">
        <w:rPr>
          <w:rFonts w:ascii="Arial" w:hAnsi="Arial" w:cs="Arial"/>
          <w:b/>
          <w:sz w:val="24"/>
        </w:rPr>
        <w:t>4.</w:t>
      </w:r>
      <w:r w:rsidRPr="00EE4233">
        <w:rPr>
          <w:rFonts w:ascii="Arial" w:hAnsi="Arial" w:cs="Arial"/>
          <w:sz w:val="24"/>
        </w:rPr>
        <w:t xml:space="preserve"> Al revisar los registros contables relativos a activos fijos (m</w:t>
      </w:r>
      <w:r w:rsidR="006A2F96">
        <w:rPr>
          <w:rFonts w:ascii="Arial" w:hAnsi="Arial" w:cs="Arial"/>
          <w:sz w:val="24"/>
        </w:rPr>
        <w:t xml:space="preserve">obiliario y equipo de oficina), </w:t>
      </w:r>
      <w:r w:rsidRPr="00EE4233">
        <w:rPr>
          <w:rFonts w:ascii="Arial" w:hAnsi="Arial" w:cs="Arial"/>
          <w:sz w:val="24"/>
        </w:rPr>
        <w:t>se observó que el Ente Público realizó afectaciones a la co</w:t>
      </w:r>
      <w:r w:rsidR="006A2F96">
        <w:rPr>
          <w:rFonts w:ascii="Arial" w:hAnsi="Arial" w:cs="Arial"/>
          <w:sz w:val="24"/>
        </w:rPr>
        <w:t xml:space="preserve">ntabilidad sin la documentación </w:t>
      </w:r>
      <w:r w:rsidRPr="00EE4233">
        <w:rPr>
          <w:rFonts w:ascii="Arial" w:hAnsi="Arial" w:cs="Arial"/>
          <w:sz w:val="24"/>
        </w:rPr>
        <w:t xml:space="preserve">justificativa y comprobatoria y sin haber </w:t>
      </w:r>
      <w:r w:rsidRPr="00EE4233">
        <w:rPr>
          <w:rFonts w:ascii="Arial" w:hAnsi="Arial" w:cs="Arial"/>
          <w:sz w:val="24"/>
        </w:rPr>
        <w:lastRenderedPageBreak/>
        <w:t>acreditado la rec</w:t>
      </w:r>
      <w:r w:rsidR="006A2F96">
        <w:rPr>
          <w:rFonts w:ascii="Arial" w:hAnsi="Arial" w:cs="Arial"/>
          <w:sz w:val="24"/>
        </w:rPr>
        <w:t xml:space="preserve">epción del bien o servicio, por </w:t>
      </w:r>
      <w:r w:rsidRPr="00EE4233">
        <w:rPr>
          <w:rFonts w:ascii="Arial" w:hAnsi="Arial" w:cs="Arial"/>
          <w:sz w:val="24"/>
        </w:rPr>
        <w:t>lo que no refleja una obligación de pago por ese conc</w:t>
      </w:r>
      <w:r w:rsidR="006A2F96">
        <w:rPr>
          <w:rFonts w:ascii="Arial" w:hAnsi="Arial" w:cs="Arial"/>
          <w:sz w:val="24"/>
        </w:rPr>
        <w:t xml:space="preserve">epto registrado en la póliza de </w:t>
      </w:r>
      <w:r w:rsidRPr="00EE4233">
        <w:rPr>
          <w:rFonts w:ascii="Arial" w:hAnsi="Arial" w:cs="Arial"/>
          <w:sz w:val="24"/>
        </w:rPr>
        <w:t>diario número 126 del 29 de diciembre de 2015 por un</w:t>
      </w:r>
      <w:r w:rsidR="006A2F96">
        <w:rPr>
          <w:rFonts w:ascii="Arial" w:hAnsi="Arial" w:cs="Arial"/>
          <w:sz w:val="24"/>
        </w:rPr>
        <w:t xml:space="preserve"> total de $216,324, lo anterior </w:t>
      </w:r>
      <w:r w:rsidRPr="00EE4233">
        <w:rPr>
          <w:rFonts w:ascii="Arial" w:hAnsi="Arial" w:cs="Arial"/>
          <w:sz w:val="24"/>
        </w:rPr>
        <w:t>incumpliendo lo señalado por el Postulado número 8) "De</w:t>
      </w:r>
      <w:r w:rsidR="006A2F96">
        <w:rPr>
          <w:rFonts w:ascii="Arial" w:hAnsi="Arial" w:cs="Arial"/>
          <w:sz w:val="24"/>
        </w:rPr>
        <w:t xml:space="preserve">vengo Contable" del Acuerdo por </w:t>
      </w:r>
      <w:r w:rsidRPr="00EE4233">
        <w:rPr>
          <w:rFonts w:ascii="Arial" w:hAnsi="Arial" w:cs="Arial"/>
          <w:sz w:val="24"/>
        </w:rPr>
        <w:t xml:space="preserve">el que se emiten los postulados básicos de contabilidad </w:t>
      </w:r>
      <w:r w:rsidR="006A2F96">
        <w:rPr>
          <w:rFonts w:ascii="Arial" w:hAnsi="Arial" w:cs="Arial"/>
          <w:sz w:val="24"/>
        </w:rPr>
        <w:t xml:space="preserve">gubernamental, estableciendo su </w:t>
      </w:r>
      <w:r w:rsidRPr="00EE4233">
        <w:rPr>
          <w:rFonts w:ascii="Arial" w:hAnsi="Arial" w:cs="Arial"/>
          <w:sz w:val="24"/>
        </w:rPr>
        <w:t>observancia obligatoria, de conformidad con el artículo 7, en</w:t>
      </w:r>
      <w:r w:rsidR="006A2F96">
        <w:rPr>
          <w:rFonts w:ascii="Arial" w:hAnsi="Arial" w:cs="Arial"/>
          <w:sz w:val="24"/>
        </w:rPr>
        <w:t xml:space="preserve"> concordancia con los artículos </w:t>
      </w:r>
      <w:r w:rsidRPr="00EE4233">
        <w:rPr>
          <w:rFonts w:ascii="Arial" w:hAnsi="Arial" w:cs="Arial"/>
          <w:sz w:val="24"/>
        </w:rPr>
        <w:t xml:space="preserve">34, 42 y 43 de la Ley General de Contabilidad Gubernamental </w:t>
      </w:r>
      <w:r w:rsidR="006A2F96">
        <w:rPr>
          <w:rFonts w:ascii="Arial" w:hAnsi="Arial" w:cs="Arial"/>
          <w:sz w:val="24"/>
        </w:rPr>
        <w:t xml:space="preserve">y 15 de la Ley de Fiscalización </w:t>
      </w:r>
      <w:r w:rsidRPr="00EE4233">
        <w:rPr>
          <w:rFonts w:ascii="Arial" w:hAnsi="Arial" w:cs="Arial"/>
          <w:sz w:val="24"/>
        </w:rPr>
        <w:t>Superior del Estado de Nuevo León.</w:t>
      </w:r>
    </w:p>
    <w:p w:rsidR="00EE4233" w:rsidRDefault="00EE4233" w:rsidP="00EE4233">
      <w:pPr>
        <w:spacing w:after="0" w:line="360" w:lineRule="auto"/>
        <w:contextualSpacing/>
        <w:jc w:val="both"/>
        <w:rPr>
          <w:rFonts w:ascii="Arial" w:hAnsi="Arial" w:cs="Arial"/>
          <w:sz w:val="24"/>
        </w:rPr>
      </w:pPr>
    </w:p>
    <w:p w:rsidR="00EE4233" w:rsidRPr="006A2F96" w:rsidRDefault="00EE4233" w:rsidP="00EE4233">
      <w:pPr>
        <w:spacing w:after="0" w:line="360" w:lineRule="auto"/>
        <w:contextualSpacing/>
        <w:jc w:val="both"/>
        <w:rPr>
          <w:rFonts w:ascii="Arial" w:hAnsi="Arial" w:cs="Arial"/>
          <w:b/>
          <w:sz w:val="24"/>
        </w:rPr>
      </w:pPr>
      <w:r w:rsidRPr="006A2F96">
        <w:rPr>
          <w:rFonts w:ascii="Arial" w:hAnsi="Arial" w:cs="Arial"/>
          <w:b/>
          <w:sz w:val="24"/>
        </w:rPr>
        <w:t>Análisis de la Auditoría Superior del Estado</w:t>
      </w:r>
    </w:p>
    <w:p w:rsidR="00EE4233" w:rsidRPr="00EE4233" w:rsidRDefault="00EE4233" w:rsidP="00EE4233">
      <w:pPr>
        <w:spacing w:after="0" w:line="360" w:lineRule="auto"/>
        <w:contextualSpacing/>
        <w:jc w:val="both"/>
        <w:rPr>
          <w:rFonts w:ascii="Arial" w:hAnsi="Arial" w:cs="Arial"/>
          <w:sz w:val="24"/>
        </w:rPr>
      </w:pPr>
      <w:r w:rsidRPr="00EE4233">
        <w:rPr>
          <w:rFonts w:ascii="Arial" w:hAnsi="Arial" w:cs="Arial"/>
          <w:sz w:val="24"/>
        </w:rPr>
        <w:t>Se analizó la respuesta y documentación proporcionada por el Ente Público, la cual sol</w:t>
      </w:r>
      <w:r w:rsidR="006A2F96">
        <w:rPr>
          <w:rFonts w:ascii="Arial" w:hAnsi="Arial" w:cs="Arial"/>
          <w:sz w:val="24"/>
        </w:rPr>
        <w:t xml:space="preserve">venta </w:t>
      </w:r>
      <w:r w:rsidRPr="00EE4233">
        <w:rPr>
          <w:rFonts w:ascii="Arial" w:hAnsi="Arial" w:cs="Arial"/>
          <w:sz w:val="24"/>
        </w:rPr>
        <w:t>parcialmente, dado que aún y cuando realizó la cancelació</w:t>
      </w:r>
      <w:r w:rsidR="006A2F96">
        <w:rPr>
          <w:rFonts w:ascii="Arial" w:hAnsi="Arial" w:cs="Arial"/>
          <w:sz w:val="24"/>
        </w:rPr>
        <w:t xml:space="preserve">n de proveedores, fue efectuada </w:t>
      </w:r>
      <w:r w:rsidRPr="00EE4233">
        <w:rPr>
          <w:rFonts w:ascii="Arial" w:hAnsi="Arial" w:cs="Arial"/>
          <w:sz w:val="24"/>
        </w:rPr>
        <w:t>contra resultados de ejercicios anteriores dejando el sa</w:t>
      </w:r>
      <w:r w:rsidR="006A2F96">
        <w:rPr>
          <w:rFonts w:ascii="Arial" w:hAnsi="Arial" w:cs="Arial"/>
          <w:sz w:val="24"/>
        </w:rPr>
        <w:t xml:space="preserve">ldo de $216,324 en mobiliario y </w:t>
      </w:r>
      <w:r w:rsidRPr="00EE4233">
        <w:rPr>
          <w:rFonts w:ascii="Arial" w:hAnsi="Arial" w:cs="Arial"/>
          <w:sz w:val="24"/>
        </w:rPr>
        <w:t>equipo de oficina.</w:t>
      </w:r>
    </w:p>
    <w:p w:rsidR="006A2F96" w:rsidRDefault="006A2F96" w:rsidP="00EE4233">
      <w:pPr>
        <w:spacing w:after="0" w:line="360" w:lineRule="auto"/>
        <w:contextualSpacing/>
        <w:jc w:val="both"/>
        <w:rPr>
          <w:rFonts w:ascii="Arial" w:hAnsi="Arial" w:cs="Arial"/>
          <w:sz w:val="24"/>
        </w:rPr>
      </w:pPr>
    </w:p>
    <w:p w:rsidR="00EE4233" w:rsidRPr="006A2F96" w:rsidRDefault="00EE4233" w:rsidP="00EE4233">
      <w:pPr>
        <w:spacing w:after="0" w:line="360" w:lineRule="auto"/>
        <w:contextualSpacing/>
        <w:jc w:val="both"/>
        <w:rPr>
          <w:rFonts w:ascii="Arial" w:hAnsi="Arial" w:cs="Arial"/>
          <w:b/>
          <w:sz w:val="24"/>
        </w:rPr>
      </w:pPr>
      <w:r w:rsidRPr="006A2F96">
        <w:rPr>
          <w:rFonts w:ascii="Arial" w:hAnsi="Arial" w:cs="Arial"/>
          <w:b/>
          <w:sz w:val="24"/>
        </w:rPr>
        <w:t>Acción(es) o recomendación(es) emitida(s)</w:t>
      </w:r>
    </w:p>
    <w:p w:rsidR="00EE4233" w:rsidRPr="006A2F96" w:rsidRDefault="00EE4233" w:rsidP="00EE4233">
      <w:pPr>
        <w:spacing w:after="0" w:line="360" w:lineRule="auto"/>
        <w:contextualSpacing/>
        <w:jc w:val="both"/>
        <w:rPr>
          <w:rFonts w:ascii="Arial" w:hAnsi="Arial" w:cs="Arial"/>
          <w:i/>
          <w:sz w:val="24"/>
        </w:rPr>
      </w:pPr>
      <w:r w:rsidRPr="006A2F96">
        <w:rPr>
          <w:rFonts w:ascii="Arial" w:hAnsi="Arial" w:cs="Arial"/>
          <w:i/>
          <w:sz w:val="24"/>
        </w:rPr>
        <w:t>Promoción de Fincamiento de Responsabilidad Administrativa.</w:t>
      </w:r>
    </w:p>
    <w:p w:rsidR="006A2F96" w:rsidRDefault="006A2F96" w:rsidP="00EE4233">
      <w:pPr>
        <w:spacing w:after="0" w:line="360" w:lineRule="auto"/>
        <w:contextualSpacing/>
        <w:jc w:val="both"/>
        <w:rPr>
          <w:rFonts w:ascii="Arial" w:hAnsi="Arial" w:cs="Arial"/>
          <w:sz w:val="24"/>
        </w:rPr>
      </w:pPr>
    </w:p>
    <w:p w:rsidR="00EE4233" w:rsidRPr="006A2F96" w:rsidRDefault="00EE4233" w:rsidP="00EE4233">
      <w:pPr>
        <w:spacing w:after="0" w:line="360" w:lineRule="auto"/>
        <w:contextualSpacing/>
        <w:jc w:val="both"/>
        <w:rPr>
          <w:rFonts w:ascii="Arial" w:hAnsi="Arial" w:cs="Arial"/>
          <w:b/>
          <w:sz w:val="24"/>
          <w:u w:val="single"/>
        </w:rPr>
      </w:pPr>
      <w:r w:rsidRPr="006A2F96">
        <w:rPr>
          <w:rFonts w:ascii="Arial" w:hAnsi="Arial" w:cs="Arial"/>
          <w:b/>
          <w:sz w:val="24"/>
          <w:u w:val="single"/>
        </w:rPr>
        <w:t>Depreciación, deterioro y amortización acumulada de bienes</w:t>
      </w:r>
    </w:p>
    <w:p w:rsidR="00EE4233" w:rsidRDefault="00EE4233" w:rsidP="00EE4233">
      <w:pPr>
        <w:spacing w:after="0" w:line="360" w:lineRule="auto"/>
        <w:contextualSpacing/>
        <w:jc w:val="both"/>
        <w:rPr>
          <w:rFonts w:ascii="Arial" w:hAnsi="Arial" w:cs="Arial"/>
          <w:sz w:val="24"/>
        </w:rPr>
      </w:pPr>
      <w:r w:rsidRPr="006A2F96">
        <w:rPr>
          <w:rFonts w:ascii="Arial" w:hAnsi="Arial" w:cs="Arial"/>
          <w:b/>
          <w:sz w:val="24"/>
        </w:rPr>
        <w:t>5.</w:t>
      </w:r>
      <w:r w:rsidRPr="00EE4233">
        <w:rPr>
          <w:rFonts w:ascii="Arial" w:hAnsi="Arial" w:cs="Arial"/>
          <w:sz w:val="24"/>
        </w:rPr>
        <w:t xml:space="preserve"> En el ejercicio 2015 el Ente Público proporcionó cálcul</w:t>
      </w:r>
      <w:r w:rsidR="006A2F96">
        <w:rPr>
          <w:rFonts w:ascii="Arial" w:hAnsi="Arial" w:cs="Arial"/>
          <w:sz w:val="24"/>
        </w:rPr>
        <w:t xml:space="preserve">o de la depreciación de bienes, </w:t>
      </w:r>
      <w:r w:rsidRPr="00EE4233">
        <w:rPr>
          <w:rFonts w:ascii="Arial" w:hAnsi="Arial" w:cs="Arial"/>
          <w:sz w:val="24"/>
        </w:rPr>
        <w:t>observando lo siguiente:</w:t>
      </w:r>
    </w:p>
    <w:p w:rsidR="00EE4233" w:rsidRDefault="00EE4233" w:rsidP="00EE4233">
      <w:pPr>
        <w:spacing w:after="0" w:line="360" w:lineRule="auto"/>
        <w:contextualSpacing/>
        <w:jc w:val="both"/>
        <w:rPr>
          <w:rFonts w:ascii="Arial" w:hAnsi="Arial" w:cs="Arial"/>
          <w:sz w:val="24"/>
        </w:rPr>
      </w:pPr>
    </w:p>
    <w:p w:rsidR="00EE4233" w:rsidRPr="00EE4233" w:rsidRDefault="00EE4233" w:rsidP="00EE4233">
      <w:pPr>
        <w:spacing w:after="0" w:line="360" w:lineRule="auto"/>
        <w:contextualSpacing/>
        <w:jc w:val="both"/>
        <w:rPr>
          <w:rFonts w:ascii="Arial" w:hAnsi="Arial" w:cs="Arial"/>
          <w:sz w:val="24"/>
        </w:rPr>
      </w:pPr>
      <w:r w:rsidRPr="00EE4233">
        <w:rPr>
          <w:rFonts w:ascii="Arial" w:hAnsi="Arial" w:cs="Arial"/>
          <w:sz w:val="24"/>
        </w:rPr>
        <w:lastRenderedPageBreak/>
        <w:t>1.- No realizó una estimación adecuada para la vida útil de</w:t>
      </w:r>
      <w:r w:rsidR="006A2F96">
        <w:rPr>
          <w:rFonts w:ascii="Arial" w:hAnsi="Arial" w:cs="Arial"/>
          <w:sz w:val="24"/>
        </w:rPr>
        <w:t xml:space="preserve"> los activos, dado que mantiene </w:t>
      </w:r>
      <w:r w:rsidRPr="00EE4233">
        <w:rPr>
          <w:rFonts w:ascii="Arial" w:hAnsi="Arial" w:cs="Arial"/>
          <w:sz w:val="24"/>
        </w:rPr>
        <w:t>en el inventario al 31 de diciembre de 2015 bienes que sobr</w:t>
      </w:r>
      <w:r w:rsidR="006A2F96">
        <w:rPr>
          <w:rFonts w:ascii="Arial" w:hAnsi="Arial" w:cs="Arial"/>
          <w:sz w:val="24"/>
        </w:rPr>
        <w:t xml:space="preserve">epasan los años de utilidad que </w:t>
      </w:r>
      <w:r w:rsidRPr="00EE4233">
        <w:rPr>
          <w:rFonts w:ascii="Arial" w:hAnsi="Arial" w:cs="Arial"/>
          <w:sz w:val="24"/>
        </w:rPr>
        <w:t>se espera de los activos.</w:t>
      </w:r>
    </w:p>
    <w:p w:rsidR="00EE4233" w:rsidRPr="00EE4233" w:rsidRDefault="00EE4233" w:rsidP="00EE4233">
      <w:pPr>
        <w:spacing w:after="0" w:line="360" w:lineRule="auto"/>
        <w:contextualSpacing/>
        <w:jc w:val="both"/>
        <w:rPr>
          <w:rFonts w:ascii="Arial" w:hAnsi="Arial" w:cs="Arial"/>
          <w:sz w:val="24"/>
        </w:rPr>
      </w:pPr>
      <w:r w:rsidRPr="00EE4233">
        <w:rPr>
          <w:rFonts w:ascii="Arial" w:hAnsi="Arial" w:cs="Arial"/>
          <w:sz w:val="24"/>
        </w:rPr>
        <w:t>2.- No elaboró una estimación adecuada para el valor de desecho, dado que este fu</w:t>
      </w:r>
      <w:r w:rsidR="006A2F96">
        <w:rPr>
          <w:rFonts w:ascii="Arial" w:hAnsi="Arial" w:cs="Arial"/>
          <w:sz w:val="24"/>
        </w:rPr>
        <w:t xml:space="preserve">e </w:t>
      </w:r>
      <w:r w:rsidRPr="00EE4233">
        <w:rPr>
          <w:rFonts w:ascii="Arial" w:hAnsi="Arial" w:cs="Arial"/>
          <w:sz w:val="24"/>
        </w:rPr>
        <w:t>asignado como cero, sin embargo en el ejercicio 2015 rea</w:t>
      </w:r>
      <w:r w:rsidR="006A2F96">
        <w:rPr>
          <w:rFonts w:ascii="Arial" w:hAnsi="Arial" w:cs="Arial"/>
          <w:sz w:val="24"/>
        </w:rPr>
        <w:t xml:space="preserve">lizó una baja por venta de bien </w:t>
      </w:r>
      <w:r w:rsidRPr="00EE4233">
        <w:rPr>
          <w:rFonts w:ascii="Arial" w:hAnsi="Arial" w:cs="Arial"/>
          <w:sz w:val="24"/>
        </w:rPr>
        <w:t>mueble (vehículo oficial) por $77,000 el cual se determinó mediante avalúo.</w:t>
      </w:r>
    </w:p>
    <w:p w:rsidR="00EE4233" w:rsidRPr="00EE4233" w:rsidRDefault="00EE4233" w:rsidP="00EE4233">
      <w:pPr>
        <w:spacing w:after="0" w:line="360" w:lineRule="auto"/>
        <w:contextualSpacing/>
        <w:jc w:val="both"/>
        <w:rPr>
          <w:rFonts w:ascii="Arial" w:hAnsi="Arial" w:cs="Arial"/>
          <w:sz w:val="24"/>
        </w:rPr>
      </w:pPr>
      <w:r w:rsidRPr="00EE4233">
        <w:rPr>
          <w:rFonts w:ascii="Arial" w:hAnsi="Arial" w:cs="Arial"/>
          <w:sz w:val="24"/>
        </w:rPr>
        <w:t>3.- No proporcionó el dictamen técnico, peritaje obtenido o estudio realizado de la vida ú</w:t>
      </w:r>
      <w:r w:rsidR="006A2F96">
        <w:rPr>
          <w:rFonts w:ascii="Arial" w:hAnsi="Arial" w:cs="Arial"/>
          <w:sz w:val="24"/>
        </w:rPr>
        <w:t xml:space="preserve">til </w:t>
      </w:r>
      <w:r w:rsidRPr="00EE4233">
        <w:rPr>
          <w:rFonts w:ascii="Arial" w:hAnsi="Arial" w:cs="Arial"/>
          <w:sz w:val="24"/>
        </w:rPr>
        <w:t>de los bienes y que considere según corresponda, los elementos siguientes:</w:t>
      </w:r>
    </w:p>
    <w:p w:rsidR="00EE4233" w:rsidRPr="00EE4233" w:rsidRDefault="00EE4233" w:rsidP="006A2F96">
      <w:pPr>
        <w:spacing w:after="0" w:line="360" w:lineRule="auto"/>
        <w:ind w:firstLine="708"/>
        <w:contextualSpacing/>
        <w:jc w:val="both"/>
        <w:rPr>
          <w:rFonts w:ascii="Arial" w:hAnsi="Arial" w:cs="Arial"/>
          <w:sz w:val="24"/>
        </w:rPr>
      </w:pPr>
      <w:r w:rsidRPr="00EE4233">
        <w:rPr>
          <w:rFonts w:ascii="Arial" w:hAnsi="Arial" w:cs="Arial"/>
          <w:sz w:val="24"/>
        </w:rPr>
        <w:t>a) El uso que el ente público espera realizar del activo. El uso se estima por referencia</w:t>
      </w:r>
      <w:r w:rsidR="006A2F96">
        <w:rPr>
          <w:rFonts w:ascii="Arial" w:hAnsi="Arial" w:cs="Arial"/>
          <w:sz w:val="24"/>
        </w:rPr>
        <w:t xml:space="preserve"> </w:t>
      </w:r>
      <w:r w:rsidRPr="00EE4233">
        <w:rPr>
          <w:rFonts w:ascii="Arial" w:hAnsi="Arial" w:cs="Arial"/>
          <w:sz w:val="24"/>
        </w:rPr>
        <w:t>a la capacidad o rendimiento físico esperado del activo.</w:t>
      </w:r>
    </w:p>
    <w:p w:rsidR="00EE4233" w:rsidRPr="00EE4233" w:rsidRDefault="00EE4233" w:rsidP="006A2F96">
      <w:pPr>
        <w:spacing w:after="0" w:line="360" w:lineRule="auto"/>
        <w:ind w:firstLine="708"/>
        <w:contextualSpacing/>
        <w:jc w:val="both"/>
        <w:rPr>
          <w:rFonts w:ascii="Arial" w:hAnsi="Arial" w:cs="Arial"/>
          <w:sz w:val="24"/>
        </w:rPr>
      </w:pPr>
      <w:r w:rsidRPr="00EE4233">
        <w:rPr>
          <w:rFonts w:ascii="Arial" w:hAnsi="Arial" w:cs="Arial"/>
          <w:sz w:val="24"/>
        </w:rPr>
        <w:t>b) El deterioro natural esperado, que depende de factores operativos tales como</w:t>
      </w:r>
      <w:r w:rsidR="006A2F96">
        <w:rPr>
          <w:rFonts w:ascii="Arial" w:hAnsi="Arial" w:cs="Arial"/>
          <w:sz w:val="24"/>
        </w:rPr>
        <w:t xml:space="preserve"> </w:t>
      </w:r>
      <w:r w:rsidRPr="00EE4233">
        <w:rPr>
          <w:rFonts w:ascii="Arial" w:hAnsi="Arial" w:cs="Arial"/>
          <w:sz w:val="24"/>
        </w:rPr>
        <w:t>el número de turnos de trabajo en los que ser</w:t>
      </w:r>
      <w:r w:rsidR="006A2F96">
        <w:rPr>
          <w:rFonts w:ascii="Arial" w:hAnsi="Arial" w:cs="Arial"/>
          <w:sz w:val="24"/>
        </w:rPr>
        <w:t xml:space="preserve">á usado el bien, el programa de </w:t>
      </w:r>
      <w:r w:rsidRPr="00EE4233">
        <w:rPr>
          <w:rFonts w:ascii="Arial" w:hAnsi="Arial" w:cs="Arial"/>
          <w:sz w:val="24"/>
        </w:rPr>
        <w:t>reparaciones y mantenimiento del ente, así como el n</w:t>
      </w:r>
      <w:r w:rsidR="006A2F96">
        <w:rPr>
          <w:rFonts w:ascii="Arial" w:hAnsi="Arial" w:cs="Arial"/>
          <w:sz w:val="24"/>
        </w:rPr>
        <w:t xml:space="preserve">ivel de cuidado y mantenimiento </w:t>
      </w:r>
      <w:r w:rsidRPr="00EE4233">
        <w:rPr>
          <w:rFonts w:ascii="Arial" w:hAnsi="Arial" w:cs="Arial"/>
          <w:sz w:val="24"/>
        </w:rPr>
        <w:t>mientras el activo no está siendo dedicado a tareas productivas.</w:t>
      </w:r>
    </w:p>
    <w:p w:rsidR="00EE4233" w:rsidRPr="00EE4233" w:rsidRDefault="00EE4233" w:rsidP="006A2F96">
      <w:pPr>
        <w:spacing w:after="0" w:line="360" w:lineRule="auto"/>
        <w:ind w:firstLine="708"/>
        <w:contextualSpacing/>
        <w:jc w:val="both"/>
        <w:rPr>
          <w:rFonts w:ascii="Arial" w:hAnsi="Arial" w:cs="Arial"/>
          <w:sz w:val="24"/>
        </w:rPr>
      </w:pPr>
      <w:r w:rsidRPr="00EE4233">
        <w:rPr>
          <w:rFonts w:ascii="Arial" w:hAnsi="Arial" w:cs="Arial"/>
          <w:sz w:val="24"/>
        </w:rPr>
        <w:t>c) La obsolescencia técnica derivada de los cambios y mejoras en la producción, o</w:t>
      </w:r>
      <w:r w:rsidR="006A2F96">
        <w:rPr>
          <w:rFonts w:ascii="Arial" w:hAnsi="Arial" w:cs="Arial"/>
          <w:sz w:val="24"/>
        </w:rPr>
        <w:t xml:space="preserve"> </w:t>
      </w:r>
      <w:r w:rsidRPr="00EE4233">
        <w:rPr>
          <w:rFonts w:ascii="Arial" w:hAnsi="Arial" w:cs="Arial"/>
          <w:sz w:val="24"/>
        </w:rPr>
        <w:t>bien de los cambios en la demanda del mercado d</w:t>
      </w:r>
      <w:r w:rsidR="006A2F96">
        <w:rPr>
          <w:rFonts w:ascii="Arial" w:hAnsi="Arial" w:cs="Arial"/>
          <w:sz w:val="24"/>
        </w:rPr>
        <w:t xml:space="preserve">e los productos o servicios que </w:t>
      </w:r>
      <w:r w:rsidRPr="00EE4233">
        <w:rPr>
          <w:rFonts w:ascii="Arial" w:hAnsi="Arial" w:cs="Arial"/>
          <w:sz w:val="24"/>
        </w:rPr>
        <w:t>se obtienen con el activo; y</w:t>
      </w:r>
    </w:p>
    <w:p w:rsidR="00EE4233" w:rsidRPr="00EE4233" w:rsidRDefault="00EE4233" w:rsidP="006A2F96">
      <w:pPr>
        <w:spacing w:after="0" w:line="360" w:lineRule="auto"/>
        <w:ind w:firstLine="708"/>
        <w:contextualSpacing/>
        <w:jc w:val="both"/>
        <w:rPr>
          <w:rFonts w:ascii="Arial" w:hAnsi="Arial" w:cs="Arial"/>
          <w:sz w:val="24"/>
        </w:rPr>
      </w:pPr>
      <w:r w:rsidRPr="00EE4233">
        <w:rPr>
          <w:rFonts w:ascii="Arial" w:hAnsi="Arial" w:cs="Arial"/>
          <w:sz w:val="24"/>
        </w:rPr>
        <w:t>d) Los límites legales o restricciones similares sobre el uso del activo, tales como las</w:t>
      </w:r>
      <w:r w:rsidR="006A2F96">
        <w:rPr>
          <w:rFonts w:ascii="Arial" w:hAnsi="Arial" w:cs="Arial"/>
          <w:sz w:val="24"/>
        </w:rPr>
        <w:t xml:space="preserve"> </w:t>
      </w:r>
      <w:r w:rsidRPr="00EE4233">
        <w:rPr>
          <w:rFonts w:ascii="Arial" w:hAnsi="Arial" w:cs="Arial"/>
          <w:sz w:val="24"/>
        </w:rPr>
        <w:t>fechas de caducidad de los contratos de servicio relacionados con el bien.</w:t>
      </w:r>
    </w:p>
    <w:p w:rsidR="006A2F96" w:rsidRDefault="006A2F96" w:rsidP="00EE4233">
      <w:pPr>
        <w:spacing w:after="0" w:line="360" w:lineRule="auto"/>
        <w:contextualSpacing/>
        <w:jc w:val="both"/>
        <w:rPr>
          <w:rFonts w:ascii="Arial" w:hAnsi="Arial" w:cs="Arial"/>
          <w:sz w:val="24"/>
        </w:rPr>
      </w:pPr>
    </w:p>
    <w:p w:rsidR="00EE4233" w:rsidRDefault="00EE4233" w:rsidP="00EE4233">
      <w:pPr>
        <w:spacing w:after="0" w:line="360" w:lineRule="auto"/>
        <w:contextualSpacing/>
        <w:jc w:val="both"/>
        <w:rPr>
          <w:rFonts w:ascii="Arial" w:hAnsi="Arial" w:cs="Arial"/>
          <w:sz w:val="24"/>
        </w:rPr>
      </w:pPr>
      <w:r w:rsidRPr="00EE4233">
        <w:rPr>
          <w:rFonts w:ascii="Arial" w:hAnsi="Arial" w:cs="Arial"/>
          <w:sz w:val="24"/>
        </w:rPr>
        <w:lastRenderedPageBreak/>
        <w:t xml:space="preserve">Lo anterior en contravención de lo señalado en </w:t>
      </w:r>
      <w:r w:rsidR="006A2F96">
        <w:rPr>
          <w:rFonts w:ascii="Arial" w:hAnsi="Arial" w:cs="Arial"/>
          <w:sz w:val="24"/>
        </w:rPr>
        <w:t xml:space="preserve">el Acuerdo por el que se emiten </w:t>
      </w:r>
      <w:r w:rsidRPr="00EE4233">
        <w:rPr>
          <w:rFonts w:ascii="Arial" w:hAnsi="Arial" w:cs="Arial"/>
          <w:sz w:val="24"/>
        </w:rPr>
        <w:t>las reglas específicas del registro y valoración del patrim</w:t>
      </w:r>
      <w:r w:rsidR="006A2F96">
        <w:rPr>
          <w:rFonts w:ascii="Arial" w:hAnsi="Arial" w:cs="Arial"/>
          <w:sz w:val="24"/>
        </w:rPr>
        <w:t xml:space="preserve">onio (inciso B - punto 6- </w:t>
      </w:r>
      <w:r w:rsidRPr="00EE4233">
        <w:rPr>
          <w:rFonts w:ascii="Arial" w:hAnsi="Arial" w:cs="Arial"/>
          <w:sz w:val="24"/>
        </w:rPr>
        <w:t>Depreciación, deterioro y amortización, del ejercicio y acum</w:t>
      </w:r>
      <w:r w:rsidR="006A2F96">
        <w:rPr>
          <w:rFonts w:ascii="Arial" w:hAnsi="Arial" w:cs="Arial"/>
          <w:sz w:val="24"/>
        </w:rPr>
        <w:t xml:space="preserve">ulada de bienes), estableciendo </w:t>
      </w:r>
      <w:r w:rsidRPr="00EE4233">
        <w:rPr>
          <w:rFonts w:ascii="Arial" w:hAnsi="Arial" w:cs="Arial"/>
          <w:sz w:val="24"/>
        </w:rPr>
        <w:t xml:space="preserve">su observancia obligatoria, de conformidad con el </w:t>
      </w:r>
      <w:r w:rsidR="006A2F96">
        <w:rPr>
          <w:rFonts w:ascii="Arial" w:hAnsi="Arial" w:cs="Arial"/>
          <w:sz w:val="24"/>
        </w:rPr>
        <w:t xml:space="preserve">artículo 7 de la Ley General de </w:t>
      </w:r>
      <w:r w:rsidRPr="00EE4233">
        <w:rPr>
          <w:rFonts w:ascii="Arial" w:hAnsi="Arial" w:cs="Arial"/>
          <w:sz w:val="24"/>
        </w:rPr>
        <w:t>Contabilidad Gubernamental.</w:t>
      </w:r>
    </w:p>
    <w:p w:rsidR="006A2F96" w:rsidRDefault="006A2F96" w:rsidP="00EE4233">
      <w:pPr>
        <w:spacing w:after="0" w:line="360" w:lineRule="auto"/>
        <w:contextualSpacing/>
        <w:jc w:val="both"/>
        <w:rPr>
          <w:rFonts w:ascii="Arial" w:hAnsi="Arial" w:cs="Arial"/>
          <w:sz w:val="24"/>
        </w:rPr>
      </w:pPr>
    </w:p>
    <w:p w:rsidR="00EE4233" w:rsidRPr="006A2F96" w:rsidRDefault="00EE4233" w:rsidP="00EE4233">
      <w:pPr>
        <w:spacing w:after="0" w:line="360" w:lineRule="auto"/>
        <w:contextualSpacing/>
        <w:jc w:val="both"/>
        <w:rPr>
          <w:rFonts w:ascii="Arial" w:hAnsi="Arial" w:cs="Arial"/>
          <w:b/>
          <w:sz w:val="24"/>
        </w:rPr>
      </w:pPr>
      <w:r w:rsidRPr="006A2F96">
        <w:rPr>
          <w:rFonts w:ascii="Arial" w:hAnsi="Arial" w:cs="Arial"/>
          <w:b/>
          <w:sz w:val="24"/>
        </w:rPr>
        <w:t>Análisis de la Auditoría Superior del Estado</w:t>
      </w:r>
    </w:p>
    <w:p w:rsidR="00EE4233" w:rsidRDefault="00EE4233" w:rsidP="00EE4233">
      <w:pPr>
        <w:spacing w:after="0" w:line="360" w:lineRule="auto"/>
        <w:contextualSpacing/>
        <w:jc w:val="both"/>
        <w:rPr>
          <w:rFonts w:ascii="Arial" w:hAnsi="Arial" w:cs="Arial"/>
          <w:sz w:val="24"/>
        </w:rPr>
      </w:pPr>
      <w:r w:rsidRPr="00EE4233">
        <w:rPr>
          <w:rFonts w:ascii="Arial" w:hAnsi="Arial" w:cs="Arial"/>
          <w:sz w:val="24"/>
        </w:rPr>
        <w:t>Se analizó la respuesta y documentación proporcionada por el</w:t>
      </w:r>
      <w:r w:rsidR="006A2F96">
        <w:rPr>
          <w:rFonts w:ascii="Arial" w:hAnsi="Arial" w:cs="Arial"/>
          <w:sz w:val="24"/>
        </w:rPr>
        <w:t xml:space="preserve"> Ente Público, la cual solventa </w:t>
      </w:r>
      <w:r w:rsidRPr="00EE4233">
        <w:rPr>
          <w:rFonts w:ascii="Arial" w:hAnsi="Arial" w:cs="Arial"/>
          <w:sz w:val="24"/>
        </w:rPr>
        <w:t>parcialmente por lo siguiente:</w:t>
      </w:r>
    </w:p>
    <w:p w:rsidR="001E476B" w:rsidRPr="00EE4233" w:rsidRDefault="001E476B" w:rsidP="00EE4233">
      <w:pPr>
        <w:spacing w:after="0" w:line="360" w:lineRule="auto"/>
        <w:contextualSpacing/>
        <w:jc w:val="both"/>
        <w:rPr>
          <w:rFonts w:ascii="Arial" w:hAnsi="Arial" w:cs="Arial"/>
          <w:sz w:val="24"/>
        </w:rPr>
      </w:pPr>
    </w:p>
    <w:p w:rsidR="00EE4233" w:rsidRDefault="00EE4233" w:rsidP="00EE4233">
      <w:pPr>
        <w:spacing w:after="0" w:line="360" w:lineRule="auto"/>
        <w:contextualSpacing/>
        <w:jc w:val="both"/>
        <w:rPr>
          <w:rFonts w:ascii="Arial" w:hAnsi="Arial" w:cs="Arial"/>
          <w:sz w:val="24"/>
        </w:rPr>
      </w:pPr>
      <w:r w:rsidRPr="00EE4233">
        <w:rPr>
          <w:rFonts w:ascii="Arial" w:hAnsi="Arial" w:cs="Arial"/>
          <w:sz w:val="24"/>
        </w:rPr>
        <w:t>• La estimación de la vida útil de un bien será una cu</w:t>
      </w:r>
      <w:r w:rsidR="006A2F96">
        <w:rPr>
          <w:rFonts w:ascii="Arial" w:hAnsi="Arial" w:cs="Arial"/>
          <w:sz w:val="24"/>
        </w:rPr>
        <w:t xml:space="preserve">estión de criterio basada en la </w:t>
      </w:r>
      <w:r w:rsidRPr="00EE4233">
        <w:rPr>
          <w:rFonts w:ascii="Arial" w:hAnsi="Arial" w:cs="Arial"/>
          <w:sz w:val="24"/>
        </w:rPr>
        <w:t>experiencia que el Ente Público tenga con activos si</w:t>
      </w:r>
      <w:r w:rsidR="006A2F96">
        <w:rPr>
          <w:rFonts w:ascii="Arial" w:hAnsi="Arial" w:cs="Arial"/>
          <w:sz w:val="24"/>
        </w:rPr>
        <w:t xml:space="preserve">milares, es decir, al mencionar </w:t>
      </w:r>
      <w:r w:rsidRPr="00EE4233">
        <w:rPr>
          <w:rFonts w:ascii="Arial" w:hAnsi="Arial" w:cs="Arial"/>
          <w:sz w:val="24"/>
        </w:rPr>
        <w:t>en la observación que existen bienes en el invent</w:t>
      </w:r>
      <w:r w:rsidR="006A2F96">
        <w:rPr>
          <w:rFonts w:ascii="Arial" w:hAnsi="Arial" w:cs="Arial"/>
          <w:sz w:val="24"/>
        </w:rPr>
        <w:t xml:space="preserve">ario al 31 de diciembre de 2015 </w:t>
      </w:r>
      <w:r w:rsidRPr="00EE4233">
        <w:rPr>
          <w:rFonts w:ascii="Arial" w:hAnsi="Arial" w:cs="Arial"/>
          <w:sz w:val="24"/>
        </w:rPr>
        <w:t>que sobrepasa los años de utilidad que se espera de</w:t>
      </w:r>
      <w:r w:rsidR="006A2F96">
        <w:rPr>
          <w:rFonts w:ascii="Arial" w:hAnsi="Arial" w:cs="Arial"/>
          <w:sz w:val="24"/>
        </w:rPr>
        <w:t xml:space="preserve"> los activos, es una referencia </w:t>
      </w:r>
      <w:r w:rsidRPr="00EE4233">
        <w:rPr>
          <w:rFonts w:ascii="Arial" w:hAnsi="Arial" w:cs="Arial"/>
          <w:sz w:val="24"/>
        </w:rPr>
        <w:t xml:space="preserve">para señalar que en la historia del Ente Público </w:t>
      </w:r>
      <w:r w:rsidR="006A2F96">
        <w:rPr>
          <w:rFonts w:ascii="Arial" w:hAnsi="Arial" w:cs="Arial"/>
          <w:sz w:val="24"/>
        </w:rPr>
        <w:t xml:space="preserve">existen bienes que perduran más </w:t>
      </w:r>
      <w:r w:rsidRPr="00EE4233">
        <w:rPr>
          <w:rFonts w:ascii="Arial" w:hAnsi="Arial" w:cs="Arial"/>
          <w:sz w:val="24"/>
        </w:rPr>
        <w:t>de lo estimado.</w:t>
      </w:r>
    </w:p>
    <w:p w:rsidR="00EE4233" w:rsidRDefault="00EE4233" w:rsidP="00EE4233">
      <w:pPr>
        <w:spacing w:after="0" w:line="360" w:lineRule="auto"/>
        <w:contextualSpacing/>
        <w:jc w:val="both"/>
        <w:rPr>
          <w:rFonts w:ascii="Arial" w:hAnsi="Arial" w:cs="Arial"/>
          <w:sz w:val="24"/>
        </w:rPr>
      </w:pPr>
    </w:p>
    <w:p w:rsidR="00EE4233" w:rsidRDefault="00EE4233" w:rsidP="00EE4233">
      <w:pPr>
        <w:spacing w:after="0" w:line="360" w:lineRule="auto"/>
        <w:contextualSpacing/>
        <w:jc w:val="both"/>
        <w:rPr>
          <w:rFonts w:ascii="Arial" w:hAnsi="Arial" w:cs="Arial"/>
          <w:sz w:val="24"/>
        </w:rPr>
      </w:pPr>
      <w:r w:rsidRPr="00EE4233">
        <w:rPr>
          <w:rFonts w:ascii="Arial" w:hAnsi="Arial" w:cs="Arial"/>
          <w:sz w:val="24"/>
        </w:rPr>
        <w:t>• Aún y cuando el Ente Público elaboró un acuerdo admi</w:t>
      </w:r>
      <w:r w:rsidR="006A2F96">
        <w:rPr>
          <w:rFonts w:ascii="Arial" w:hAnsi="Arial" w:cs="Arial"/>
          <w:sz w:val="24"/>
        </w:rPr>
        <w:t xml:space="preserve">nistrativo por el cual fija una </w:t>
      </w:r>
      <w:r w:rsidRPr="00EE4233">
        <w:rPr>
          <w:rFonts w:ascii="Arial" w:hAnsi="Arial" w:cs="Arial"/>
          <w:sz w:val="24"/>
        </w:rPr>
        <w:t>política para definir que el valor de desecho de todos l</w:t>
      </w:r>
      <w:r w:rsidR="006A2F96">
        <w:rPr>
          <w:rFonts w:ascii="Arial" w:hAnsi="Arial" w:cs="Arial"/>
          <w:sz w:val="24"/>
        </w:rPr>
        <w:t xml:space="preserve">os bienes muebles del Instituto </w:t>
      </w:r>
      <w:r w:rsidRPr="00EE4233">
        <w:rPr>
          <w:rFonts w:ascii="Arial" w:hAnsi="Arial" w:cs="Arial"/>
          <w:sz w:val="24"/>
        </w:rPr>
        <w:t>de Innovación y Transferencia de Tecnología de Nuev</w:t>
      </w:r>
      <w:r w:rsidR="006A2F96">
        <w:rPr>
          <w:rFonts w:ascii="Arial" w:hAnsi="Arial" w:cs="Arial"/>
          <w:sz w:val="24"/>
        </w:rPr>
        <w:t xml:space="preserve">o León tendrá el valor de cero, </w:t>
      </w:r>
      <w:r w:rsidRPr="00EE4233">
        <w:rPr>
          <w:rFonts w:ascii="Arial" w:hAnsi="Arial" w:cs="Arial"/>
          <w:sz w:val="24"/>
        </w:rPr>
        <w:t>este no resulta adecuado aplicarse para todos los b</w:t>
      </w:r>
      <w:r w:rsidR="006A2F96">
        <w:rPr>
          <w:rFonts w:ascii="Arial" w:hAnsi="Arial" w:cs="Arial"/>
          <w:sz w:val="24"/>
        </w:rPr>
        <w:t xml:space="preserve">ienes, dado que en el ejercicio </w:t>
      </w:r>
      <w:r w:rsidRPr="00EE4233">
        <w:rPr>
          <w:rFonts w:ascii="Arial" w:hAnsi="Arial" w:cs="Arial"/>
          <w:sz w:val="24"/>
        </w:rPr>
        <w:t>2015 el Ente Público, obtuvo recuperación económica por la venta de bien mueble.</w:t>
      </w:r>
    </w:p>
    <w:p w:rsidR="006A2F96" w:rsidRPr="00EE4233" w:rsidRDefault="006A2F96" w:rsidP="00EE4233">
      <w:pPr>
        <w:spacing w:after="0" w:line="360" w:lineRule="auto"/>
        <w:contextualSpacing/>
        <w:jc w:val="both"/>
        <w:rPr>
          <w:rFonts w:ascii="Arial" w:hAnsi="Arial" w:cs="Arial"/>
          <w:sz w:val="24"/>
        </w:rPr>
      </w:pPr>
    </w:p>
    <w:p w:rsidR="00EE4233" w:rsidRPr="00EE4233" w:rsidRDefault="00EE4233" w:rsidP="00EE4233">
      <w:pPr>
        <w:spacing w:after="0" w:line="360" w:lineRule="auto"/>
        <w:contextualSpacing/>
        <w:jc w:val="both"/>
        <w:rPr>
          <w:rFonts w:ascii="Arial" w:hAnsi="Arial" w:cs="Arial"/>
          <w:sz w:val="24"/>
        </w:rPr>
      </w:pPr>
      <w:r w:rsidRPr="00EE4233">
        <w:rPr>
          <w:rFonts w:ascii="Arial" w:hAnsi="Arial" w:cs="Arial"/>
          <w:sz w:val="24"/>
        </w:rPr>
        <w:lastRenderedPageBreak/>
        <w:t>• Respecto a lo que manifiesta en su respuesta: "que con</w:t>
      </w:r>
      <w:r w:rsidR="006A2F96">
        <w:rPr>
          <w:rFonts w:ascii="Arial" w:hAnsi="Arial" w:cs="Arial"/>
          <w:sz w:val="24"/>
        </w:rPr>
        <w:t xml:space="preserve">tinuarán vigentes los criterios </w:t>
      </w:r>
      <w:r w:rsidRPr="00EE4233">
        <w:rPr>
          <w:rFonts w:ascii="Arial" w:hAnsi="Arial" w:cs="Arial"/>
          <w:sz w:val="24"/>
        </w:rPr>
        <w:t>de aplicación consignados en el documento emit</w:t>
      </w:r>
      <w:r w:rsidR="006A2F96">
        <w:rPr>
          <w:rFonts w:ascii="Arial" w:hAnsi="Arial" w:cs="Arial"/>
          <w:sz w:val="24"/>
        </w:rPr>
        <w:t xml:space="preserve">ido por el Conac (Parámetros de </w:t>
      </w:r>
      <w:r w:rsidRPr="00EE4233">
        <w:rPr>
          <w:rFonts w:ascii="Arial" w:hAnsi="Arial" w:cs="Arial"/>
          <w:sz w:val="24"/>
        </w:rPr>
        <w:t>Estimación de Vida Útil)", este documento fue emitid</w:t>
      </w:r>
      <w:r w:rsidR="006A2F96">
        <w:rPr>
          <w:rFonts w:ascii="Arial" w:hAnsi="Arial" w:cs="Arial"/>
          <w:sz w:val="24"/>
        </w:rPr>
        <w:t xml:space="preserve">o con la finalidad de apoyar en </w:t>
      </w:r>
      <w:r w:rsidRPr="00EE4233">
        <w:rPr>
          <w:rFonts w:ascii="Arial" w:hAnsi="Arial" w:cs="Arial"/>
          <w:sz w:val="24"/>
        </w:rPr>
        <w:t>la transición para la aplicación de la Ley General de Contabilidad Gubernamental y</w:t>
      </w:r>
      <w:r w:rsidR="006A2F96">
        <w:rPr>
          <w:rFonts w:ascii="Arial" w:hAnsi="Arial" w:cs="Arial"/>
          <w:sz w:val="24"/>
        </w:rPr>
        <w:t xml:space="preserve"> </w:t>
      </w:r>
      <w:r w:rsidRPr="00EE4233">
        <w:rPr>
          <w:rFonts w:ascii="Arial" w:hAnsi="Arial" w:cs="Arial"/>
          <w:sz w:val="24"/>
        </w:rPr>
        <w:t>se emite a manera de "recomendación", cuando el</w:t>
      </w:r>
      <w:r w:rsidR="006A2F96">
        <w:rPr>
          <w:rFonts w:ascii="Arial" w:hAnsi="Arial" w:cs="Arial"/>
          <w:sz w:val="24"/>
        </w:rPr>
        <w:t xml:space="preserve"> Ente Público no cuente con los </w:t>
      </w:r>
      <w:r w:rsidRPr="00EE4233">
        <w:rPr>
          <w:rFonts w:ascii="Arial" w:hAnsi="Arial" w:cs="Arial"/>
          <w:sz w:val="24"/>
        </w:rPr>
        <w:t>elementos para estimar la vida útil, de conformida</w:t>
      </w:r>
      <w:r w:rsidR="006A2F96">
        <w:rPr>
          <w:rFonts w:ascii="Arial" w:hAnsi="Arial" w:cs="Arial"/>
          <w:sz w:val="24"/>
        </w:rPr>
        <w:t xml:space="preserve">d con las Principales Reglas de </w:t>
      </w:r>
      <w:r w:rsidRPr="00EE4233">
        <w:rPr>
          <w:rFonts w:ascii="Arial" w:hAnsi="Arial" w:cs="Arial"/>
          <w:sz w:val="24"/>
        </w:rPr>
        <w:t>Registro y Valoración del Patrimonio (Elementos G</w:t>
      </w:r>
      <w:r w:rsidR="006A2F96">
        <w:rPr>
          <w:rFonts w:ascii="Arial" w:hAnsi="Arial" w:cs="Arial"/>
          <w:sz w:val="24"/>
        </w:rPr>
        <w:t xml:space="preserve">enerales) y Reglas Específicas </w:t>
      </w:r>
      <w:r w:rsidRPr="00EE4233">
        <w:rPr>
          <w:rFonts w:ascii="Arial" w:hAnsi="Arial" w:cs="Arial"/>
          <w:sz w:val="24"/>
        </w:rPr>
        <w:t>del Registro y Valoración del Patrimonio, sin emba</w:t>
      </w:r>
      <w:r w:rsidR="001E476B">
        <w:rPr>
          <w:rFonts w:ascii="Arial" w:hAnsi="Arial" w:cs="Arial"/>
          <w:sz w:val="24"/>
        </w:rPr>
        <w:t xml:space="preserve">rgo para el caso específico del </w:t>
      </w:r>
      <w:r w:rsidRPr="00EE4233">
        <w:rPr>
          <w:rFonts w:ascii="Arial" w:hAnsi="Arial" w:cs="Arial"/>
          <w:sz w:val="24"/>
        </w:rPr>
        <w:t xml:space="preserve">Instituto de Innovación y Transferencia </w:t>
      </w:r>
      <w:r w:rsidR="006A2F96">
        <w:rPr>
          <w:rFonts w:ascii="Arial" w:hAnsi="Arial" w:cs="Arial"/>
          <w:sz w:val="24"/>
        </w:rPr>
        <w:t xml:space="preserve">de Tecnología de Nuevo León fue creado el </w:t>
      </w:r>
      <w:r w:rsidRPr="00EE4233">
        <w:rPr>
          <w:rFonts w:ascii="Arial" w:hAnsi="Arial" w:cs="Arial"/>
          <w:sz w:val="24"/>
        </w:rPr>
        <w:t>19 de marzo de 2004, por lo que al tener más de 10 años de ex</w:t>
      </w:r>
      <w:r w:rsidR="006A2F96">
        <w:rPr>
          <w:rFonts w:ascii="Arial" w:hAnsi="Arial" w:cs="Arial"/>
          <w:sz w:val="24"/>
        </w:rPr>
        <w:t xml:space="preserve">periencia, tiene los </w:t>
      </w:r>
      <w:r w:rsidRPr="00EE4233">
        <w:rPr>
          <w:rFonts w:ascii="Arial" w:hAnsi="Arial" w:cs="Arial"/>
          <w:sz w:val="24"/>
        </w:rPr>
        <w:t>elementos para estimar una vida útil acorde al m</w:t>
      </w:r>
      <w:r w:rsidR="006A2F96">
        <w:rPr>
          <w:rFonts w:ascii="Arial" w:hAnsi="Arial" w:cs="Arial"/>
          <w:sz w:val="24"/>
        </w:rPr>
        <w:t xml:space="preserve">ismo y determinar sus costos de </w:t>
      </w:r>
      <w:r w:rsidRPr="00EE4233">
        <w:rPr>
          <w:rFonts w:ascii="Arial" w:hAnsi="Arial" w:cs="Arial"/>
          <w:sz w:val="24"/>
        </w:rPr>
        <w:t>operación correctamente.</w:t>
      </w:r>
    </w:p>
    <w:p w:rsidR="006A2F96" w:rsidRDefault="006A2F96" w:rsidP="00EE4233">
      <w:pPr>
        <w:spacing w:after="0" w:line="360" w:lineRule="auto"/>
        <w:contextualSpacing/>
        <w:jc w:val="both"/>
        <w:rPr>
          <w:rFonts w:ascii="Arial" w:hAnsi="Arial" w:cs="Arial"/>
          <w:sz w:val="24"/>
        </w:rPr>
      </w:pPr>
    </w:p>
    <w:p w:rsidR="00EE4233" w:rsidRPr="006A2F96" w:rsidRDefault="00EE4233" w:rsidP="00EE4233">
      <w:pPr>
        <w:spacing w:after="0" w:line="360" w:lineRule="auto"/>
        <w:contextualSpacing/>
        <w:jc w:val="both"/>
        <w:rPr>
          <w:rFonts w:ascii="Arial" w:hAnsi="Arial" w:cs="Arial"/>
          <w:b/>
          <w:sz w:val="24"/>
        </w:rPr>
      </w:pPr>
      <w:r w:rsidRPr="006A2F96">
        <w:rPr>
          <w:rFonts w:ascii="Arial" w:hAnsi="Arial" w:cs="Arial"/>
          <w:b/>
          <w:sz w:val="24"/>
        </w:rPr>
        <w:t>Acción(es) o recomendación(es) emitida(s)</w:t>
      </w:r>
    </w:p>
    <w:p w:rsidR="00EE4233" w:rsidRPr="006A2F96" w:rsidRDefault="00EE4233" w:rsidP="00EE4233">
      <w:pPr>
        <w:spacing w:after="0" w:line="360" w:lineRule="auto"/>
        <w:contextualSpacing/>
        <w:jc w:val="both"/>
        <w:rPr>
          <w:rFonts w:ascii="Arial" w:hAnsi="Arial" w:cs="Arial"/>
          <w:i/>
          <w:sz w:val="24"/>
        </w:rPr>
      </w:pPr>
      <w:r w:rsidRPr="006A2F96">
        <w:rPr>
          <w:rFonts w:ascii="Arial" w:hAnsi="Arial" w:cs="Arial"/>
          <w:i/>
          <w:sz w:val="24"/>
        </w:rPr>
        <w:t>Promoción de Fincamiento de Responsabilidad Administrativa.</w:t>
      </w:r>
    </w:p>
    <w:p w:rsidR="006A2F96" w:rsidRDefault="006A2F96" w:rsidP="00EE4233">
      <w:pPr>
        <w:spacing w:after="0" w:line="360" w:lineRule="auto"/>
        <w:contextualSpacing/>
        <w:jc w:val="both"/>
        <w:rPr>
          <w:rFonts w:ascii="Arial" w:hAnsi="Arial" w:cs="Arial"/>
          <w:sz w:val="24"/>
        </w:rPr>
      </w:pPr>
    </w:p>
    <w:p w:rsidR="00EE4233" w:rsidRPr="006A2F96" w:rsidRDefault="00EE4233" w:rsidP="00EE4233">
      <w:pPr>
        <w:spacing w:after="0" w:line="360" w:lineRule="auto"/>
        <w:contextualSpacing/>
        <w:jc w:val="both"/>
        <w:rPr>
          <w:rFonts w:ascii="Arial" w:hAnsi="Arial" w:cs="Arial"/>
          <w:b/>
          <w:sz w:val="24"/>
          <w:u w:val="single"/>
        </w:rPr>
      </w:pPr>
      <w:r w:rsidRPr="006A2F96">
        <w:rPr>
          <w:rFonts w:ascii="Arial" w:hAnsi="Arial" w:cs="Arial"/>
          <w:b/>
          <w:sz w:val="24"/>
          <w:u w:val="single"/>
        </w:rPr>
        <w:t>Inversiones financieras a largo plazo</w:t>
      </w:r>
    </w:p>
    <w:p w:rsidR="00EE4233" w:rsidRPr="00EE4233" w:rsidRDefault="00EE4233" w:rsidP="00EE4233">
      <w:pPr>
        <w:spacing w:after="0" w:line="360" w:lineRule="auto"/>
        <w:contextualSpacing/>
        <w:jc w:val="both"/>
        <w:rPr>
          <w:rFonts w:ascii="Arial" w:hAnsi="Arial" w:cs="Arial"/>
          <w:sz w:val="24"/>
        </w:rPr>
      </w:pPr>
      <w:r w:rsidRPr="006A2F96">
        <w:rPr>
          <w:rFonts w:ascii="Arial" w:hAnsi="Arial" w:cs="Arial"/>
          <w:b/>
          <w:sz w:val="24"/>
        </w:rPr>
        <w:t>6.</w:t>
      </w:r>
      <w:r w:rsidRPr="00EE4233">
        <w:rPr>
          <w:rFonts w:ascii="Arial" w:hAnsi="Arial" w:cs="Arial"/>
          <w:sz w:val="24"/>
        </w:rPr>
        <w:t xml:space="preserve"> Al 31 de diciembre de 2015 el Ente Público cuenta </w:t>
      </w:r>
      <w:r w:rsidR="006A2F96">
        <w:rPr>
          <w:rFonts w:ascii="Arial" w:hAnsi="Arial" w:cs="Arial"/>
          <w:sz w:val="24"/>
        </w:rPr>
        <w:t xml:space="preserve">con dos fideicomisos en los que </w:t>
      </w:r>
      <w:r w:rsidRPr="00EE4233">
        <w:rPr>
          <w:rFonts w:ascii="Arial" w:hAnsi="Arial" w:cs="Arial"/>
          <w:sz w:val="24"/>
        </w:rPr>
        <w:t>figura como fideicomitente y fideicomisario, y derivado</w:t>
      </w:r>
      <w:r w:rsidR="006A2F96">
        <w:rPr>
          <w:rFonts w:ascii="Arial" w:hAnsi="Arial" w:cs="Arial"/>
          <w:sz w:val="24"/>
        </w:rPr>
        <w:t xml:space="preserve"> de la revisión de la cuenta de </w:t>
      </w:r>
      <w:r w:rsidRPr="00EE4233">
        <w:rPr>
          <w:rFonts w:ascii="Arial" w:hAnsi="Arial" w:cs="Arial"/>
          <w:sz w:val="24"/>
        </w:rPr>
        <w:t>activo (Fideicomisos, mandatos y contratos análogos), se observó diferenci</w:t>
      </w:r>
      <w:r w:rsidR="006A2F96">
        <w:rPr>
          <w:rFonts w:ascii="Arial" w:hAnsi="Arial" w:cs="Arial"/>
          <w:sz w:val="24"/>
        </w:rPr>
        <w:t xml:space="preserve">a entre el saldo </w:t>
      </w:r>
      <w:r w:rsidRPr="00EE4233">
        <w:rPr>
          <w:rFonts w:ascii="Arial" w:hAnsi="Arial" w:cs="Arial"/>
          <w:sz w:val="24"/>
        </w:rPr>
        <w:t>contable y el saldo reflejado en los estados de cuenta de</w:t>
      </w:r>
      <w:r w:rsidR="006A2F96">
        <w:rPr>
          <w:rFonts w:ascii="Arial" w:hAnsi="Arial" w:cs="Arial"/>
          <w:sz w:val="24"/>
        </w:rPr>
        <w:t xml:space="preserve"> los fiduciarios, conforme a lo </w:t>
      </w:r>
      <w:r w:rsidRPr="00EE4233">
        <w:rPr>
          <w:rFonts w:ascii="Arial" w:hAnsi="Arial" w:cs="Arial"/>
          <w:sz w:val="24"/>
        </w:rPr>
        <w:t>siguiente:</w:t>
      </w:r>
    </w:p>
    <w:p w:rsidR="00EE4233" w:rsidRPr="00EE4233" w:rsidRDefault="00EE4233" w:rsidP="00EE4233">
      <w:pPr>
        <w:pStyle w:val="Prrafodelista"/>
        <w:numPr>
          <w:ilvl w:val="0"/>
          <w:numId w:val="45"/>
        </w:numPr>
        <w:spacing w:after="0" w:line="360" w:lineRule="auto"/>
        <w:contextualSpacing/>
        <w:jc w:val="both"/>
        <w:rPr>
          <w:rFonts w:ascii="Arial" w:hAnsi="Arial" w:cs="Arial"/>
          <w:sz w:val="24"/>
        </w:rPr>
      </w:pPr>
      <w:r w:rsidRPr="00EE4233">
        <w:rPr>
          <w:rFonts w:ascii="Arial" w:hAnsi="Arial" w:cs="Arial"/>
          <w:sz w:val="24"/>
        </w:rPr>
        <w:t>Fideicomiso Fondo Nuevo León para la Innovación (Fonlin)</w:t>
      </w:r>
    </w:p>
    <w:p w:rsidR="00EE4233" w:rsidRDefault="00EE4233" w:rsidP="00EE4233">
      <w:pPr>
        <w:pStyle w:val="Prrafodelista"/>
        <w:spacing w:after="0" w:line="360" w:lineRule="auto"/>
        <w:contextualSpacing/>
        <w:jc w:val="both"/>
        <w:rPr>
          <w:rFonts w:ascii="Arial" w:hAnsi="Arial" w:cs="Arial"/>
          <w:sz w:val="24"/>
        </w:rPr>
      </w:pPr>
    </w:p>
    <w:p w:rsidR="00EE4233" w:rsidRDefault="00EE4233" w:rsidP="00EE4233">
      <w:pPr>
        <w:pStyle w:val="Prrafodelista"/>
        <w:spacing w:after="0" w:line="360" w:lineRule="auto"/>
        <w:contextualSpacing/>
        <w:jc w:val="both"/>
        <w:rPr>
          <w:rFonts w:ascii="Arial" w:hAnsi="Arial" w:cs="Arial"/>
          <w:noProof/>
          <w:sz w:val="24"/>
          <w:lang w:val="es-MX" w:eastAsia="es-MX"/>
        </w:rPr>
      </w:pPr>
      <w:r>
        <w:rPr>
          <w:rFonts w:ascii="Arial" w:hAnsi="Arial" w:cs="Arial"/>
          <w:noProof/>
          <w:sz w:val="24"/>
          <w:lang w:val="es-MX" w:eastAsia="es-MX"/>
        </w:rPr>
        <w:lastRenderedPageBreak/>
        <w:drawing>
          <wp:inline distT="0" distB="0" distL="0" distR="0">
            <wp:extent cx="5094605" cy="135382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4605" cy="1353820"/>
                    </a:xfrm>
                    <a:prstGeom prst="rect">
                      <a:avLst/>
                    </a:prstGeom>
                    <a:noFill/>
                    <a:ln>
                      <a:noFill/>
                    </a:ln>
                  </pic:spPr>
                </pic:pic>
              </a:graphicData>
            </a:graphic>
          </wp:inline>
        </w:drawing>
      </w:r>
    </w:p>
    <w:p w:rsidR="00EE4233" w:rsidRPr="00EE4233" w:rsidRDefault="00EE4233" w:rsidP="00EE4233">
      <w:pPr>
        <w:pStyle w:val="Prrafodelista"/>
        <w:spacing w:after="0" w:line="360" w:lineRule="auto"/>
        <w:contextualSpacing/>
        <w:jc w:val="both"/>
        <w:rPr>
          <w:rFonts w:ascii="Arial" w:hAnsi="Arial" w:cs="Arial"/>
          <w:sz w:val="24"/>
        </w:rPr>
      </w:pPr>
      <w:r>
        <w:rPr>
          <w:rFonts w:ascii="Arial" w:hAnsi="Arial" w:cs="Arial"/>
          <w:noProof/>
          <w:sz w:val="24"/>
          <w:lang w:val="es-MX" w:eastAsia="es-MX"/>
        </w:rPr>
        <w:drawing>
          <wp:inline distT="0" distB="0" distL="0" distR="0">
            <wp:extent cx="5023485" cy="1424940"/>
            <wp:effectExtent l="0" t="0" r="5715"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3485" cy="1424940"/>
                    </a:xfrm>
                    <a:prstGeom prst="rect">
                      <a:avLst/>
                    </a:prstGeom>
                    <a:noFill/>
                    <a:ln>
                      <a:noFill/>
                    </a:ln>
                  </pic:spPr>
                </pic:pic>
              </a:graphicData>
            </a:graphic>
          </wp:inline>
        </w:drawing>
      </w:r>
    </w:p>
    <w:p w:rsidR="00BC5008" w:rsidRDefault="00EE4233" w:rsidP="006A2F96">
      <w:pPr>
        <w:spacing w:after="0" w:line="360" w:lineRule="auto"/>
        <w:ind w:firstLine="708"/>
        <w:contextualSpacing/>
        <w:jc w:val="both"/>
        <w:rPr>
          <w:rFonts w:ascii="Arial" w:hAnsi="Arial" w:cs="Arial"/>
          <w:sz w:val="24"/>
        </w:rPr>
      </w:pPr>
      <w:r w:rsidRPr="00EE4233">
        <w:rPr>
          <w:rFonts w:ascii="Arial" w:hAnsi="Arial" w:cs="Arial"/>
          <w:sz w:val="24"/>
        </w:rPr>
        <w:t>b) Fideicomiso para la Operación del Parque de Investigación e Innovación Tec</w:t>
      </w:r>
      <w:r w:rsidR="006A2F96">
        <w:rPr>
          <w:rFonts w:ascii="Arial" w:hAnsi="Arial" w:cs="Arial"/>
          <w:sz w:val="24"/>
        </w:rPr>
        <w:t xml:space="preserve">nológica </w:t>
      </w:r>
      <w:r w:rsidRPr="00EE4233">
        <w:rPr>
          <w:rFonts w:ascii="Arial" w:hAnsi="Arial" w:cs="Arial"/>
          <w:sz w:val="24"/>
        </w:rPr>
        <w:t>(Fopiit)</w:t>
      </w:r>
    </w:p>
    <w:p w:rsidR="00EE4233" w:rsidRDefault="00EE4233" w:rsidP="00EE4233">
      <w:pPr>
        <w:spacing w:after="0" w:line="360" w:lineRule="auto"/>
        <w:contextualSpacing/>
        <w:jc w:val="center"/>
        <w:rPr>
          <w:rFonts w:ascii="Arial" w:hAnsi="Arial" w:cs="Arial"/>
          <w:sz w:val="24"/>
        </w:rPr>
      </w:pPr>
      <w:r>
        <w:rPr>
          <w:rFonts w:ascii="Arial" w:hAnsi="Arial" w:cs="Arial"/>
          <w:noProof/>
          <w:sz w:val="24"/>
          <w:lang w:val="es-MX" w:eastAsia="es-MX"/>
        </w:rPr>
        <w:drawing>
          <wp:inline distT="0" distB="0" distL="0" distR="0">
            <wp:extent cx="3455670" cy="143700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55670" cy="1437005"/>
                    </a:xfrm>
                    <a:prstGeom prst="rect">
                      <a:avLst/>
                    </a:prstGeom>
                    <a:noFill/>
                    <a:ln>
                      <a:noFill/>
                    </a:ln>
                  </pic:spPr>
                </pic:pic>
              </a:graphicData>
            </a:graphic>
          </wp:inline>
        </w:drawing>
      </w:r>
    </w:p>
    <w:p w:rsidR="00EE4233" w:rsidRDefault="00EE4233" w:rsidP="00EE4233">
      <w:pPr>
        <w:spacing w:after="0" w:line="360" w:lineRule="auto"/>
        <w:contextualSpacing/>
        <w:jc w:val="both"/>
        <w:rPr>
          <w:rFonts w:ascii="Arial" w:hAnsi="Arial" w:cs="Arial"/>
          <w:sz w:val="24"/>
        </w:rPr>
      </w:pPr>
      <w:r w:rsidRPr="00EE4233">
        <w:rPr>
          <w:rFonts w:ascii="Arial" w:hAnsi="Arial" w:cs="Arial"/>
          <w:sz w:val="24"/>
        </w:rPr>
        <w:t>Lo anterior en contravención de lo señalado en el a</w:t>
      </w:r>
      <w:r w:rsidR="006A2F96">
        <w:rPr>
          <w:rFonts w:ascii="Arial" w:hAnsi="Arial" w:cs="Arial"/>
          <w:sz w:val="24"/>
        </w:rPr>
        <w:t xml:space="preserve">rtículo 32 de la Ley General de </w:t>
      </w:r>
      <w:r w:rsidRPr="00EE4233">
        <w:rPr>
          <w:rFonts w:ascii="Arial" w:hAnsi="Arial" w:cs="Arial"/>
          <w:sz w:val="24"/>
        </w:rPr>
        <w:t>Contabilidad Gubernamental, en concordancia con los Li</w:t>
      </w:r>
      <w:r w:rsidR="006A2F96">
        <w:rPr>
          <w:rFonts w:ascii="Arial" w:hAnsi="Arial" w:cs="Arial"/>
          <w:sz w:val="24"/>
        </w:rPr>
        <w:t xml:space="preserve">neamientos que deberán observar </w:t>
      </w:r>
      <w:r w:rsidRPr="00EE4233">
        <w:rPr>
          <w:rFonts w:ascii="Arial" w:hAnsi="Arial" w:cs="Arial"/>
          <w:sz w:val="24"/>
        </w:rPr>
        <w:t>los entes públicos para registrar en las cuentas de activo los fide</w:t>
      </w:r>
      <w:r w:rsidR="006A2F96">
        <w:rPr>
          <w:rFonts w:ascii="Arial" w:hAnsi="Arial" w:cs="Arial"/>
          <w:sz w:val="24"/>
        </w:rPr>
        <w:t xml:space="preserve">icomisos sin estructura </w:t>
      </w:r>
      <w:r w:rsidRPr="00EE4233">
        <w:rPr>
          <w:rFonts w:ascii="Arial" w:hAnsi="Arial" w:cs="Arial"/>
          <w:sz w:val="24"/>
        </w:rPr>
        <w:t>orgánica y contratos análogos, incluyendo mandat</w:t>
      </w:r>
      <w:r w:rsidR="006A2F96">
        <w:rPr>
          <w:rFonts w:ascii="Arial" w:hAnsi="Arial" w:cs="Arial"/>
          <w:sz w:val="24"/>
        </w:rPr>
        <w:t xml:space="preserve">os (punto C.2.13 Conciliaciones </w:t>
      </w:r>
      <w:r w:rsidRPr="00EE4233">
        <w:rPr>
          <w:rFonts w:ascii="Arial" w:hAnsi="Arial" w:cs="Arial"/>
          <w:sz w:val="24"/>
        </w:rPr>
        <w:t xml:space="preserve">periódicas), </w:t>
      </w:r>
      <w:r w:rsidRPr="00EE4233">
        <w:rPr>
          <w:rFonts w:ascii="Arial" w:hAnsi="Arial" w:cs="Arial"/>
          <w:sz w:val="24"/>
        </w:rPr>
        <w:lastRenderedPageBreak/>
        <w:t>estableciendo su observancia obligatoria, de c</w:t>
      </w:r>
      <w:r w:rsidR="006A2F96">
        <w:rPr>
          <w:rFonts w:ascii="Arial" w:hAnsi="Arial" w:cs="Arial"/>
          <w:sz w:val="24"/>
        </w:rPr>
        <w:t xml:space="preserve">onformidad con el artículo 7 de </w:t>
      </w:r>
      <w:r w:rsidRPr="00EE4233">
        <w:rPr>
          <w:rFonts w:ascii="Arial" w:hAnsi="Arial" w:cs="Arial"/>
          <w:sz w:val="24"/>
        </w:rPr>
        <w:t>la citada Ley.</w:t>
      </w:r>
    </w:p>
    <w:p w:rsidR="00EE4233" w:rsidRDefault="00EE4233" w:rsidP="00EE4233">
      <w:pPr>
        <w:spacing w:after="0" w:line="360" w:lineRule="auto"/>
        <w:contextualSpacing/>
        <w:jc w:val="both"/>
        <w:rPr>
          <w:rFonts w:ascii="Arial" w:hAnsi="Arial" w:cs="Arial"/>
          <w:sz w:val="24"/>
        </w:rPr>
      </w:pPr>
    </w:p>
    <w:p w:rsidR="00EE4233" w:rsidRPr="006A2F96" w:rsidRDefault="00EE4233" w:rsidP="00EE4233">
      <w:pPr>
        <w:spacing w:after="0" w:line="360" w:lineRule="auto"/>
        <w:contextualSpacing/>
        <w:jc w:val="both"/>
        <w:rPr>
          <w:rFonts w:ascii="Arial" w:hAnsi="Arial" w:cs="Arial"/>
          <w:b/>
          <w:sz w:val="24"/>
        </w:rPr>
      </w:pPr>
      <w:r w:rsidRPr="006A2F96">
        <w:rPr>
          <w:rFonts w:ascii="Arial" w:hAnsi="Arial" w:cs="Arial"/>
          <w:b/>
          <w:sz w:val="24"/>
        </w:rPr>
        <w:t>Acción(es) o recomendación(es) emitida(s)</w:t>
      </w:r>
    </w:p>
    <w:p w:rsidR="00EE4233" w:rsidRPr="006A2F96" w:rsidRDefault="00EE4233" w:rsidP="00EE4233">
      <w:pPr>
        <w:spacing w:after="0" w:line="360" w:lineRule="auto"/>
        <w:contextualSpacing/>
        <w:jc w:val="both"/>
        <w:rPr>
          <w:rFonts w:ascii="Arial" w:hAnsi="Arial" w:cs="Arial"/>
          <w:i/>
          <w:sz w:val="24"/>
        </w:rPr>
      </w:pPr>
      <w:r w:rsidRPr="006A2F96">
        <w:rPr>
          <w:rFonts w:ascii="Arial" w:hAnsi="Arial" w:cs="Arial"/>
          <w:i/>
          <w:sz w:val="24"/>
        </w:rPr>
        <w:t>Promoción de Fincamiento de Responsabilidad Administrativa.</w:t>
      </w:r>
    </w:p>
    <w:p w:rsidR="006A2F96" w:rsidRDefault="006A2F96" w:rsidP="00EE4233">
      <w:pPr>
        <w:spacing w:after="0" w:line="360" w:lineRule="auto"/>
        <w:contextualSpacing/>
        <w:jc w:val="both"/>
        <w:rPr>
          <w:rFonts w:ascii="Arial" w:hAnsi="Arial" w:cs="Arial"/>
          <w:sz w:val="24"/>
        </w:rPr>
      </w:pPr>
    </w:p>
    <w:p w:rsidR="00EE4233" w:rsidRPr="006A2F96" w:rsidRDefault="006A2F96" w:rsidP="00EE4233">
      <w:pPr>
        <w:spacing w:after="0" w:line="360" w:lineRule="auto"/>
        <w:contextualSpacing/>
        <w:jc w:val="both"/>
        <w:rPr>
          <w:rFonts w:ascii="Arial" w:hAnsi="Arial" w:cs="Arial"/>
          <w:b/>
          <w:sz w:val="24"/>
        </w:rPr>
      </w:pPr>
      <w:r w:rsidRPr="006A2F96">
        <w:rPr>
          <w:rFonts w:ascii="Arial" w:hAnsi="Arial" w:cs="Arial"/>
          <w:b/>
          <w:sz w:val="24"/>
        </w:rPr>
        <w:t>GASTOS Y OTRAS PÉRDIDAS</w:t>
      </w:r>
    </w:p>
    <w:p w:rsidR="00EE4233" w:rsidRDefault="00EE4233" w:rsidP="00EE4233">
      <w:pPr>
        <w:spacing w:after="0" w:line="360" w:lineRule="auto"/>
        <w:contextualSpacing/>
        <w:jc w:val="both"/>
        <w:rPr>
          <w:rFonts w:ascii="Arial" w:hAnsi="Arial" w:cs="Arial"/>
          <w:sz w:val="24"/>
        </w:rPr>
      </w:pPr>
      <w:r w:rsidRPr="006A2F96">
        <w:rPr>
          <w:rFonts w:ascii="Arial" w:hAnsi="Arial" w:cs="Arial"/>
          <w:b/>
          <w:sz w:val="24"/>
        </w:rPr>
        <w:t>7.</w:t>
      </w:r>
      <w:r w:rsidRPr="00EE4233">
        <w:rPr>
          <w:rFonts w:ascii="Arial" w:hAnsi="Arial" w:cs="Arial"/>
          <w:sz w:val="24"/>
        </w:rPr>
        <w:t xml:space="preserve"> Al revisar los registros contables relativos a egresos d</w:t>
      </w:r>
      <w:r w:rsidR="006A2F96">
        <w:rPr>
          <w:rFonts w:ascii="Arial" w:hAnsi="Arial" w:cs="Arial"/>
          <w:sz w:val="24"/>
        </w:rPr>
        <w:t xml:space="preserve">evengados (servicios generales, </w:t>
      </w:r>
      <w:r w:rsidRPr="00EE4233">
        <w:rPr>
          <w:rFonts w:ascii="Arial" w:hAnsi="Arial" w:cs="Arial"/>
          <w:sz w:val="24"/>
        </w:rPr>
        <w:t>ayudas sociales e inversión pública no capitalizable), se obse</w:t>
      </w:r>
      <w:r w:rsidR="006A2F96">
        <w:rPr>
          <w:rFonts w:ascii="Arial" w:hAnsi="Arial" w:cs="Arial"/>
          <w:sz w:val="24"/>
        </w:rPr>
        <w:t xml:space="preserve">rvó que el Ente Público realizó </w:t>
      </w:r>
      <w:r w:rsidRPr="00EE4233">
        <w:rPr>
          <w:rFonts w:ascii="Arial" w:hAnsi="Arial" w:cs="Arial"/>
          <w:sz w:val="24"/>
        </w:rPr>
        <w:t>afectaciones a la contabilidad sin contar con la documentació</w:t>
      </w:r>
      <w:r w:rsidR="006A2F96">
        <w:rPr>
          <w:rFonts w:ascii="Arial" w:hAnsi="Arial" w:cs="Arial"/>
          <w:sz w:val="24"/>
        </w:rPr>
        <w:t xml:space="preserve">n justificativa y comprobatoria </w:t>
      </w:r>
      <w:r w:rsidRPr="00EE4233">
        <w:rPr>
          <w:rFonts w:ascii="Arial" w:hAnsi="Arial" w:cs="Arial"/>
          <w:sz w:val="24"/>
        </w:rPr>
        <w:t>y sin haber acreditado la recepción del bien o servicio, por lo que no refleja una obligación</w:t>
      </w:r>
      <w:r>
        <w:rPr>
          <w:rFonts w:ascii="Arial" w:hAnsi="Arial" w:cs="Arial"/>
          <w:sz w:val="24"/>
        </w:rPr>
        <w:t xml:space="preserve"> </w:t>
      </w:r>
      <w:r w:rsidRPr="00EE4233">
        <w:rPr>
          <w:rFonts w:ascii="Arial" w:hAnsi="Arial" w:cs="Arial"/>
          <w:sz w:val="24"/>
        </w:rPr>
        <w:t>de pago por ese concepto registrados en la póliza de diario</w:t>
      </w:r>
      <w:r w:rsidR="006A2F96">
        <w:rPr>
          <w:rFonts w:ascii="Arial" w:hAnsi="Arial" w:cs="Arial"/>
          <w:sz w:val="24"/>
        </w:rPr>
        <w:t xml:space="preserve"> número 126 del 29 de diciembre </w:t>
      </w:r>
      <w:r w:rsidRPr="00EE4233">
        <w:rPr>
          <w:rFonts w:ascii="Arial" w:hAnsi="Arial" w:cs="Arial"/>
          <w:sz w:val="24"/>
        </w:rPr>
        <w:t>de 2015 por $4,470,020 de acuerdo a lo siguiente:</w:t>
      </w:r>
    </w:p>
    <w:p w:rsidR="00EE4233" w:rsidRDefault="00EE4233" w:rsidP="00EE4233">
      <w:pPr>
        <w:spacing w:after="0" w:line="360" w:lineRule="auto"/>
        <w:contextualSpacing/>
        <w:jc w:val="both"/>
        <w:rPr>
          <w:rFonts w:ascii="Arial" w:hAnsi="Arial" w:cs="Arial"/>
          <w:sz w:val="24"/>
        </w:rPr>
      </w:pPr>
      <w:r>
        <w:rPr>
          <w:rFonts w:ascii="Arial" w:hAnsi="Arial" w:cs="Arial"/>
          <w:noProof/>
          <w:sz w:val="24"/>
          <w:lang w:val="es-MX" w:eastAsia="es-MX"/>
        </w:rPr>
        <w:drawing>
          <wp:inline distT="0" distB="0" distL="0" distR="0">
            <wp:extent cx="4904740" cy="188849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04740" cy="1888490"/>
                    </a:xfrm>
                    <a:prstGeom prst="rect">
                      <a:avLst/>
                    </a:prstGeom>
                    <a:noFill/>
                    <a:ln>
                      <a:noFill/>
                    </a:ln>
                  </pic:spPr>
                </pic:pic>
              </a:graphicData>
            </a:graphic>
          </wp:inline>
        </w:drawing>
      </w:r>
    </w:p>
    <w:p w:rsidR="00EE4233" w:rsidRDefault="00EE4233" w:rsidP="00EE4233">
      <w:pPr>
        <w:spacing w:after="0" w:line="360" w:lineRule="auto"/>
        <w:contextualSpacing/>
        <w:jc w:val="both"/>
        <w:rPr>
          <w:rFonts w:ascii="Arial" w:hAnsi="Arial" w:cs="Arial"/>
          <w:sz w:val="24"/>
        </w:rPr>
      </w:pPr>
      <w:r w:rsidRPr="00EE4233">
        <w:rPr>
          <w:rFonts w:ascii="Arial" w:hAnsi="Arial" w:cs="Arial"/>
          <w:sz w:val="24"/>
        </w:rPr>
        <w:t>Lo anterior incumpliendo lo señalado por el Postula</w:t>
      </w:r>
      <w:r w:rsidR="006A2F96">
        <w:rPr>
          <w:rFonts w:ascii="Arial" w:hAnsi="Arial" w:cs="Arial"/>
          <w:sz w:val="24"/>
        </w:rPr>
        <w:t xml:space="preserve">do número 8) "Devengo Contable" </w:t>
      </w:r>
      <w:r w:rsidRPr="00EE4233">
        <w:rPr>
          <w:rFonts w:ascii="Arial" w:hAnsi="Arial" w:cs="Arial"/>
          <w:sz w:val="24"/>
        </w:rPr>
        <w:t>del Acuerdo por el que se emiten los postulados básicos</w:t>
      </w:r>
      <w:r w:rsidR="006A2F96">
        <w:rPr>
          <w:rFonts w:ascii="Arial" w:hAnsi="Arial" w:cs="Arial"/>
          <w:sz w:val="24"/>
        </w:rPr>
        <w:t xml:space="preserve"> de contabilidad gubernamental, </w:t>
      </w:r>
      <w:r w:rsidRPr="00EE4233">
        <w:rPr>
          <w:rFonts w:ascii="Arial" w:hAnsi="Arial" w:cs="Arial"/>
          <w:sz w:val="24"/>
        </w:rPr>
        <w:t>estableciendo su observancia obligatoria, de conformidad con</w:t>
      </w:r>
      <w:r w:rsidR="006A2F96">
        <w:rPr>
          <w:rFonts w:ascii="Arial" w:hAnsi="Arial" w:cs="Arial"/>
          <w:sz w:val="24"/>
        </w:rPr>
        <w:t xml:space="preserve"> el artículo 7, en concordancia </w:t>
      </w:r>
      <w:r w:rsidRPr="00EE4233">
        <w:rPr>
          <w:rFonts w:ascii="Arial" w:hAnsi="Arial" w:cs="Arial"/>
          <w:sz w:val="24"/>
        </w:rPr>
        <w:t xml:space="preserve">con los artículos 34, 42 y 43 </w:t>
      </w:r>
      <w:r w:rsidRPr="00EE4233">
        <w:rPr>
          <w:rFonts w:ascii="Arial" w:hAnsi="Arial" w:cs="Arial"/>
          <w:sz w:val="24"/>
        </w:rPr>
        <w:lastRenderedPageBreak/>
        <w:t>de la Ley General de Contab</w:t>
      </w:r>
      <w:r w:rsidR="006A2F96">
        <w:rPr>
          <w:rFonts w:ascii="Arial" w:hAnsi="Arial" w:cs="Arial"/>
          <w:sz w:val="24"/>
        </w:rPr>
        <w:t xml:space="preserve">ilidad Gubernamental y 15 de la </w:t>
      </w:r>
      <w:r w:rsidRPr="00EE4233">
        <w:rPr>
          <w:rFonts w:ascii="Arial" w:hAnsi="Arial" w:cs="Arial"/>
          <w:sz w:val="24"/>
        </w:rPr>
        <w:t>Ley de Fiscalización Superior del Estado de Nuevo León.</w:t>
      </w:r>
    </w:p>
    <w:p w:rsidR="00EE4233" w:rsidRDefault="00EE4233" w:rsidP="00EE4233">
      <w:pPr>
        <w:spacing w:after="0" w:line="360" w:lineRule="auto"/>
        <w:contextualSpacing/>
        <w:jc w:val="both"/>
        <w:rPr>
          <w:rFonts w:ascii="Arial" w:hAnsi="Arial" w:cs="Arial"/>
          <w:sz w:val="24"/>
        </w:rPr>
      </w:pPr>
    </w:p>
    <w:p w:rsidR="00EE4233" w:rsidRPr="006A2F96" w:rsidRDefault="00EE4233" w:rsidP="00EE4233">
      <w:pPr>
        <w:spacing w:after="0" w:line="360" w:lineRule="auto"/>
        <w:contextualSpacing/>
        <w:jc w:val="both"/>
        <w:rPr>
          <w:rFonts w:ascii="Arial" w:hAnsi="Arial" w:cs="Arial"/>
          <w:b/>
          <w:sz w:val="24"/>
        </w:rPr>
      </w:pPr>
      <w:r w:rsidRPr="006A2F96">
        <w:rPr>
          <w:rFonts w:ascii="Arial" w:hAnsi="Arial" w:cs="Arial"/>
          <w:b/>
          <w:sz w:val="24"/>
        </w:rPr>
        <w:t>Análisis de la Auditoría Superior del Estado</w:t>
      </w:r>
    </w:p>
    <w:p w:rsidR="00EE4233" w:rsidRPr="00EE4233" w:rsidRDefault="00EE4233" w:rsidP="00EE4233">
      <w:pPr>
        <w:spacing w:after="0" w:line="360" w:lineRule="auto"/>
        <w:contextualSpacing/>
        <w:jc w:val="both"/>
        <w:rPr>
          <w:rFonts w:ascii="Arial" w:hAnsi="Arial" w:cs="Arial"/>
          <w:sz w:val="24"/>
        </w:rPr>
      </w:pPr>
      <w:r w:rsidRPr="00EE4233">
        <w:rPr>
          <w:rFonts w:ascii="Arial" w:hAnsi="Arial" w:cs="Arial"/>
          <w:sz w:val="24"/>
        </w:rPr>
        <w:t>Se analizó la respuesta y documentación proporcionada por el Ente Público, la cu</w:t>
      </w:r>
      <w:r w:rsidR="006A2F96">
        <w:rPr>
          <w:rFonts w:ascii="Arial" w:hAnsi="Arial" w:cs="Arial"/>
          <w:sz w:val="24"/>
        </w:rPr>
        <w:t xml:space="preserve">al </w:t>
      </w:r>
      <w:r w:rsidRPr="00EE4233">
        <w:rPr>
          <w:rFonts w:ascii="Arial" w:hAnsi="Arial" w:cs="Arial"/>
          <w:sz w:val="24"/>
        </w:rPr>
        <w:t>solventa parcialmente dado que aún y cuando realizó l</w:t>
      </w:r>
      <w:r w:rsidR="006A2F96">
        <w:rPr>
          <w:rFonts w:ascii="Arial" w:hAnsi="Arial" w:cs="Arial"/>
          <w:sz w:val="24"/>
        </w:rPr>
        <w:t xml:space="preserve">a cancelación de pasivos contra </w:t>
      </w:r>
      <w:r w:rsidRPr="00EE4233">
        <w:rPr>
          <w:rFonts w:ascii="Arial" w:hAnsi="Arial" w:cs="Arial"/>
          <w:sz w:val="24"/>
        </w:rPr>
        <w:t>resultados de ejercicios anteriores por $3,321,175, del res</w:t>
      </w:r>
      <w:r w:rsidR="006A2F96">
        <w:rPr>
          <w:rFonts w:ascii="Arial" w:hAnsi="Arial" w:cs="Arial"/>
          <w:sz w:val="24"/>
        </w:rPr>
        <w:t xml:space="preserve">tante de $1,148,845 no presentó </w:t>
      </w:r>
      <w:r w:rsidRPr="00EE4233">
        <w:rPr>
          <w:rFonts w:ascii="Arial" w:hAnsi="Arial" w:cs="Arial"/>
          <w:sz w:val="24"/>
        </w:rPr>
        <w:t>la documentación justificativa y comprobatoria, así como evidencia que acredi</w:t>
      </w:r>
      <w:r w:rsidR="006A2F96">
        <w:rPr>
          <w:rFonts w:ascii="Arial" w:hAnsi="Arial" w:cs="Arial"/>
          <w:sz w:val="24"/>
        </w:rPr>
        <w:t xml:space="preserve">te la recepción </w:t>
      </w:r>
      <w:r w:rsidRPr="00EE4233">
        <w:rPr>
          <w:rFonts w:ascii="Arial" w:hAnsi="Arial" w:cs="Arial"/>
          <w:sz w:val="24"/>
        </w:rPr>
        <w:t>del bien o servicio.</w:t>
      </w:r>
    </w:p>
    <w:p w:rsidR="006A2F96" w:rsidRDefault="006A2F96" w:rsidP="00EE4233">
      <w:pPr>
        <w:spacing w:after="0" w:line="360" w:lineRule="auto"/>
        <w:contextualSpacing/>
        <w:jc w:val="both"/>
        <w:rPr>
          <w:rFonts w:ascii="Arial" w:hAnsi="Arial" w:cs="Arial"/>
          <w:sz w:val="24"/>
        </w:rPr>
      </w:pPr>
    </w:p>
    <w:p w:rsidR="00EE4233" w:rsidRPr="00EE4233" w:rsidRDefault="00EE4233" w:rsidP="00EE4233">
      <w:pPr>
        <w:spacing w:after="0" w:line="360" w:lineRule="auto"/>
        <w:contextualSpacing/>
        <w:jc w:val="both"/>
        <w:rPr>
          <w:rFonts w:ascii="Arial" w:hAnsi="Arial" w:cs="Arial"/>
          <w:sz w:val="24"/>
        </w:rPr>
      </w:pPr>
      <w:r w:rsidRPr="00EE4233">
        <w:rPr>
          <w:rFonts w:ascii="Arial" w:hAnsi="Arial" w:cs="Arial"/>
          <w:sz w:val="24"/>
        </w:rPr>
        <w:t>Cabe mencionar que la cédula presentada (señalada en su re</w:t>
      </w:r>
      <w:r w:rsidR="006A2F96">
        <w:rPr>
          <w:rFonts w:ascii="Arial" w:hAnsi="Arial" w:cs="Arial"/>
          <w:sz w:val="24"/>
        </w:rPr>
        <w:t xml:space="preserve">spuesta) no concilia contra los </w:t>
      </w:r>
      <w:r w:rsidRPr="00EE4233">
        <w:rPr>
          <w:rFonts w:ascii="Arial" w:hAnsi="Arial" w:cs="Arial"/>
          <w:sz w:val="24"/>
        </w:rPr>
        <w:t>registros contables (pólizas 119 y 120 del 20 de junio de 2</w:t>
      </w:r>
      <w:r w:rsidR="006A2F96">
        <w:rPr>
          <w:rFonts w:ascii="Arial" w:hAnsi="Arial" w:cs="Arial"/>
          <w:sz w:val="24"/>
        </w:rPr>
        <w:t xml:space="preserve">016 y póliza 4 del 15 de agosto </w:t>
      </w:r>
      <w:r w:rsidRPr="00EE4233">
        <w:rPr>
          <w:rFonts w:ascii="Arial" w:hAnsi="Arial" w:cs="Arial"/>
          <w:sz w:val="24"/>
        </w:rPr>
        <w:t>de 2016).</w:t>
      </w:r>
    </w:p>
    <w:p w:rsidR="006A2F96" w:rsidRDefault="006A2F96" w:rsidP="00EE4233">
      <w:pPr>
        <w:spacing w:after="0" w:line="360" w:lineRule="auto"/>
        <w:contextualSpacing/>
        <w:jc w:val="both"/>
        <w:rPr>
          <w:rFonts w:ascii="Arial" w:hAnsi="Arial" w:cs="Arial"/>
          <w:sz w:val="24"/>
        </w:rPr>
      </w:pPr>
    </w:p>
    <w:p w:rsidR="00EE4233" w:rsidRPr="006A2F96" w:rsidRDefault="00EE4233" w:rsidP="00EE4233">
      <w:pPr>
        <w:spacing w:after="0" w:line="360" w:lineRule="auto"/>
        <w:contextualSpacing/>
        <w:jc w:val="both"/>
        <w:rPr>
          <w:rFonts w:ascii="Arial" w:hAnsi="Arial" w:cs="Arial"/>
          <w:b/>
          <w:sz w:val="24"/>
        </w:rPr>
      </w:pPr>
      <w:r w:rsidRPr="006A2F96">
        <w:rPr>
          <w:rFonts w:ascii="Arial" w:hAnsi="Arial" w:cs="Arial"/>
          <w:b/>
          <w:sz w:val="24"/>
        </w:rPr>
        <w:t>Acción(es) o recomendación(es) emitida(s)</w:t>
      </w:r>
    </w:p>
    <w:p w:rsidR="00EE4233" w:rsidRDefault="00EE4233" w:rsidP="00EE4233">
      <w:pPr>
        <w:spacing w:after="0" w:line="360" w:lineRule="auto"/>
        <w:contextualSpacing/>
        <w:jc w:val="both"/>
        <w:rPr>
          <w:rFonts w:ascii="Arial" w:hAnsi="Arial" w:cs="Arial"/>
          <w:i/>
          <w:sz w:val="24"/>
        </w:rPr>
      </w:pPr>
      <w:r w:rsidRPr="006A2F96">
        <w:rPr>
          <w:rFonts w:ascii="Arial" w:hAnsi="Arial" w:cs="Arial"/>
          <w:i/>
          <w:sz w:val="24"/>
        </w:rPr>
        <w:t>Promoción de Fincamiento de Responsabilidad Administrativa.</w:t>
      </w:r>
    </w:p>
    <w:p w:rsidR="001E476B" w:rsidRPr="006A2F96" w:rsidRDefault="001E476B" w:rsidP="00EE4233">
      <w:pPr>
        <w:spacing w:after="0" w:line="360" w:lineRule="auto"/>
        <w:contextualSpacing/>
        <w:jc w:val="both"/>
        <w:rPr>
          <w:rFonts w:ascii="Arial" w:hAnsi="Arial" w:cs="Arial"/>
          <w:i/>
          <w:sz w:val="24"/>
        </w:rPr>
      </w:pPr>
    </w:p>
    <w:p w:rsidR="00EE4233" w:rsidRPr="006A2F96" w:rsidRDefault="00EE4233" w:rsidP="00EE4233">
      <w:pPr>
        <w:spacing w:after="0" w:line="360" w:lineRule="auto"/>
        <w:contextualSpacing/>
        <w:jc w:val="both"/>
        <w:rPr>
          <w:rFonts w:ascii="Arial" w:hAnsi="Arial" w:cs="Arial"/>
          <w:b/>
          <w:sz w:val="24"/>
          <w:u w:val="single"/>
        </w:rPr>
      </w:pPr>
      <w:r w:rsidRPr="006A2F96">
        <w:rPr>
          <w:rFonts w:ascii="Arial" w:hAnsi="Arial" w:cs="Arial"/>
          <w:b/>
          <w:sz w:val="24"/>
          <w:u w:val="single"/>
        </w:rPr>
        <w:t>Gastos de funcionamiento</w:t>
      </w:r>
    </w:p>
    <w:p w:rsidR="00EE4233" w:rsidRPr="006A2F96" w:rsidRDefault="00EE4233" w:rsidP="00EE4233">
      <w:pPr>
        <w:spacing w:after="0" w:line="360" w:lineRule="auto"/>
        <w:contextualSpacing/>
        <w:jc w:val="both"/>
        <w:rPr>
          <w:rFonts w:ascii="Arial" w:hAnsi="Arial" w:cs="Arial"/>
          <w:b/>
          <w:sz w:val="24"/>
          <w:u w:val="single"/>
        </w:rPr>
      </w:pPr>
      <w:r w:rsidRPr="006A2F96">
        <w:rPr>
          <w:rFonts w:ascii="Arial" w:hAnsi="Arial" w:cs="Arial"/>
          <w:b/>
          <w:sz w:val="24"/>
          <w:u w:val="single"/>
        </w:rPr>
        <w:t>Servicios generales</w:t>
      </w:r>
    </w:p>
    <w:p w:rsidR="00EE4233" w:rsidRPr="006A2F96" w:rsidRDefault="00EE4233" w:rsidP="00EE4233">
      <w:pPr>
        <w:spacing w:after="0" w:line="360" w:lineRule="auto"/>
        <w:contextualSpacing/>
        <w:jc w:val="both"/>
        <w:rPr>
          <w:rFonts w:ascii="Arial" w:hAnsi="Arial" w:cs="Arial"/>
          <w:b/>
          <w:sz w:val="24"/>
          <w:u w:val="single"/>
        </w:rPr>
      </w:pPr>
      <w:r w:rsidRPr="006A2F96">
        <w:rPr>
          <w:rFonts w:ascii="Arial" w:hAnsi="Arial" w:cs="Arial"/>
          <w:b/>
          <w:sz w:val="24"/>
          <w:u w:val="single"/>
        </w:rPr>
        <w:t>Servicios profesionales, científicos, y técnicos</w:t>
      </w:r>
    </w:p>
    <w:p w:rsidR="00EE4233" w:rsidRDefault="00EE4233" w:rsidP="00EE4233">
      <w:pPr>
        <w:spacing w:after="0" w:line="360" w:lineRule="auto"/>
        <w:contextualSpacing/>
        <w:jc w:val="both"/>
        <w:rPr>
          <w:rFonts w:ascii="Arial" w:hAnsi="Arial" w:cs="Arial"/>
          <w:sz w:val="24"/>
        </w:rPr>
      </w:pPr>
      <w:r w:rsidRPr="006A2F96">
        <w:rPr>
          <w:rFonts w:ascii="Arial" w:hAnsi="Arial" w:cs="Arial"/>
          <w:b/>
          <w:sz w:val="24"/>
        </w:rPr>
        <w:t>8.</w:t>
      </w:r>
      <w:r w:rsidRPr="00EE4233">
        <w:rPr>
          <w:rFonts w:ascii="Arial" w:hAnsi="Arial" w:cs="Arial"/>
          <w:sz w:val="24"/>
        </w:rPr>
        <w:t xml:space="preserve"> El Ente Público celebró diversos contratos de servicios por un monto total de $2,264,</w:t>
      </w:r>
      <w:r w:rsidR="006A2F96">
        <w:rPr>
          <w:rFonts w:ascii="Arial" w:hAnsi="Arial" w:cs="Arial"/>
          <w:sz w:val="24"/>
        </w:rPr>
        <w:t xml:space="preserve">442 a </w:t>
      </w:r>
      <w:r w:rsidRPr="00EE4233">
        <w:rPr>
          <w:rFonts w:ascii="Arial" w:hAnsi="Arial" w:cs="Arial"/>
          <w:sz w:val="24"/>
        </w:rPr>
        <w:t xml:space="preserve">través del procedimiento de adjudicación directa en términos </w:t>
      </w:r>
      <w:r w:rsidR="006A2F96">
        <w:rPr>
          <w:rFonts w:ascii="Arial" w:hAnsi="Arial" w:cs="Arial"/>
          <w:sz w:val="24"/>
        </w:rPr>
        <w:t xml:space="preserve">de lo dispuesto por el artículo </w:t>
      </w:r>
      <w:r w:rsidRPr="00EE4233">
        <w:rPr>
          <w:rFonts w:ascii="Arial" w:hAnsi="Arial" w:cs="Arial"/>
          <w:sz w:val="24"/>
        </w:rPr>
        <w:t xml:space="preserve">42 fracción XI de la Ley de Adquisiciones, Arrendamientos </w:t>
      </w:r>
      <w:r w:rsidR="006A2F96">
        <w:rPr>
          <w:rFonts w:ascii="Arial" w:hAnsi="Arial" w:cs="Arial"/>
          <w:sz w:val="24"/>
        </w:rPr>
        <w:t xml:space="preserve">y Contratación de Servicios del </w:t>
      </w:r>
      <w:r w:rsidRPr="00EE4233">
        <w:rPr>
          <w:rFonts w:ascii="Arial" w:hAnsi="Arial" w:cs="Arial"/>
          <w:sz w:val="24"/>
        </w:rPr>
        <w:t xml:space="preserve">Estado de Nuevo León </w:t>
      </w:r>
      <w:r w:rsidRPr="00EE4233">
        <w:rPr>
          <w:rFonts w:ascii="Arial" w:hAnsi="Arial" w:cs="Arial"/>
          <w:sz w:val="24"/>
        </w:rPr>
        <w:lastRenderedPageBreak/>
        <w:t>(LAACSENL), observando que la elección de dich</w:t>
      </w:r>
      <w:r w:rsidR="006A2F96">
        <w:rPr>
          <w:rFonts w:ascii="Arial" w:hAnsi="Arial" w:cs="Arial"/>
          <w:sz w:val="24"/>
        </w:rPr>
        <w:t xml:space="preserve">o procedimiento de </w:t>
      </w:r>
      <w:r w:rsidRPr="00EE4233">
        <w:rPr>
          <w:rFonts w:ascii="Arial" w:hAnsi="Arial" w:cs="Arial"/>
          <w:sz w:val="24"/>
        </w:rPr>
        <w:t>contratación, no se encuentra justificada con las investig</w:t>
      </w:r>
      <w:r w:rsidR="006A2F96">
        <w:rPr>
          <w:rFonts w:ascii="Arial" w:hAnsi="Arial" w:cs="Arial"/>
          <w:sz w:val="24"/>
        </w:rPr>
        <w:t xml:space="preserve">aciones, dictámenes y opiniones </w:t>
      </w:r>
      <w:r w:rsidRPr="00EE4233">
        <w:rPr>
          <w:rFonts w:ascii="Arial" w:hAnsi="Arial" w:cs="Arial"/>
          <w:sz w:val="24"/>
        </w:rPr>
        <w:t>documentadas, que conforme a la citada ley, deben elaborarse para tales efectos:</w:t>
      </w:r>
    </w:p>
    <w:p w:rsidR="001E476B" w:rsidRPr="00EE4233" w:rsidRDefault="001E476B" w:rsidP="00EE4233">
      <w:pPr>
        <w:spacing w:after="0" w:line="360" w:lineRule="auto"/>
        <w:contextualSpacing/>
        <w:jc w:val="both"/>
        <w:rPr>
          <w:rFonts w:ascii="Arial" w:hAnsi="Arial" w:cs="Arial"/>
          <w:sz w:val="24"/>
        </w:rPr>
      </w:pPr>
    </w:p>
    <w:p w:rsidR="00EE4233" w:rsidRPr="00EE4233" w:rsidRDefault="00EE4233" w:rsidP="00EE4233">
      <w:pPr>
        <w:spacing w:after="0" w:line="360" w:lineRule="auto"/>
        <w:contextualSpacing/>
        <w:jc w:val="both"/>
        <w:rPr>
          <w:rFonts w:ascii="Arial" w:hAnsi="Arial" w:cs="Arial"/>
          <w:sz w:val="24"/>
        </w:rPr>
      </w:pPr>
      <w:r w:rsidRPr="00EE4233">
        <w:rPr>
          <w:rFonts w:ascii="Arial" w:hAnsi="Arial" w:cs="Arial"/>
          <w:sz w:val="24"/>
        </w:rPr>
        <w:t>a) Escrito firmado por el titular de la unidad usuaria o requirent</w:t>
      </w:r>
      <w:r w:rsidR="001E476B">
        <w:rPr>
          <w:rFonts w:ascii="Arial" w:hAnsi="Arial" w:cs="Arial"/>
          <w:sz w:val="24"/>
        </w:rPr>
        <w:t xml:space="preserve">e de los bienes o servicios </w:t>
      </w:r>
      <w:r w:rsidRPr="00EE4233">
        <w:rPr>
          <w:rFonts w:ascii="Arial" w:hAnsi="Arial" w:cs="Arial"/>
          <w:sz w:val="24"/>
        </w:rPr>
        <w:t>y por el titular de la unidad contratante de la acreditació</w:t>
      </w:r>
      <w:r w:rsidR="001E476B">
        <w:rPr>
          <w:rFonts w:ascii="Arial" w:hAnsi="Arial" w:cs="Arial"/>
          <w:sz w:val="24"/>
        </w:rPr>
        <w:t xml:space="preserve">n del o de los criterios en los </w:t>
      </w:r>
      <w:r w:rsidRPr="00EE4233">
        <w:rPr>
          <w:rFonts w:ascii="Arial" w:hAnsi="Arial" w:cs="Arial"/>
          <w:sz w:val="24"/>
        </w:rPr>
        <w:t xml:space="preserve">que se funda y la justificación de las razones en las </w:t>
      </w:r>
      <w:r w:rsidR="001E476B">
        <w:rPr>
          <w:rFonts w:ascii="Arial" w:hAnsi="Arial" w:cs="Arial"/>
          <w:sz w:val="24"/>
        </w:rPr>
        <w:t xml:space="preserve">que se sustente el ejercicio de </w:t>
      </w:r>
      <w:r w:rsidRPr="00EE4233">
        <w:rPr>
          <w:rFonts w:ascii="Arial" w:hAnsi="Arial" w:cs="Arial"/>
          <w:sz w:val="24"/>
        </w:rPr>
        <w:t>la opción conforme al artículo 41 párrafo segundo y tercero de la LAACSENL.</w:t>
      </w:r>
    </w:p>
    <w:p w:rsidR="00EE4233" w:rsidRPr="00EE4233" w:rsidRDefault="00EE4233" w:rsidP="00EE4233">
      <w:pPr>
        <w:spacing w:after="0" w:line="360" w:lineRule="auto"/>
        <w:contextualSpacing/>
        <w:jc w:val="both"/>
        <w:rPr>
          <w:rFonts w:ascii="Arial" w:hAnsi="Arial" w:cs="Arial"/>
          <w:sz w:val="24"/>
        </w:rPr>
      </w:pPr>
      <w:r w:rsidRPr="00EE4233">
        <w:rPr>
          <w:rFonts w:ascii="Arial" w:hAnsi="Arial" w:cs="Arial"/>
          <w:sz w:val="24"/>
        </w:rPr>
        <w:t>b) Dictamen en el que se hará constar el anális</w:t>
      </w:r>
      <w:r w:rsidR="001E476B">
        <w:rPr>
          <w:rFonts w:ascii="Arial" w:hAnsi="Arial" w:cs="Arial"/>
          <w:sz w:val="24"/>
        </w:rPr>
        <w:t xml:space="preserve">is de la o las propuestas y las </w:t>
      </w:r>
      <w:r w:rsidRPr="00EE4233">
        <w:rPr>
          <w:rFonts w:ascii="Arial" w:hAnsi="Arial" w:cs="Arial"/>
          <w:sz w:val="24"/>
        </w:rPr>
        <w:t>razones para la adjudicación del contrato acorde al a</w:t>
      </w:r>
      <w:r w:rsidR="001E476B">
        <w:rPr>
          <w:rFonts w:ascii="Arial" w:hAnsi="Arial" w:cs="Arial"/>
          <w:sz w:val="24"/>
        </w:rPr>
        <w:t xml:space="preserve">rtículo 41 párrafo cuarto de la </w:t>
      </w:r>
      <w:r w:rsidRPr="00EE4233">
        <w:rPr>
          <w:rFonts w:ascii="Arial" w:hAnsi="Arial" w:cs="Arial"/>
          <w:sz w:val="24"/>
        </w:rPr>
        <w:t>LAACSENL.</w:t>
      </w:r>
    </w:p>
    <w:p w:rsidR="00EE4233" w:rsidRPr="00EE4233" w:rsidRDefault="00EE4233" w:rsidP="00EE4233">
      <w:pPr>
        <w:spacing w:after="0" w:line="360" w:lineRule="auto"/>
        <w:contextualSpacing/>
        <w:jc w:val="both"/>
        <w:rPr>
          <w:rFonts w:ascii="Arial" w:hAnsi="Arial" w:cs="Arial"/>
          <w:sz w:val="24"/>
        </w:rPr>
      </w:pPr>
      <w:r w:rsidRPr="00EE4233">
        <w:rPr>
          <w:rFonts w:ascii="Arial" w:hAnsi="Arial" w:cs="Arial"/>
          <w:sz w:val="24"/>
        </w:rPr>
        <w:t>c) Dictamen de excepción a la celebración de licitación p</w:t>
      </w:r>
      <w:r w:rsidR="001E476B">
        <w:rPr>
          <w:rFonts w:ascii="Arial" w:hAnsi="Arial" w:cs="Arial"/>
          <w:sz w:val="24"/>
        </w:rPr>
        <w:t xml:space="preserve">ública emitido por el Comité </w:t>
      </w:r>
      <w:r w:rsidRPr="00EE4233">
        <w:rPr>
          <w:rFonts w:ascii="Arial" w:hAnsi="Arial" w:cs="Arial"/>
          <w:sz w:val="24"/>
        </w:rPr>
        <w:t>de Adquisiciones conforme al artículo 16 fracción V de la LAACSENL.</w:t>
      </w:r>
    </w:p>
    <w:p w:rsidR="00EE4233" w:rsidRDefault="00EE4233" w:rsidP="00EE4233">
      <w:pPr>
        <w:spacing w:after="0" w:line="360" w:lineRule="auto"/>
        <w:contextualSpacing/>
        <w:jc w:val="both"/>
        <w:rPr>
          <w:rFonts w:ascii="Arial" w:hAnsi="Arial" w:cs="Arial"/>
          <w:sz w:val="24"/>
        </w:rPr>
      </w:pPr>
      <w:r w:rsidRPr="00EE4233">
        <w:rPr>
          <w:rFonts w:ascii="Arial" w:hAnsi="Arial" w:cs="Arial"/>
          <w:sz w:val="24"/>
        </w:rPr>
        <w:t>c) Investigación de mercado que haya servid</w:t>
      </w:r>
      <w:r w:rsidR="001E476B">
        <w:rPr>
          <w:rFonts w:ascii="Arial" w:hAnsi="Arial" w:cs="Arial"/>
          <w:sz w:val="24"/>
        </w:rPr>
        <w:t xml:space="preserve">o de base para la selección del </w:t>
      </w:r>
      <w:r w:rsidRPr="00EE4233">
        <w:rPr>
          <w:rFonts w:ascii="Arial" w:hAnsi="Arial" w:cs="Arial"/>
          <w:sz w:val="24"/>
        </w:rPr>
        <w:t xml:space="preserve">procedimiento de contratación y determinación </w:t>
      </w:r>
      <w:r w:rsidR="001E476B">
        <w:rPr>
          <w:rFonts w:ascii="Arial" w:hAnsi="Arial" w:cs="Arial"/>
          <w:sz w:val="24"/>
        </w:rPr>
        <w:t xml:space="preserve">del precio máximo de referencia </w:t>
      </w:r>
      <w:r w:rsidRPr="00EE4233">
        <w:rPr>
          <w:rFonts w:ascii="Arial" w:hAnsi="Arial" w:cs="Arial"/>
          <w:sz w:val="24"/>
        </w:rPr>
        <w:t>conforme a lo establecido en el artículo 26 de la Ley en mención en concordancia con</w:t>
      </w:r>
      <w:r>
        <w:rPr>
          <w:rFonts w:ascii="Arial" w:hAnsi="Arial" w:cs="Arial"/>
          <w:sz w:val="24"/>
        </w:rPr>
        <w:t xml:space="preserve"> </w:t>
      </w:r>
      <w:r w:rsidRPr="00EE4233">
        <w:rPr>
          <w:rFonts w:ascii="Arial" w:hAnsi="Arial" w:cs="Arial"/>
          <w:sz w:val="24"/>
        </w:rPr>
        <w:t>los artículos 42 al 46 segundo párrafo del Reglame</w:t>
      </w:r>
      <w:r w:rsidR="001E476B">
        <w:rPr>
          <w:rFonts w:ascii="Arial" w:hAnsi="Arial" w:cs="Arial"/>
          <w:sz w:val="24"/>
        </w:rPr>
        <w:t xml:space="preserve">nto de la Ley de Adquisiciones, </w:t>
      </w:r>
      <w:r w:rsidRPr="00EE4233">
        <w:rPr>
          <w:rFonts w:ascii="Arial" w:hAnsi="Arial" w:cs="Arial"/>
          <w:sz w:val="24"/>
        </w:rPr>
        <w:t>Arrendamientos y Contratación de Servicios del Estado de Nuevo León.</w:t>
      </w:r>
    </w:p>
    <w:p w:rsidR="001E476B" w:rsidRPr="00EE4233" w:rsidRDefault="001E476B" w:rsidP="00EE4233">
      <w:pPr>
        <w:spacing w:after="0" w:line="360" w:lineRule="auto"/>
        <w:contextualSpacing/>
        <w:jc w:val="both"/>
        <w:rPr>
          <w:rFonts w:ascii="Arial" w:hAnsi="Arial" w:cs="Arial"/>
          <w:sz w:val="24"/>
        </w:rPr>
      </w:pPr>
    </w:p>
    <w:p w:rsidR="00EE4233" w:rsidRDefault="00EE4233" w:rsidP="00EE4233">
      <w:pPr>
        <w:spacing w:after="0" w:line="360" w:lineRule="auto"/>
        <w:contextualSpacing/>
        <w:jc w:val="both"/>
        <w:rPr>
          <w:rFonts w:ascii="Arial" w:hAnsi="Arial" w:cs="Arial"/>
          <w:sz w:val="24"/>
        </w:rPr>
      </w:pPr>
      <w:r w:rsidRPr="00EE4233">
        <w:rPr>
          <w:rFonts w:ascii="Arial" w:hAnsi="Arial" w:cs="Arial"/>
          <w:sz w:val="24"/>
        </w:rPr>
        <w:t xml:space="preserve">Así mismo no fue exhibido el Informe trimestral que el </w:t>
      </w:r>
      <w:r w:rsidR="001E476B">
        <w:rPr>
          <w:rFonts w:ascii="Arial" w:hAnsi="Arial" w:cs="Arial"/>
          <w:sz w:val="24"/>
        </w:rPr>
        <w:t xml:space="preserve">titular del área responsable de </w:t>
      </w:r>
      <w:r w:rsidRPr="00EE4233">
        <w:rPr>
          <w:rFonts w:ascii="Arial" w:hAnsi="Arial" w:cs="Arial"/>
          <w:sz w:val="24"/>
        </w:rPr>
        <w:t>la contratación debe enviar al órgano de control interno d</w:t>
      </w:r>
      <w:r w:rsidR="001E476B">
        <w:rPr>
          <w:rFonts w:ascii="Arial" w:hAnsi="Arial" w:cs="Arial"/>
          <w:sz w:val="24"/>
        </w:rPr>
        <w:t xml:space="preserve">el ente público, que incluya la </w:t>
      </w:r>
      <w:r w:rsidRPr="00EE4233">
        <w:rPr>
          <w:rFonts w:ascii="Arial" w:hAnsi="Arial" w:cs="Arial"/>
          <w:sz w:val="24"/>
        </w:rPr>
        <w:t>adquisición materia de esta observación.</w:t>
      </w:r>
    </w:p>
    <w:p w:rsidR="001E476B" w:rsidRPr="00EE4233" w:rsidRDefault="001E476B" w:rsidP="00EE4233">
      <w:pPr>
        <w:spacing w:after="0" w:line="360" w:lineRule="auto"/>
        <w:contextualSpacing/>
        <w:jc w:val="both"/>
        <w:rPr>
          <w:rFonts w:ascii="Arial" w:hAnsi="Arial" w:cs="Arial"/>
          <w:sz w:val="24"/>
        </w:rPr>
      </w:pPr>
    </w:p>
    <w:p w:rsidR="00EE4233" w:rsidRDefault="00EE4233" w:rsidP="00EE4233">
      <w:pPr>
        <w:spacing w:after="0" w:line="360" w:lineRule="auto"/>
        <w:contextualSpacing/>
        <w:jc w:val="both"/>
        <w:rPr>
          <w:rFonts w:ascii="Arial" w:hAnsi="Arial" w:cs="Arial"/>
          <w:sz w:val="24"/>
        </w:rPr>
      </w:pPr>
      <w:r w:rsidRPr="00EE4233">
        <w:rPr>
          <w:rFonts w:ascii="Arial" w:hAnsi="Arial" w:cs="Arial"/>
          <w:sz w:val="24"/>
        </w:rPr>
        <w:t>Lo anterior corresponde a lo siguiente:</w:t>
      </w:r>
    </w:p>
    <w:p w:rsidR="00EE4233" w:rsidRDefault="00EE4233" w:rsidP="00EE4233">
      <w:pPr>
        <w:spacing w:after="0" w:line="360" w:lineRule="auto"/>
        <w:contextualSpacing/>
        <w:jc w:val="both"/>
        <w:rPr>
          <w:rFonts w:ascii="Arial" w:hAnsi="Arial" w:cs="Arial"/>
          <w:sz w:val="24"/>
        </w:rPr>
      </w:pPr>
      <w:r>
        <w:rPr>
          <w:rFonts w:ascii="Arial" w:hAnsi="Arial" w:cs="Arial"/>
          <w:noProof/>
          <w:sz w:val="24"/>
          <w:lang w:val="es-MX" w:eastAsia="es-MX"/>
        </w:rPr>
        <w:drawing>
          <wp:inline distT="0" distB="0" distL="0" distR="0">
            <wp:extent cx="4904740" cy="4429760"/>
            <wp:effectExtent l="0" t="0" r="0" b="889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04740" cy="4429760"/>
                    </a:xfrm>
                    <a:prstGeom prst="rect">
                      <a:avLst/>
                    </a:prstGeom>
                    <a:noFill/>
                    <a:ln>
                      <a:noFill/>
                    </a:ln>
                  </pic:spPr>
                </pic:pic>
              </a:graphicData>
            </a:graphic>
          </wp:inline>
        </w:drawing>
      </w:r>
    </w:p>
    <w:p w:rsidR="00EE4233" w:rsidRDefault="00EE4233" w:rsidP="00EE4233">
      <w:pPr>
        <w:spacing w:after="0" w:line="360" w:lineRule="auto"/>
        <w:contextualSpacing/>
        <w:jc w:val="both"/>
        <w:rPr>
          <w:rFonts w:ascii="Arial" w:hAnsi="Arial" w:cs="Arial"/>
          <w:sz w:val="24"/>
        </w:rPr>
      </w:pPr>
      <w:r>
        <w:rPr>
          <w:rFonts w:ascii="Arial" w:hAnsi="Arial" w:cs="Arial"/>
          <w:noProof/>
          <w:sz w:val="24"/>
          <w:lang w:val="es-MX" w:eastAsia="es-MX"/>
        </w:rPr>
        <w:lastRenderedPageBreak/>
        <w:drawing>
          <wp:inline distT="0" distB="0" distL="0" distR="0">
            <wp:extent cx="4975860" cy="5771515"/>
            <wp:effectExtent l="0" t="0" r="0" b="6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75860" cy="5771515"/>
                    </a:xfrm>
                    <a:prstGeom prst="rect">
                      <a:avLst/>
                    </a:prstGeom>
                    <a:noFill/>
                    <a:ln>
                      <a:noFill/>
                    </a:ln>
                  </pic:spPr>
                </pic:pic>
              </a:graphicData>
            </a:graphic>
          </wp:inline>
        </w:drawing>
      </w:r>
    </w:p>
    <w:p w:rsidR="00EE4233" w:rsidRDefault="00EE4233" w:rsidP="00EE4233">
      <w:pPr>
        <w:spacing w:after="0" w:line="360" w:lineRule="auto"/>
        <w:contextualSpacing/>
        <w:jc w:val="both"/>
        <w:rPr>
          <w:rFonts w:ascii="Arial" w:hAnsi="Arial" w:cs="Arial"/>
          <w:sz w:val="24"/>
        </w:rPr>
      </w:pPr>
    </w:p>
    <w:p w:rsidR="00EE4233" w:rsidRDefault="00EE4233" w:rsidP="00EE4233">
      <w:pPr>
        <w:spacing w:after="0" w:line="360" w:lineRule="auto"/>
        <w:contextualSpacing/>
        <w:jc w:val="both"/>
        <w:rPr>
          <w:rFonts w:ascii="Arial" w:hAnsi="Arial" w:cs="Arial"/>
          <w:sz w:val="24"/>
        </w:rPr>
      </w:pPr>
      <w:r>
        <w:rPr>
          <w:rFonts w:ascii="Arial" w:hAnsi="Arial" w:cs="Arial"/>
          <w:noProof/>
          <w:sz w:val="24"/>
          <w:lang w:val="es-MX" w:eastAsia="es-MX"/>
        </w:rPr>
        <w:lastRenderedPageBreak/>
        <w:drawing>
          <wp:inline distT="0" distB="0" distL="0" distR="0">
            <wp:extent cx="4869180" cy="1199515"/>
            <wp:effectExtent l="0" t="0" r="762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69180" cy="1199515"/>
                    </a:xfrm>
                    <a:prstGeom prst="rect">
                      <a:avLst/>
                    </a:prstGeom>
                    <a:noFill/>
                    <a:ln>
                      <a:noFill/>
                    </a:ln>
                  </pic:spPr>
                </pic:pic>
              </a:graphicData>
            </a:graphic>
          </wp:inline>
        </w:drawing>
      </w:r>
    </w:p>
    <w:p w:rsidR="00EE4233" w:rsidRPr="001E476B" w:rsidRDefault="00EE4233" w:rsidP="00EE4233">
      <w:pPr>
        <w:spacing w:after="0" w:line="360" w:lineRule="auto"/>
        <w:contextualSpacing/>
        <w:jc w:val="both"/>
        <w:rPr>
          <w:rFonts w:ascii="Arial" w:hAnsi="Arial" w:cs="Arial"/>
          <w:b/>
          <w:sz w:val="24"/>
        </w:rPr>
      </w:pPr>
      <w:r w:rsidRPr="001E476B">
        <w:rPr>
          <w:rFonts w:ascii="Arial" w:hAnsi="Arial" w:cs="Arial"/>
          <w:b/>
          <w:sz w:val="24"/>
        </w:rPr>
        <w:t>Acción(es) o recomendación(es) emitida(s)</w:t>
      </w:r>
    </w:p>
    <w:p w:rsidR="00EE4233" w:rsidRPr="001E476B" w:rsidRDefault="00EE4233" w:rsidP="00EE4233">
      <w:pPr>
        <w:spacing w:after="0" w:line="360" w:lineRule="auto"/>
        <w:contextualSpacing/>
        <w:jc w:val="both"/>
        <w:rPr>
          <w:rFonts w:ascii="Arial" w:hAnsi="Arial" w:cs="Arial"/>
          <w:i/>
          <w:sz w:val="24"/>
        </w:rPr>
      </w:pPr>
      <w:r w:rsidRPr="001E476B">
        <w:rPr>
          <w:rFonts w:ascii="Arial" w:hAnsi="Arial" w:cs="Arial"/>
          <w:i/>
          <w:sz w:val="24"/>
        </w:rPr>
        <w:t>Promoción de Fincamiento de Responsabilidad Administrativa.</w:t>
      </w:r>
    </w:p>
    <w:p w:rsidR="001E476B" w:rsidRDefault="001E476B" w:rsidP="00EE4233">
      <w:pPr>
        <w:spacing w:after="0" w:line="360" w:lineRule="auto"/>
        <w:contextualSpacing/>
        <w:jc w:val="both"/>
        <w:rPr>
          <w:rFonts w:ascii="Arial" w:hAnsi="Arial" w:cs="Arial"/>
          <w:sz w:val="24"/>
        </w:rPr>
      </w:pPr>
    </w:p>
    <w:p w:rsidR="00EE4233" w:rsidRPr="001E476B" w:rsidRDefault="00EE4233" w:rsidP="00EE4233">
      <w:pPr>
        <w:spacing w:after="0" w:line="360" w:lineRule="auto"/>
        <w:contextualSpacing/>
        <w:jc w:val="both"/>
        <w:rPr>
          <w:rFonts w:ascii="Arial" w:hAnsi="Arial" w:cs="Arial"/>
          <w:b/>
          <w:sz w:val="24"/>
        </w:rPr>
      </w:pPr>
      <w:r w:rsidRPr="001E476B">
        <w:rPr>
          <w:rFonts w:ascii="Arial" w:hAnsi="Arial" w:cs="Arial"/>
          <w:b/>
          <w:sz w:val="24"/>
        </w:rPr>
        <w:t>OBRA PÚBLICA</w:t>
      </w:r>
    </w:p>
    <w:p w:rsidR="00EE4233" w:rsidRPr="001E476B" w:rsidRDefault="00EE4233" w:rsidP="00EE4233">
      <w:pPr>
        <w:spacing w:after="0" w:line="360" w:lineRule="auto"/>
        <w:contextualSpacing/>
        <w:jc w:val="both"/>
        <w:rPr>
          <w:rFonts w:ascii="Arial" w:hAnsi="Arial" w:cs="Arial"/>
          <w:b/>
          <w:sz w:val="24"/>
          <w:u w:val="single"/>
        </w:rPr>
      </w:pPr>
      <w:r w:rsidRPr="001E476B">
        <w:rPr>
          <w:rFonts w:ascii="Arial" w:hAnsi="Arial" w:cs="Arial"/>
          <w:b/>
          <w:sz w:val="24"/>
          <w:u w:val="single"/>
        </w:rPr>
        <w:t>Bienes Inmuebles, Infraestructura y Construcciones en Proceso</w:t>
      </w:r>
    </w:p>
    <w:p w:rsidR="00EE4233" w:rsidRPr="001E476B" w:rsidRDefault="00EE4233" w:rsidP="00EE4233">
      <w:pPr>
        <w:spacing w:after="0" w:line="360" w:lineRule="auto"/>
        <w:contextualSpacing/>
        <w:jc w:val="both"/>
        <w:rPr>
          <w:rFonts w:ascii="Arial" w:hAnsi="Arial" w:cs="Arial"/>
          <w:b/>
          <w:sz w:val="24"/>
        </w:rPr>
      </w:pPr>
      <w:r w:rsidRPr="001E476B">
        <w:rPr>
          <w:rFonts w:ascii="Arial" w:hAnsi="Arial" w:cs="Arial"/>
          <w:b/>
          <w:sz w:val="24"/>
          <w:u w:val="single"/>
        </w:rPr>
        <w:t>Construcciones en Proceso en Bienes Propios</w:t>
      </w:r>
    </w:p>
    <w:p w:rsidR="00EE4233" w:rsidRDefault="00EE4233" w:rsidP="00EE4233">
      <w:pPr>
        <w:spacing w:after="0" w:line="360" w:lineRule="auto"/>
        <w:contextualSpacing/>
        <w:jc w:val="both"/>
        <w:rPr>
          <w:rFonts w:ascii="Arial" w:hAnsi="Arial" w:cs="Arial"/>
          <w:sz w:val="24"/>
        </w:rPr>
      </w:pPr>
      <w:r>
        <w:rPr>
          <w:rFonts w:ascii="Arial" w:hAnsi="Arial" w:cs="Arial"/>
          <w:noProof/>
          <w:sz w:val="24"/>
          <w:lang w:val="es-MX" w:eastAsia="es-MX"/>
        </w:rPr>
        <w:drawing>
          <wp:inline distT="0" distB="0" distL="0" distR="0">
            <wp:extent cx="5213350" cy="937895"/>
            <wp:effectExtent l="0" t="0" r="635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13350" cy="937895"/>
                    </a:xfrm>
                    <a:prstGeom prst="rect">
                      <a:avLst/>
                    </a:prstGeom>
                    <a:noFill/>
                    <a:ln>
                      <a:noFill/>
                    </a:ln>
                  </pic:spPr>
                </pic:pic>
              </a:graphicData>
            </a:graphic>
          </wp:inline>
        </w:drawing>
      </w:r>
    </w:p>
    <w:p w:rsidR="00AC275D" w:rsidRDefault="00AC275D" w:rsidP="00EE4233">
      <w:pPr>
        <w:spacing w:after="0" w:line="360" w:lineRule="auto"/>
        <w:contextualSpacing/>
        <w:jc w:val="both"/>
        <w:rPr>
          <w:rFonts w:ascii="Arial" w:hAnsi="Arial" w:cs="Arial"/>
          <w:b/>
          <w:sz w:val="24"/>
        </w:rPr>
      </w:pPr>
    </w:p>
    <w:p w:rsidR="00EE4233" w:rsidRDefault="00EE4233" w:rsidP="00EE4233">
      <w:pPr>
        <w:spacing w:after="0" w:line="360" w:lineRule="auto"/>
        <w:contextualSpacing/>
        <w:jc w:val="both"/>
        <w:rPr>
          <w:rFonts w:ascii="Arial" w:hAnsi="Arial" w:cs="Arial"/>
          <w:sz w:val="24"/>
        </w:rPr>
      </w:pPr>
      <w:r w:rsidRPr="001E476B">
        <w:rPr>
          <w:rFonts w:ascii="Arial" w:hAnsi="Arial" w:cs="Arial"/>
          <w:b/>
          <w:sz w:val="24"/>
        </w:rPr>
        <w:t>9.</w:t>
      </w:r>
      <w:r w:rsidR="00AC275D">
        <w:rPr>
          <w:rFonts w:ascii="Arial" w:hAnsi="Arial" w:cs="Arial"/>
          <w:sz w:val="24"/>
        </w:rPr>
        <w:t xml:space="preserve"> Personal adscrito a este</w:t>
      </w:r>
      <w:r w:rsidRPr="00EE4233">
        <w:rPr>
          <w:rFonts w:ascii="Arial" w:hAnsi="Arial" w:cs="Arial"/>
          <w:sz w:val="24"/>
        </w:rPr>
        <w:t xml:space="preserve"> Auditoría realizó inspección a la obra</w:t>
      </w:r>
      <w:r w:rsidR="001E476B">
        <w:rPr>
          <w:rFonts w:ascii="Arial" w:hAnsi="Arial" w:cs="Arial"/>
          <w:sz w:val="24"/>
        </w:rPr>
        <w:t xml:space="preserve">, detectando en la verificación </w:t>
      </w:r>
      <w:r w:rsidRPr="00EE4233">
        <w:rPr>
          <w:rFonts w:ascii="Arial" w:hAnsi="Arial" w:cs="Arial"/>
          <w:sz w:val="24"/>
        </w:rPr>
        <w:t>de las cantidades de trabajos ejecutadas de los conceptos s</w:t>
      </w:r>
      <w:r w:rsidR="001E476B">
        <w:rPr>
          <w:rFonts w:ascii="Arial" w:hAnsi="Arial" w:cs="Arial"/>
          <w:sz w:val="24"/>
        </w:rPr>
        <w:t xml:space="preserve">eleccionados, diferencias entre </w:t>
      </w:r>
      <w:r w:rsidRPr="00EE4233">
        <w:rPr>
          <w:rFonts w:ascii="Arial" w:hAnsi="Arial" w:cs="Arial"/>
          <w:sz w:val="24"/>
        </w:rPr>
        <w:t>lo pagado y lo ejecutado por valor de $74,760</w:t>
      </w:r>
      <w:r w:rsidR="00AC275D">
        <w:rPr>
          <w:rFonts w:ascii="Arial" w:hAnsi="Arial" w:cs="Arial"/>
          <w:sz w:val="24"/>
        </w:rPr>
        <w:t xml:space="preserve">, en los conceptos siguientes: </w:t>
      </w:r>
    </w:p>
    <w:p w:rsidR="00EE4233" w:rsidRDefault="00EE4233" w:rsidP="00EE4233">
      <w:pPr>
        <w:spacing w:after="0" w:line="360" w:lineRule="auto"/>
        <w:contextualSpacing/>
        <w:jc w:val="both"/>
        <w:rPr>
          <w:rFonts w:ascii="Arial" w:hAnsi="Arial" w:cs="Arial"/>
          <w:sz w:val="24"/>
        </w:rPr>
      </w:pPr>
      <w:r>
        <w:rPr>
          <w:rFonts w:ascii="Arial" w:hAnsi="Arial" w:cs="Arial"/>
          <w:noProof/>
          <w:sz w:val="24"/>
          <w:lang w:val="es-MX" w:eastAsia="es-MX"/>
        </w:rPr>
        <w:lastRenderedPageBreak/>
        <w:drawing>
          <wp:inline distT="0" distB="0" distL="0" distR="0">
            <wp:extent cx="5094605" cy="235140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94605" cy="2351405"/>
                    </a:xfrm>
                    <a:prstGeom prst="rect">
                      <a:avLst/>
                    </a:prstGeom>
                    <a:noFill/>
                    <a:ln>
                      <a:noFill/>
                    </a:ln>
                  </pic:spPr>
                </pic:pic>
              </a:graphicData>
            </a:graphic>
          </wp:inline>
        </w:drawing>
      </w:r>
    </w:p>
    <w:p w:rsidR="00EA6E87" w:rsidRPr="001E476B" w:rsidRDefault="00EA6E87" w:rsidP="00EA6E87">
      <w:pPr>
        <w:spacing w:after="0" w:line="360" w:lineRule="auto"/>
        <w:contextualSpacing/>
        <w:jc w:val="both"/>
        <w:rPr>
          <w:rFonts w:ascii="Arial" w:hAnsi="Arial" w:cs="Arial"/>
          <w:b/>
          <w:sz w:val="24"/>
        </w:rPr>
      </w:pPr>
      <w:r w:rsidRPr="001E476B">
        <w:rPr>
          <w:rFonts w:ascii="Arial" w:hAnsi="Arial" w:cs="Arial"/>
          <w:b/>
          <w:sz w:val="24"/>
        </w:rPr>
        <w:t>Análisis de la Auditoría Superior del Estado</w:t>
      </w:r>
    </w:p>
    <w:p w:rsidR="00EA6E87" w:rsidRDefault="00EA6E87" w:rsidP="00EA6E87">
      <w:pPr>
        <w:spacing w:after="0" w:line="360" w:lineRule="auto"/>
        <w:contextualSpacing/>
        <w:jc w:val="both"/>
        <w:rPr>
          <w:rFonts w:ascii="Arial" w:hAnsi="Arial" w:cs="Arial"/>
          <w:sz w:val="24"/>
        </w:rPr>
      </w:pPr>
      <w:r w:rsidRPr="00EA6E87">
        <w:rPr>
          <w:rFonts w:ascii="Arial" w:hAnsi="Arial" w:cs="Arial"/>
          <w:sz w:val="24"/>
        </w:rPr>
        <w:t>Se recibieron copias fotostáticas certificadas de fotografí</w:t>
      </w:r>
      <w:r w:rsidR="001E476B">
        <w:rPr>
          <w:rFonts w:ascii="Arial" w:hAnsi="Arial" w:cs="Arial"/>
          <w:sz w:val="24"/>
        </w:rPr>
        <w:t xml:space="preserve">as impresas a color, en las que </w:t>
      </w:r>
      <w:r w:rsidRPr="00EA6E87">
        <w:rPr>
          <w:rFonts w:ascii="Arial" w:hAnsi="Arial" w:cs="Arial"/>
          <w:sz w:val="24"/>
        </w:rPr>
        <w:t xml:space="preserve">se aprecia la instalación de los conceptos "II.9.4 Puerta </w:t>
      </w:r>
      <w:r w:rsidR="001E476B">
        <w:rPr>
          <w:rFonts w:ascii="Arial" w:hAnsi="Arial" w:cs="Arial"/>
          <w:sz w:val="24"/>
        </w:rPr>
        <w:t xml:space="preserve">P-4 metálica sencilla marca Dks </w:t>
      </w:r>
      <w:r w:rsidRPr="00EA6E87">
        <w:rPr>
          <w:rFonts w:ascii="Arial" w:hAnsi="Arial" w:cs="Arial"/>
          <w:sz w:val="24"/>
        </w:rPr>
        <w:t>o similar de 3´ x 8´ [0.90 x 2.44 metros] en calibre 18, mar</w:t>
      </w:r>
      <w:r w:rsidR="001E476B">
        <w:rPr>
          <w:rFonts w:ascii="Arial" w:hAnsi="Arial" w:cs="Arial"/>
          <w:sz w:val="24"/>
        </w:rPr>
        <w:t xml:space="preserve">co metálico de 5 3/4 en calibre </w:t>
      </w:r>
      <w:r w:rsidRPr="00EA6E87">
        <w:rPr>
          <w:rFonts w:ascii="Arial" w:hAnsi="Arial" w:cs="Arial"/>
          <w:sz w:val="24"/>
        </w:rPr>
        <w:t>16.", "II.10.1 Puerta P-5 de madera sencilla de .80x 2134 mi</w:t>
      </w:r>
      <w:r w:rsidR="001E476B">
        <w:rPr>
          <w:rFonts w:ascii="Arial" w:hAnsi="Arial" w:cs="Arial"/>
          <w:sz w:val="24"/>
        </w:rPr>
        <w:t xml:space="preserve">límetros lisa solida de encino, </w:t>
      </w:r>
      <w:r w:rsidRPr="00EA6E87">
        <w:rPr>
          <w:rFonts w:ascii="Arial" w:hAnsi="Arial" w:cs="Arial"/>
          <w:sz w:val="24"/>
        </w:rPr>
        <w:t xml:space="preserve">acabado con pintura cerrada" y "II.13.21 Clima de 3 T.R. </w:t>
      </w:r>
      <w:r w:rsidR="001E476B">
        <w:rPr>
          <w:rFonts w:ascii="Arial" w:hAnsi="Arial" w:cs="Arial"/>
          <w:sz w:val="24"/>
        </w:rPr>
        <w:t xml:space="preserve">tipo mini-split marca Trane 220 </w:t>
      </w:r>
      <w:r w:rsidRPr="00EA6E87">
        <w:rPr>
          <w:rFonts w:ascii="Arial" w:hAnsi="Arial" w:cs="Arial"/>
          <w:sz w:val="24"/>
        </w:rPr>
        <w:t>v con Heat Pomp. Para oficina sala de juntas", equivalent</w:t>
      </w:r>
      <w:r w:rsidR="001E476B">
        <w:rPr>
          <w:rFonts w:ascii="Arial" w:hAnsi="Arial" w:cs="Arial"/>
          <w:sz w:val="24"/>
        </w:rPr>
        <w:t xml:space="preserve">es a un importe de $57,713, así </w:t>
      </w:r>
      <w:r w:rsidRPr="00EA6E87">
        <w:rPr>
          <w:rFonts w:ascii="Arial" w:hAnsi="Arial" w:cs="Arial"/>
          <w:sz w:val="24"/>
        </w:rPr>
        <w:t>como copia fotostática certificada de comprobante de depósit</w:t>
      </w:r>
      <w:r w:rsidR="001E476B">
        <w:rPr>
          <w:rFonts w:ascii="Arial" w:hAnsi="Arial" w:cs="Arial"/>
          <w:sz w:val="24"/>
        </w:rPr>
        <w:t xml:space="preserve">o bancario a la cuenta del Ente </w:t>
      </w:r>
      <w:r w:rsidRPr="00EA6E87">
        <w:rPr>
          <w:rFonts w:ascii="Arial" w:hAnsi="Arial" w:cs="Arial"/>
          <w:sz w:val="24"/>
        </w:rPr>
        <w:t>Público, con folio electrónico 05092016096131103007812</w:t>
      </w:r>
      <w:r w:rsidR="001E476B">
        <w:rPr>
          <w:rFonts w:ascii="Arial" w:hAnsi="Arial" w:cs="Arial"/>
          <w:sz w:val="24"/>
        </w:rPr>
        <w:t xml:space="preserve">35, de fecha 5 de septiembre de </w:t>
      </w:r>
      <w:r w:rsidRPr="00EA6E87">
        <w:rPr>
          <w:rFonts w:ascii="Arial" w:hAnsi="Arial" w:cs="Arial"/>
          <w:sz w:val="24"/>
        </w:rPr>
        <w:t>2016, mediante el cual se hace el reintegro de un importe d</w:t>
      </w:r>
      <w:r w:rsidR="001E476B">
        <w:rPr>
          <w:rFonts w:ascii="Arial" w:hAnsi="Arial" w:cs="Arial"/>
          <w:sz w:val="24"/>
        </w:rPr>
        <w:t xml:space="preserve">e $17,047, equivalente al resto </w:t>
      </w:r>
      <w:r w:rsidRPr="00EA6E87">
        <w:rPr>
          <w:rFonts w:ascii="Arial" w:hAnsi="Arial" w:cs="Arial"/>
          <w:sz w:val="24"/>
        </w:rPr>
        <w:t>del importe observado, por lo que se solventa lo corres</w:t>
      </w:r>
      <w:r w:rsidR="001E476B">
        <w:rPr>
          <w:rFonts w:ascii="Arial" w:hAnsi="Arial" w:cs="Arial"/>
          <w:sz w:val="24"/>
        </w:rPr>
        <w:t xml:space="preserve">pondiente al carácter económico </w:t>
      </w:r>
      <w:r w:rsidRPr="00EA6E87">
        <w:rPr>
          <w:rFonts w:ascii="Arial" w:hAnsi="Arial" w:cs="Arial"/>
          <w:sz w:val="24"/>
        </w:rPr>
        <w:t>de la observación; sin embargo, en cuanto al control de la</w:t>
      </w:r>
      <w:r w:rsidR="001E476B">
        <w:rPr>
          <w:rFonts w:ascii="Arial" w:hAnsi="Arial" w:cs="Arial"/>
          <w:sz w:val="24"/>
        </w:rPr>
        <w:t xml:space="preserve"> obra, no se solventa, debido a </w:t>
      </w:r>
      <w:r w:rsidRPr="00EA6E87">
        <w:rPr>
          <w:rFonts w:ascii="Arial" w:hAnsi="Arial" w:cs="Arial"/>
          <w:sz w:val="24"/>
        </w:rPr>
        <w:t>que para el caso de los conceptos en los cuales se adju</w:t>
      </w:r>
      <w:r w:rsidR="001E476B">
        <w:rPr>
          <w:rFonts w:ascii="Arial" w:hAnsi="Arial" w:cs="Arial"/>
          <w:sz w:val="24"/>
        </w:rPr>
        <w:t xml:space="preserve">ntan a su respuesta fotografías </w:t>
      </w:r>
      <w:r w:rsidRPr="00EA6E87">
        <w:rPr>
          <w:rFonts w:ascii="Arial" w:hAnsi="Arial" w:cs="Arial"/>
          <w:sz w:val="24"/>
        </w:rPr>
        <w:t xml:space="preserve">impresas a color, la ejecución de los </w:t>
      </w:r>
      <w:r w:rsidRPr="00EA6E87">
        <w:rPr>
          <w:rFonts w:ascii="Arial" w:hAnsi="Arial" w:cs="Arial"/>
          <w:sz w:val="24"/>
        </w:rPr>
        <w:lastRenderedPageBreak/>
        <w:t>citados conceptos poster</w:t>
      </w:r>
      <w:r w:rsidR="001E476B">
        <w:rPr>
          <w:rFonts w:ascii="Arial" w:hAnsi="Arial" w:cs="Arial"/>
          <w:sz w:val="24"/>
        </w:rPr>
        <w:t xml:space="preserve">ior a la emisión de la presente </w:t>
      </w:r>
      <w:r w:rsidRPr="00EA6E87">
        <w:rPr>
          <w:rFonts w:ascii="Arial" w:hAnsi="Arial" w:cs="Arial"/>
          <w:sz w:val="24"/>
        </w:rPr>
        <w:t>observación, hacen evidente que se autorizaron para el pago sin estar ejecutados; y el</w:t>
      </w:r>
      <w:r w:rsidR="001E476B">
        <w:rPr>
          <w:rFonts w:ascii="Arial" w:hAnsi="Arial" w:cs="Arial"/>
          <w:sz w:val="24"/>
        </w:rPr>
        <w:t xml:space="preserve"> </w:t>
      </w:r>
      <w:r w:rsidRPr="00EA6E87">
        <w:rPr>
          <w:rFonts w:ascii="Arial" w:hAnsi="Arial" w:cs="Arial"/>
          <w:sz w:val="24"/>
        </w:rPr>
        <w:t>reintegro del importe aludido, hace evidente que se autoriz</w:t>
      </w:r>
      <w:r w:rsidR="001E476B">
        <w:rPr>
          <w:rFonts w:ascii="Arial" w:hAnsi="Arial" w:cs="Arial"/>
          <w:sz w:val="24"/>
        </w:rPr>
        <w:t xml:space="preserve">aron para el pago cantidades de </w:t>
      </w:r>
      <w:r w:rsidRPr="00EA6E87">
        <w:rPr>
          <w:rFonts w:ascii="Arial" w:hAnsi="Arial" w:cs="Arial"/>
          <w:sz w:val="24"/>
        </w:rPr>
        <w:t xml:space="preserve">conceptos no ejecutados, incumpliendo con lo establecido </w:t>
      </w:r>
      <w:r w:rsidR="001E476B">
        <w:rPr>
          <w:rFonts w:ascii="Arial" w:hAnsi="Arial" w:cs="Arial"/>
          <w:sz w:val="24"/>
        </w:rPr>
        <w:t xml:space="preserve">en el artículo 54 de la LOPSRM, </w:t>
      </w:r>
      <w:r w:rsidRPr="00EA6E87">
        <w:rPr>
          <w:rFonts w:ascii="Arial" w:hAnsi="Arial" w:cs="Arial"/>
          <w:sz w:val="24"/>
        </w:rPr>
        <w:t>en relación con el artículo 115, fracciones X y XI del Reglamento del precepto aludido.</w:t>
      </w:r>
    </w:p>
    <w:p w:rsidR="001E476B" w:rsidRDefault="001E476B" w:rsidP="00EA6E87">
      <w:pPr>
        <w:spacing w:after="0" w:line="360" w:lineRule="auto"/>
        <w:contextualSpacing/>
        <w:jc w:val="both"/>
        <w:rPr>
          <w:rFonts w:ascii="Arial" w:hAnsi="Arial" w:cs="Arial"/>
          <w:sz w:val="24"/>
        </w:rPr>
      </w:pPr>
    </w:p>
    <w:p w:rsidR="00EA6E87" w:rsidRPr="001E476B" w:rsidRDefault="00EA6E87" w:rsidP="00EA6E87">
      <w:pPr>
        <w:spacing w:after="0" w:line="360" w:lineRule="auto"/>
        <w:contextualSpacing/>
        <w:jc w:val="both"/>
        <w:rPr>
          <w:rFonts w:ascii="Arial" w:hAnsi="Arial" w:cs="Arial"/>
          <w:b/>
          <w:sz w:val="24"/>
        </w:rPr>
      </w:pPr>
      <w:r w:rsidRPr="001E476B">
        <w:rPr>
          <w:rFonts w:ascii="Arial" w:hAnsi="Arial" w:cs="Arial"/>
          <w:b/>
          <w:sz w:val="24"/>
        </w:rPr>
        <w:t>Acción(es) o recomendación(es) emitida(s)</w:t>
      </w:r>
    </w:p>
    <w:p w:rsidR="001E476B" w:rsidRPr="001E476B" w:rsidRDefault="00EA6E87" w:rsidP="00EA6E87">
      <w:pPr>
        <w:spacing w:after="0" w:line="360" w:lineRule="auto"/>
        <w:contextualSpacing/>
        <w:jc w:val="both"/>
        <w:rPr>
          <w:rFonts w:ascii="Arial" w:hAnsi="Arial" w:cs="Arial"/>
          <w:i/>
          <w:sz w:val="24"/>
        </w:rPr>
      </w:pPr>
      <w:r w:rsidRPr="001E476B">
        <w:rPr>
          <w:rFonts w:ascii="Arial" w:hAnsi="Arial" w:cs="Arial"/>
          <w:i/>
          <w:sz w:val="24"/>
        </w:rPr>
        <w:t>Promoción de Fincamiento de Responsabilidad Administrativa.</w:t>
      </w:r>
    </w:p>
    <w:p w:rsidR="00EA6E87" w:rsidRPr="001E476B" w:rsidRDefault="00EA6E87" w:rsidP="00EA6E87">
      <w:pPr>
        <w:spacing w:after="0" w:line="360" w:lineRule="auto"/>
        <w:contextualSpacing/>
        <w:jc w:val="both"/>
        <w:rPr>
          <w:rFonts w:ascii="Arial" w:hAnsi="Arial" w:cs="Arial"/>
          <w:i/>
          <w:sz w:val="24"/>
        </w:rPr>
      </w:pPr>
      <w:r w:rsidRPr="001E476B">
        <w:rPr>
          <w:rFonts w:ascii="Arial" w:hAnsi="Arial" w:cs="Arial"/>
          <w:i/>
          <w:sz w:val="24"/>
        </w:rPr>
        <w:t>Recomendaciones en Relación a la Gestión o Control Interno.</w:t>
      </w:r>
    </w:p>
    <w:p w:rsidR="00EE4233" w:rsidRPr="00EE4233" w:rsidRDefault="00EE4233" w:rsidP="00EE4233">
      <w:pPr>
        <w:spacing w:after="0" w:line="360" w:lineRule="auto"/>
        <w:contextualSpacing/>
        <w:jc w:val="both"/>
        <w:rPr>
          <w:rFonts w:ascii="Arial" w:hAnsi="Arial" w:cs="Arial"/>
          <w:sz w:val="24"/>
        </w:rPr>
      </w:pPr>
    </w:p>
    <w:p w:rsidR="009C0345" w:rsidRPr="00B67BEE" w:rsidRDefault="009C0345" w:rsidP="009C0345">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Trámite y resultados obtenidos, derivados de las solicitudes formuladas por</w:t>
      </w:r>
      <w:r w:rsidR="00EF3C47">
        <w:rPr>
          <w:rFonts w:ascii="Arial" w:hAnsi="Arial" w:cs="Arial"/>
          <w:b/>
          <w:bCs/>
          <w:sz w:val="24"/>
        </w:rPr>
        <w:t xml:space="preserve"> este</w:t>
      </w:r>
      <w:r w:rsidRPr="00B67BEE">
        <w:rPr>
          <w:rFonts w:ascii="Arial" w:hAnsi="Arial" w:cs="Arial"/>
          <w:b/>
          <w:bCs/>
          <w:sz w:val="24"/>
        </w:rPr>
        <w:t xml:space="preserve"> H. Congreso del Estado.</w:t>
      </w:r>
    </w:p>
    <w:p w:rsidR="009C0345" w:rsidRPr="00B67BEE" w:rsidRDefault="009C0345" w:rsidP="009C0345">
      <w:pPr>
        <w:spacing w:after="0"/>
        <w:rPr>
          <w:rFonts w:ascii="Arial" w:hAnsi="Arial" w:cs="Arial"/>
          <w:b/>
          <w:sz w:val="24"/>
        </w:rPr>
      </w:pPr>
    </w:p>
    <w:p w:rsidR="009A7A82" w:rsidRPr="00EA6E87" w:rsidRDefault="007C12FE" w:rsidP="00EA6E87">
      <w:pPr>
        <w:spacing w:after="0" w:line="360" w:lineRule="auto"/>
        <w:ind w:firstLine="709"/>
        <w:jc w:val="both"/>
        <w:rPr>
          <w:rFonts w:ascii="Arial" w:hAnsi="Arial" w:cs="Arial"/>
          <w:sz w:val="24"/>
        </w:rPr>
      </w:pPr>
      <w:r>
        <w:rPr>
          <w:rFonts w:ascii="Arial" w:hAnsi="Arial" w:cs="Arial"/>
          <w:sz w:val="24"/>
        </w:rPr>
        <w:t>En este apartado del Info</w:t>
      </w:r>
      <w:r w:rsidR="0069393F">
        <w:rPr>
          <w:rFonts w:ascii="Arial" w:hAnsi="Arial" w:cs="Arial"/>
          <w:sz w:val="24"/>
        </w:rPr>
        <w:t>rme de Resultados,</w:t>
      </w:r>
      <w:r w:rsidR="00807DB8">
        <w:rPr>
          <w:rFonts w:ascii="Arial" w:hAnsi="Arial" w:cs="Arial"/>
          <w:sz w:val="24"/>
        </w:rPr>
        <w:t xml:space="preserve"> la Auditoría</w:t>
      </w:r>
      <w:r w:rsidR="00EF3C47">
        <w:rPr>
          <w:rFonts w:ascii="Arial" w:hAnsi="Arial" w:cs="Arial"/>
          <w:sz w:val="24"/>
        </w:rPr>
        <w:t xml:space="preserve"> nos informa que</w:t>
      </w:r>
      <w:r w:rsidR="00807DB8">
        <w:rPr>
          <w:rFonts w:ascii="Arial" w:hAnsi="Arial" w:cs="Arial"/>
          <w:sz w:val="24"/>
        </w:rPr>
        <w:t xml:space="preserve"> no se recibieron solicitudes relacio</w:t>
      </w:r>
      <w:r w:rsidR="00EA6E87">
        <w:rPr>
          <w:rFonts w:ascii="Arial" w:hAnsi="Arial" w:cs="Arial"/>
          <w:sz w:val="24"/>
        </w:rPr>
        <w:t>nadas con la Cuenta Pública 2015</w:t>
      </w:r>
      <w:r w:rsidR="00807DB8">
        <w:rPr>
          <w:rFonts w:ascii="Arial" w:hAnsi="Arial" w:cs="Arial"/>
          <w:sz w:val="24"/>
        </w:rPr>
        <w:t>.</w:t>
      </w:r>
      <w:r>
        <w:rPr>
          <w:rFonts w:ascii="Arial" w:hAnsi="Arial" w:cs="Arial"/>
          <w:sz w:val="24"/>
        </w:rPr>
        <w:t xml:space="preserve"> </w:t>
      </w:r>
    </w:p>
    <w:p w:rsidR="00D01D57" w:rsidRPr="00807DB8" w:rsidRDefault="00D01D57" w:rsidP="00807DB8">
      <w:pPr>
        <w:rPr>
          <w:rFonts w:ascii="Arial" w:hAnsi="Arial" w:cs="Arial"/>
          <w:b/>
          <w:sz w:val="24"/>
        </w:rPr>
      </w:pPr>
    </w:p>
    <w:p w:rsidR="009C0345" w:rsidRPr="00B67BEE" w:rsidRDefault="009C0345" w:rsidP="009C0345">
      <w:pPr>
        <w:pStyle w:val="Prrafodelista"/>
        <w:numPr>
          <w:ilvl w:val="0"/>
          <w:numId w:val="3"/>
        </w:numPr>
        <w:spacing w:after="0"/>
        <w:ind w:left="426" w:hanging="426"/>
        <w:contextualSpacing/>
        <w:jc w:val="both"/>
        <w:rPr>
          <w:rFonts w:ascii="Arial" w:hAnsi="Arial" w:cs="Arial"/>
          <w:b/>
          <w:bCs/>
          <w:sz w:val="24"/>
        </w:rPr>
      </w:pPr>
      <w:r w:rsidRPr="00B67BEE">
        <w:rPr>
          <w:rFonts w:ascii="Arial" w:hAnsi="Arial" w:cs="Arial"/>
          <w:b/>
          <w:bCs/>
          <w:sz w:val="24"/>
        </w:rPr>
        <w:t>Resultados de la revisión de situación excepcional.</w:t>
      </w:r>
    </w:p>
    <w:p w:rsidR="009C0345" w:rsidRPr="00B67BEE" w:rsidRDefault="009C0345" w:rsidP="009C0345">
      <w:pPr>
        <w:spacing w:after="0"/>
        <w:rPr>
          <w:rFonts w:ascii="Arial" w:hAnsi="Arial" w:cs="Arial"/>
          <w:b/>
          <w:bCs/>
          <w:sz w:val="24"/>
        </w:rPr>
      </w:pPr>
    </w:p>
    <w:p w:rsidR="009C0345" w:rsidRPr="00B67BEE" w:rsidRDefault="009C0345" w:rsidP="009A7A82">
      <w:pPr>
        <w:spacing w:after="0" w:line="360" w:lineRule="auto"/>
        <w:ind w:firstLine="709"/>
        <w:jc w:val="both"/>
        <w:rPr>
          <w:rFonts w:ascii="Arial" w:hAnsi="Arial" w:cs="Arial"/>
          <w:bCs/>
          <w:sz w:val="24"/>
        </w:rPr>
      </w:pPr>
      <w:r w:rsidRPr="00B67BEE">
        <w:rPr>
          <w:rFonts w:ascii="Arial" w:hAnsi="Arial" w:cs="Arial"/>
          <w:bCs/>
          <w:sz w:val="24"/>
        </w:rPr>
        <w:t>En relación a la Cuenta Pública objeto de revisión,</w:t>
      </w:r>
      <w:r w:rsidR="00EF3C47">
        <w:rPr>
          <w:rFonts w:ascii="Arial" w:hAnsi="Arial" w:cs="Arial"/>
          <w:bCs/>
          <w:sz w:val="24"/>
        </w:rPr>
        <w:t xml:space="preserve"> el </w:t>
      </w:r>
      <w:r w:rsidR="00597642">
        <w:rPr>
          <w:rFonts w:ascii="Arial" w:hAnsi="Arial" w:cs="Arial"/>
          <w:bCs/>
          <w:sz w:val="24"/>
        </w:rPr>
        <w:t>Órgano</w:t>
      </w:r>
      <w:r w:rsidR="00EF3C47">
        <w:rPr>
          <w:rFonts w:ascii="Arial" w:hAnsi="Arial" w:cs="Arial"/>
          <w:bCs/>
          <w:sz w:val="24"/>
        </w:rPr>
        <w:t xml:space="preserve"> Técnico Fiscalizador nos indica que</w:t>
      </w:r>
      <w:r w:rsidRPr="00B67BEE">
        <w:rPr>
          <w:rFonts w:ascii="Arial" w:hAnsi="Arial" w:cs="Arial"/>
          <w:bCs/>
          <w:sz w:val="24"/>
        </w:rPr>
        <w:t xml:space="preserve"> no se recibieron denuncias para la revisión de situaciones excepcionales,</w:t>
      </w:r>
      <w:r w:rsidR="00EF3C47">
        <w:rPr>
          <w:rFonts w:ascii="Arial" w:hAnsi="Arial" w:cs="Arial"/>
          <w:bCs/>
          <w:sz w:val="24"/>
        </w:rPr>
        <w:t xml:space="preserve"> </w:t>
      </w:r>
      <w:r w:rsidR="00597642">
        <w:rPr>
          <w:rFonts w:ascii="Arial" w:hAnsi="Arial" w:cs="Arial"/>
          <w:bCs/>
          <w:sz w:val="24"/>
        </w:rPr>
        <w:t>en</w:t>
      </w:r>
      <w:r w:rsidRPr="00B67BEE">
        <w:rPr>
          <w:rFonts w:ascii="Arial" w:hAnsi="Arial" w:cs="Arial"/>
          <w:bCs/>
          <w:sz w:val="24"/>
        </w:rPr>
        <w:t xml:space="preserve"> los términos preceptuados en los artículos 136 último párrafo de la Constitución Política del </w:t>
      </w:r>
      <w:r w:rsidR="00EF3C47">
        <w:rPr>
          <w:rFonts w:ascii="Arial" w:hAnsi="Arial" w:cs="Arial"/>
          <w:bCs/>
          <w:sz w:val="24"/>
        </w:rPr>
        <w:t>Estado;</w:t>
      </w:r>
      <w:r w:rsidRPr="00B67BEE">
        <w:rPr>
          <w:rFonts w:ascii="Arial" w:hAnsi="Arial" w:cs="Arial"/>
          <w:bCs/>
          <w:sz w:val="24"/>
        </w:rPr>
        <w:t xml:space="preserve"> 37 y 39 de la Ley de Fiscalización Superior del Estado de Nuevo León.</w:t>
      </w:r>
    </w:p>
    <w:p w:rsidR="009C0345" w:rsidRPr="00B67BEE" w:rsidRDefault="009C0345" w:rsidP="009C0345">
      <w:pPr>
        <w:spacing w:after="0"/>
        <w:jc w:val="both"/>
        <w:rPr>
          <w:rFonts w:ascii="Arial" w:hAnsi="Arial" w:cs="Arial"/>
          <w:bCs/>
          <w:sz w:val="24"/>
        </w:rPr>
      </w:pPr>
    </w:p>
    <w:p w:rsidR="009C0345" w:rsidRPr="00B67BEE" w:rsidRDefault="009C0345" w:rsidP="009C0345">
      <w:pPr>
        <w:pStyle w:val="Prrafodelista"/>
        <w:numPr>
          <w:ilvl w:val="0"/>
          <w:numId w:val="3"/>
        </w:numPr>
        <w:spacing w:after="0"/>
        <w:ind w:left="426" w:hanging="426"/>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lastRenderedPageBreak/>
        <w:t>Situación que guardan las observaciones, recomendaciones y acciones promovidas, respecto de la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sidR="00F072A9">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sidR="00F072A9">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sidR="00EF3C47">
        <w:rPr>
          <w:rFonts w:ascii="Arial" w:eastAsia="Times New Roman" w:hAnsi="Arial" w:cs="Arial"/>
          <w:b/>
          <w:bCs/>
          <w:sz w:val="24"/>
          <w:szCs w:val="24"/>
          <w:lang w:eastAsia="es-MX"/>
        </w:rPr>
        <w:t>s anteriores.</w:t>
      </w:r>
    </w:p>
    <w:p w:rsidR="009C0345" w:rsidRDefault="009C0345" w:rsidP="009C0345">
      <w:pPr>
        <w:spacing w:after="0"/>
        <w:rPr>
          <w:rFonts w:ascii="Arial" w:hAnsi="Arial" w:cs="Arial"/>
          <w:bCs/>
          <w:sz w:val="24"/>
        </w:rPr>
      </w:pPr>
    </w:p>
    <w:p w:rsidR="00EF3C47" w:rsidRDefault="00EF3C47" w:rsidP="009A7A82">
      <w:pPr>
        <w:spacing w:after="0" w:line="360" w:lineRule="auto"/>
        <w:ind w:firstLine="709"/>
        <w:jc w:val="both"/>
        <w:rPr>
          <w:rFonts w:ascii="Arial" w:eastAsia="Times New Roman" w:hAnsi="Arial" w:cs="Arial"/>
          <w:bCs/>
          <w:sz w:val="24"/>
          <w:szCs w:val="24"/>
          <w:lang w:eastAsia="es-MX"/>
        </w:rPr>
      </w:pPr>
      <w:r>
        <w:rPr>
          <w:rFonts w:ascii="Arial" w:hAnsi="Arial" w:cs="Arial"/>
          <w:bCs/>
          <w:sz w:val="24"/>
        </w:rPr>
        <w:t>En este apartado, l</w:t>
      </w:r>
      <w:r w:rsidR="00807DB8">
        <w:rPr>
          <w:rFonts w:ascii="Arial" w:hAnsi="Arial" w:cs="Arial"/>
          <w:bCs/>
          <w:sz w:val="24"/>
        </w:rPr>
        <w:t>a Auditoría nos presenta una síntesis de las acciones</w:t>
      </w:r>
      <w:r>
        <w:rPr>
          <w:rFonts w:ascii="Arial" w:hAnsi="Arial" w:cs="Arial"/>
          <w:bCs/>
          <w:sz w:val="24"/>
        </w:rPr>
        <w:t xml:space="preserve"> y recomendaciones</w:t>
      </w:r>
      <w:r w:rsidR="00807DB8">
        <w:rPr>
          <w:rFonts w:ascii="Arial" w:hAnsi="Arial" w:cs="Arial"/>
          <w:bCs/>
          <w:sz w:val="24"/>
        </w:rPr>
        <w:t xml:space="preserve"> que con motivo de la revisión de las Cuentas Públicas</w:t>
      </w:r>
      <w:r w:rsidR="00A66DD3">
        <w:rPr>
          <w:rFonts w:ascii="Arial" w:hAnsi="Arial" w:cs="Arial"/>
          <w:bCs/>
          <w:sz w:val="24"/>
        </w:rPr>
        <w:t xml:space="preserve"> </w:t>
      </w:r>
      <w:r w:rsidR="006415AE">
        <w:rPr>
          <w:rFonts w:ascii="Arial" w:hAnsi="Arial" w:cs="Arial"/>
          <w:bCs/>
          <w:sz w:val="24"/>
        </w:rPr>
        <w:t>anteriores</w:t>
      </w:r>
      <w:r>
        <w:rPr>
          <w:rFonts w:ascii="Arial" w:eastAsia="Times New Roman" w:hAnsi="Arial" w:cs="Arial"/>
          <w:bCs/>
          <w:sz w:val="24"/>
          <w:szCs w:val="24"/>
          <w:lang w:eastAsia="es-MX"/>
        </w:rPr>
        <w:t>, se ejercieron o</w:t>
      </w:r>
      <w:r w:rsidR="00807DB8">
        <w:rPr>
          <w:rFonts w:ascii="Arial" w:eastAsia="Times New Roman" w:hAnsi="Arial" w:cs="Arial"/>
          <w:bCs/>
          <w:sz w:val="24"/>
          <w:szCs w:val="24"/>
          <w:lang w:eastAsia="es-MX"/>
        </w:rPr>
        <w:t xml:space="preserve"> promovieron por </w:t>
      </w:r>
      <w:r>
        <w:rPr>
          <w:rFonts w:ascii="Arial" w:eastAsia="Times New Roman" w:hAnsi="Arial" w:cs="Arial"/>
          <w:bCs/>
          <w:sz w:val="24"/>
          <w:szCs w:val="24"/>
          <w:lang w:eastAsia="es-MX"/>
        </w:rPr>
        <w:t>nuestro Órgano auxiliar de Fiscalización.</w:t>
      </w:r>
      <w:r w:rsidR="006415AE">
        <w:rPr>
          <w:rFonts w:ascii="Arial" w:eastAsia="Times New Roman" w:hAnsi="Arial" w:cs="Arial"/>
          <w:bCs/>
          <w:sz w:val="24"/>
          <w:szCs w:val="24"/>
          <w:lang w:eastAsia="es-MX"/>
        </w:rPr>
        <w:t xml:space="preserve"> En este punto se indica que no hay acciones pendientes de trámite.</w:t>
      </w:r>
    </w:p>
    <w:p w:rsidR="00597642" w:rsidRDefault="009C0345" w:rsidP="00807DB8">
      <w:pPr>
        <w:spacing w:before="240" w:after="20" w:line="360" w:lineRule="auto"/>
        <w:ind w:firstLine="708"/>
        <w:jc w:val="both"/>
        <w:rPr>
          <w:rFonts w:ascii="Arial" w:hAnsi="Arial" w:cs="Arial"/>
          <w:sz w:val="24"/>
        </w:rPr>
      </w:pPr>
      <w:r w:rsidRPr="006C36DE">
        <w:rPr>
          <w:rFonts w:ascii="Arial" w:hAnsi="Arial" w:cs="Arial"/>
          <w:sz w:val="24"/>
        </w:rPr>
        <w:t>Una vez que hemos dado cuenta de</w:t>
      </w:r>
      <w:r w:rsidR="00E033FC" w:rsidRPr="006C36DE">
        <w:rPr>
          <w:rFonts w:ascii="Arial" w:hAnsi="Arial" w:cs="Arial"/>
          <w:sz w:val="24"/>
        </w:rPr>
        <w:t>l</w:t>
      </w:r>
      <w:r w:rsidRPr="006C36DE">
        <w:rPr>
          <w:rFonts w:ascii="Arial" w:hAnsi="Arial" w:cs="Arial"/>
          <w:sz w:val="24"/>
        </w:rPr>
        <w:t xml:space="preserve"> contenido del </w:t>
      </w:r>
      <w:r w:rsidR="00A77799">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sidR="00EF3C47">
        <w:rPr>
          <w:rFonts w:ascii="Arial" w:hAnsi="Arial" w:cs="Arial"/>
          <w:sz w:val="24"/>
        </w:rPr>
        <w:t>los cuales fueron incorporados</w:t>
      </w:r>
      <w:r w:rsidR="00E033FC" w:rsidRPr="006C36DE">
        <w:rPr>
          <w:rFonts w:ascii="Arial" w:hAnsi="Arial" w:cs="Arial"/>
          <w:sz w:val="24"/>
        </w:rPr>
        <w:t xml:space="preserve"> dentro de este documento</w:t>
      </w:r>
      <w:r w:rsidR="00EF3C47">
        <w:rPr>
          <w:rFonts w:ascii="Arial" w:hAnsi="Arial" w:cs="Arial"/>
          <w:sz w:val="24"/>
        </w:rPr>
        <w:t xml:space="preserve"> y</w:t>
      </w:r>
      <w:r w:rsidR="00E033FC" w:rsidRPr="006C36DE">
        <w:rPr>
          <w:rFonts w:ascii="Arial" w:hAnsi="Arial" w:cs="Arial"/>
          <w:sz w:val="24"/>
        </w:rPr>
        <w:t xml:space="preserve"> </w:t>
      </w:r>
      <w:r w:rsidRPr="006C36DE">
        <w:rPr>
          <w:rFonts w:ascii="Arial" w:hAnsi="Arial" w:cs="Arial"/>
          <w:sz w:val="24"/>
        </w:rPr>
        <w:t xml:space="preserve">de conformidad con lo previsto en el Artículo 47, Inciso c) del Reglamento para el Gobierno Interior del Congreso del Estado de Nuevo León, los integrantes de </w:t>
      </w:r>
      <w:r w:rsidR="00EF3C47">
        <w:rPr>
          <w:rFonts w:ascii="Arial" w:hAnsi="Arial" w:cs="Arial"/>
          <w:sz w:val="24"/>
        </w:rPr>
        <w:t>esta Comisión de Hacienda del Estado</w:t>
      </w:r>
      <w:r w:rsidR="00960812">
        <w:rPr>
          <w:rFonts w:ascii="Arial" w:hAnsi="Arial" w:cs="Arial"/>
          <w:sz w:val="24"/>
        </w:rPr>
        <w:t>, consideramos que</w:t>
      </w:r>
      <w:r w:rsidRPr="006C36DE">
        <w:rPr>
          <w:rFonts w:ascii="Arial" w:hAnsi="Arial" w:cs="Arial"/>
          <w:sz w:val="24"/>
        </w:rPr>
        <w:t xml:space="preserve"> a efecto de susten</w:t>
      </w:r>
      <w:r w:rsidR="00960812">
        <w:rPr>
          <w:rFonts w:ascii="Arial" w:hAnsi="Arial" w:cs="Arial"/>
          <w:sz w:val="24"/>
        </w:rPr>
        <w:t>tar el resolutivo que se propuesto en la parte resolutiva del presente Dictamen</w:t>
      </w:r>
      <w:r w:rsidRPr="006C36DE">
        <w:rPr>
          <w:rFonts w:ascii="Arial" w:hAnsi="Arial" w:cs="Arial"/>
          <w:sz w:val="24"/>
        </w:rPr>
        <w:t>, nos permitimos consignar</w:t>
      </w:r>
      <w:r w:rsidR="00FA27A6">
        <w:rPr>
          <w:rFonts w:ascii="Arial" w:hAnsi="Arial" w:cs="Arial"/>
          <w:sz w:val="24"/>
        </w:rPr>
        <w:t xml:space="preserve"> ante el Pleno de esta Soberanía,</w:t>
      </w:r>
      <w:r w:rsidRPr="006C36DE">
        <w:rPr>
          <w:rFonts w:ascii="Arial" w:hAnsi="Arial" w:cs="Arial"/>
          <w:sz w:val="24"/>
        </w:rPr>
        <w:t xml:space="preserve"> la</w:t>
      </w:r>
      <w:r w:rsidR="00FA27A6">
        <w:rPr>
          <w:rFonts w:ascii="Arial" w:hAnsi="Arial" w:cs="Arial"/>
          <w:sz w:val="24"/>
        </w:rPr>
        <w:t>s</w:t>
      </w:r>
      <w:r w:rsidR="006415AE">
        <w:rPr>
          <w:rFonts w:ascii="Arial" w:hAnsi="Arial" w:cs="Arial"/>
          <w:sz w:val="24"/>
        </w:rPr>
        <w:t xml:space="preserve"> siguientes</w:t>
      </w:r>
      <w:r w:rsidR="001E476B">
        <w:rPr>
          <w:rFonts w:ascii="Arial" w:hAnsi="Arial" w:cs="Arial"/>
          <w:sz w:val="24"/>
        </w:rPr>
        <w:t>:</w:t>
      </w:r>
    </w:p>
    <w:p w:rsidR="000A10A8" w:rsidRPr="00807DB8" w:rsidRDefault="000A10A8" w:rsidP="00807DB8">
      <w:pPr>
        <w:spacing w:before="240" w:after="20" w:line="360" w:lineRule="auto"/>
        <w:ind w:firstLine="708"/>
        <w:jc w:val="both"/>
        <w:rPr>
          <w:rFonts w:ascii="Arial" w:hAnsi="Arial" w:cs="Arial"/>
          <w:sz w:val="24"/>
        </w:rPr>
      </w:pPr>
    </w:p>
    <w:p w:rsidR="009C0345" w:rsidRDefault="006415AE" w:rsidP="009C0345">
      <w:pPr>
        <w:shd w:val="clear" w:color="auto" w:fill="FFFFFF"/>
        <w:spacing w:after="324"/>
        <w:jc w:val="both"/>
        <w:rPr>
          <w:rFonts w:ascii="Arial" w:hAnsi="Arial" w:cs="Arial"/>
          <w:b/>
          <w:bCs/>
          <w:sz w:val="24"/>
          <w:szCs w:val="24"/>
        </w:rPr>
      </w:pPr>
      <w:r>
        <w:rPr>
          <w:rFonts w:ascii="Arial" w:hAnsi="Arial" w:cs="Arial"/>
          <w:b/>
          <w:bCs/>
          <w:sz w:val="24"/>
          <w:szCs w:val="24"/>
        </w:rPr>
        <w:t>CONSIDERACIONES</w:t>
      </w:r>
    </w:p>
    <w:p w:rsidR="00FA27A6" w:rsidRPr="00295C16" w:rsidRDefault="00FA27A6" w:rsidP="009C0345">
      <w:pPr>
        <w:shd w:val="clear" w:color="auto" w:fill="FFFFFF"/>
        <w:spacing w:after="324"/>
        <w:jc w:val="both"/>
        <w:rPr>
          <w:rFonts w:ascii="Arial" w:hAnsi="Arial" w:cs="Arial"/>
          <w:sz w:val="24"/>
          <w:szCs w:val="24"/>
          <w:lang w:eastAsia="es-MX"/>
        </w:rPr>
      </w:pPr>
    </w:p>
    <w:p w:rsidR="00FA27A6" w:rsidRPr="00295C16" w:rsidRDefault="009C0345" w:rsidP="009A7A82">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00FA27A6">
        <w:rPr>
          <w:rFonts w:ascii="Arial" w:hAnsi="Arial" w:cs="Arial"/>
          <w:sz w:val="24"/>
          <w:szCs w:val="24"/>
        </w:rPr>
        <w:t xml:space="preserve"> de este Congreso</w:t>
      </w:r>
      <w:r w:rsidRPr="00295C16">
        <w:rPr>
          <w:rFonts w:ascii="Arial" w:hAnsi="Arial" w:cs="Arial"/>
          <w:sz w:val="24"/>
          <w:szCs w:val="24"/>
        </w:rPr>
        <w:t xml:space="preserve"> es competente para analizar el </w:t>
      </w:r>
      <w:r w:rsidR="00A77799">
        <w:rPr>
          <w:rFonts w:ascii="Arial" w:hAnsi="Arial" w:cs="Arial"/>
          <w:sz w:val="24"/>
          <w:szCs w:val="24"/>
        </w:rPr>
        <w:t>Informe del Resultado</w:t>
      </w:r>
      <w:r w:rsidR="00FA27A6">
        <w:rPr>
          <w:rFonts w:ascii="Arial" w:hAnsi="Arial" w:cs="Arial"/>
          <w:sz w:val="24"/>
          <w:szCs w:val="24"/>
        </w:rPr>
        <w:t xml:space="preserve"> de mérito, en atención a lo</w:t>
      </w:r>
      <w:r w:rsidRPr="00295C16">
        <w:rPr>
          <w:rFonts w:ascii="Arial" w:hAnsi="Arial" w:cs="Arial"/>
          <w:sz w:val="24"/>
          <w:szCs w:val="24"/>
        </w:rPr>
        <w:t xml:space="preserve"> establecido en los numerales 70, Fracción X</w:t>
      </w:r>
      <w:r w:rsidR="006C36DE">
        <w:rPr>
          <w:rFonts w:ascii="Arial" w:hAnsi="Arial" w:cs="Arial"/>
          <w:sz w:val="24"/>
          <w:szCs w:val="24"/>
        </w:rPr>
        <w:t>V</w:t>
      </w:r>
      <w:r w:rsidRPr="00295C16">
        <w:rPr>
          <w:rFonts w:ascii="Arial" w:hAnsi="Arial" w:cs="Arial"/>
          <w:sz w:val="24"/>
          <w:szCs w:val="24"/>
        </w:rPr>
        <w:t xml:space="preserve"> de la Ley Orgánica del Poder </w:t>
      </w:r>
      <w:r w:rsidRPr="00295C16">
        <w:rPr>
          <w:rFonts w:ascii="Arial" w:hAnsi="Arial" w:cs="Arial"/>
          <w:sz w:val="24"/>
          <w:szCs w:val="24"/>
        </w:rPr>
        <w:lastRenderedPageBreak/>
        <w:t xml:space="preserve">Legislativo del Estado </w:t>
      </w:r>
      <w:r w:rsidR="00FA27A6">
        <w:rPr>
          <w:rFonts w:ascii="Arial" w:hAnsi="Arial" w:cs="Arial"/>
          <w:sz w:val="24"/>
          <w:szCs w:val="24"/>
        </w:rPr>
        <w:t>de Nuevo León y 39</w:t>
      </w:r>
      <w:r w:rsidRPr="00295C16">
        <w:rPr>
          <w:rFonts w:ascii="Arial" w:hAnsi="Arial" w:cs="Arial"/>
          <w:sz w:val="24"/>
          <w:szCs w:val="24"/>
        </w:rPr>
        <w:t xml:space="preserve">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FA27A6" w:rsidRPr="00295C16" w:rsidRDefault="009C0345" w:rsidP="009A7A82">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La Auditoría Superior del Estado cumplió en su revisión con</w:t>
      </w:r>
      <w:r w:rsidR="00FA27A6">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6415AE" w:rsidRPr="00304CC5" w:rsidRDefault="00FA27A6" w:rsidP="006415AE">
      <w:pPr>
        <w:spacing w:before="240" w:line="360" w:lineRule="auto"/>
        <w:ind w:firstLine="709"/>
        <w:jc w:val="both"/>
        <w:rPr>
          <w:rFonts w:ascii="Arial" w:hAnsi="Arial" w:cs="Arial"/>
          <w:bCs/>
          <w:sz w:val="24"/>
          <w:szCs w:val="24"/>
        </w:rPr>
      </w:pPr>
      <w:r>
        <w:rPr>
          <w:rFonts w:ascii="Arial" w:hAnsi="Arial" w:cs="Arial"/>
          <w:bCs/>
          <w:sz w:val="24"/>
          <w:szCs w:val="24"/>
        </w:rPr>
        <w:t xml:space="preserve">Constatamos que el Informe del </w:t>
      </w:r>
      <w:r w:rsidR="006415AE" w:rsidRPr="006415AE">
        <w:rPr>
          <w:rFonts w:ascii="Arial" w:hAnsi="Arial" w:cs="Arial"/>
          <w:b/>
          <w:bCs/>
          <w:sz w:val="24"/>
          <w:szCs w:val="24"/>
        </w:rPr>
        <w:t>INSTITUTO DE INNOVACIÓN DE TRANSFERENCIA DE TECNOLOGÍA DE NUEVO LEÓN</w:t>
      </w:r>
      <w:r w:rsidR="00A66DD3">
        <w:rPr>
          <w:rFonts w:ascii="Arial" w:hAnsi="Arial" w:cs="Arial"/>
          <w:bCs/>
          <w:sz w:val="24"/>
          <w:szCs w:val="24"/>
        </w:rPr>
        <w:t xml:space="preserve">, </w:t>
      </w:r>
      <w:r w:rsidR="006415AE" w:rsidRPr="00304CC5">
        <w:rPr>
          <w:rFonts w:ascii="Arial" w:hAnsi="Arial" w:cs="Arial"/>
          <w:bCs/>
          <w:sz w:val="24"/>
          <w:szCs w:val="24"/>
        </w:rPr>
        <w:t>contiene los comentarios generales que se estipulan en el artículo 49 y 50 de la Ley de Fiscalización Superior del Estado de Nuevo León respecto a los resultados de su gestión financiera y gasto público, y que de acuerdo al artículo 46 de dicha Ley, se le comunico al Ente las observaciones detectadas sobre las cuales en uso del derecho de audiencia comunico las aclaraciones sobre las mismas, determinando nuestro órgano técnico fiscalizador las observaciones no solventadas, comunicándonos que el ente fiscalizado se ajustó a los criterios señalados en las Leyes, presupuestos y demás disposiciones aplicables, así como al cumplimiento de los objetivos generales y metas de los programas y subprogramas aprobados</w:t>
      </w:r>
      <w:r w:rsidR="006415AE">
        <w:rPr>
          <w:rFonts w:ascii="Arial" w:hAnsi="Arial" w:cs="Arial"/>
          <w:bCs/>
          <w:sz w:val="24"/>
          <w:szCs w:val="24"/>
        </w:rPr>
        <w:t>.</w:t>
      </w:r>
    </w:p>
    <w:p w:rsidR="00597642" w:rsidRPr="00295C16" w:rsidRDefault="006415AE" w:rsidP="00EA6E87">
      <w:pPr>
        <w:spacing w:before="240" w:line="360" w:lineRule="auto"/>
        <w:ind w:firstLine="709"/>
        <w:jc w:val="both"/>
        <w:rPr>
          <w:rFonts w:ascii="Arial" w:hAnsi="Arial" w:cs="Arial"/>
          <w:bCs/>
          <w:sz w:val="24"/>
          <w:szCs w:val="24"/>
        </w:rPr>
      </w:pPr>
      <w:r w:rsidRPr="00304CC5">
        <w:rPr>
          <w:rFonts w:ascii="Arial" w:hAnsi="Arial" w:cs="Arial"/>
          <w:bCs/>
          <w:sz w:val="24"/>
          <w:szCs w:val="24"/>
        </w:rPr>
        <w:t>En lo particular, conviene resaltar que en el Dictamen de Revisión que acompaña al informe de resultados, signado por el Titular de la Auditoría Superior del Estado, se indica que la información presentada en la cuenta pública es razonable</w:t>
      </w:r>
    </w:p>
    <w:p w:rsidR="00395799" w:rsidRPr="00B0643D" w:rsidRDefault="009C0345" w:rsidP="00395799">
      <w:pPr>
        <w:spacing w:before="240" w:line="360" w:lineRule="auto"/>
        <w:ind w:firstLine="709"/>
        <w:jc w:val="both"/>
        <w:rPr>
          <w:rFonts w:ascii="Arial" w:hAnsi="Arial" w:cs="Arial"/>
          <w:bCs/>
          <w:sz w:val="24"/>
          <w:szCs w:val="24"/>
        </w:rPr>
      </w:pPr>
      <w:r w:rsidRPr="00295C16">
        <w:rPr>
          <w:rFonts w:ascii="Arial" w:hAnsi="Arial" w:cs="Arial"/>
          <w:b/>
          <w:bCs/>
          <w:sz w:val="24"/>
          <w:szCs w:val="24"/>
        </w:rPr>
        <w:t>TERCERA:</w:t>
      </w:r>
      <w:r w:rsidR="00395799" w:rsidRPr="00395799">
        <w:rPr>
          <w:rFonts w:ascii="Arial" w:hAnsi="Arial" w:cs="Arial"/>
          <w:bCs/>
          <w:sz w:val="24"/>
          <w:szCs w:val="24"/>
        </w:rPr>
        <w:t xml:space="preserve"> </w:t>
      </w:r>
      <w:r w:rsidR="00395799" w:rsidRPr="00B0643D">
        <w:rPr>
          <w:rFonts w:ascii="Arial" w:hAnsi="Arial" w:cs="Arial"/>
          <w:bCs/>
          <w:sz w:val="24"/>
          <w:szCs w:val="24"/>
        </w:rPr>
        <w:t xml:space="preserve">En el Informe del Resultado emitido por la Auditoría Superior del Estado se destacan observaciones, las cuales se enumeran en </w:t>
      </w:r>
      <w:r w:rsidR="00395799" w:rsidRPr="00B0643D">
        <w:rPr>
          <w:rFonts w:ascii="Arial" w:hAnsi="Arial" w:cs="Arial"/>
          <w:bCs/>
          <w:sz w:val="24"/>
          <w:szCs w:val="24"/>
        </w:rPr>
        <w:lastRenderedPageBreak/>
        <w:t>el apartado V del citado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 o bien realizará las aclaraciones que considere pertinente hacer.</w:t>
      </w:r>
    </w:p>
    <w:p w:rsidR="00395799" w:rsidRPr="00B0643D" w:rsidRDefault="00395799" w:rsidP="00395799">
      <w:pPr>
        <w:spacing w:before="240" w:line="360" w:lineRule="auto"/>
        <w:ind w:firstLine="709"/>
        <w:jc w:val="both"/>
        <w:rPr>
          <w:rFonts w:ascii="Arial" w:hAnsi="Arial" w:cs="Arial"/>
          <w:bCs/>
          <w:sz w:val="24"/>
          <w:szCs w:val="24"/>
        </w:rPr>
      </w:pPr>
      <w:r w:rsidRPr="00B0643D">
        <w:rPr>
          <w:rFonts w:ascii="Arial" w:hAnsi="Arial" w:cs="Arial"/>
          <w:bCs/>
          <w:sz w:val="24"/>
          <w:szCs w:val="24"/>
        </w:rPr>
        <w:t xml:space="preserve">Al respecto, la Auditoría Superior revisó los argumentos establecidos por el titular del ente fiscalizado, resolviendo sobre las mismas en términos se si se solventan o no, insertando en el informe del Resultado las respuestas y aclaraciones del Ente, así como en su caso las explicaciones del porque considera que las mismas no se solventan o se solventan parcialmente. El Órgano Fiscalizador continuará dándole el seguimiento correspondiente a las observaciones que no hayan sido solventadas completamente a fin de verificar las acciones que el Organismo realice para corregir las deficiencias administrativas detectadas.  </w:t>
      </w:r>
    </w:p>
    <w:p w:rsidR="009C0345" w:rsidRPr="00295C16" w:rsidRDefault="00395799" w:rsidP="009A7A82">
      <w:pPr>
        <w:spacing w:line="360" w:lineRule="auto"/>
        <w:ind w:firstLine="708"/>
        <w:jc w:val="both"/>
        <w:rPr>
          <w:rFonts w:ascii="Arial" w:hAnsi="Arial" w:cs="Arial"/>
          <w:sz w:val="24"/>
          <w:szCs w:val="24"/>
        </w:rPr>
      </w:pPr>
      <w:r w:rsidRPr="00295C16">
        <w:rPr>
          <w:rFonts w:ascii="Arial" w:hAnsi="Arial" w:cs="Arial"/>
          <w:b/>
          <w:bCs/>
          <w:sz w:val="24"/>
          <w:szCs w:val="24"/>
        </w:rPr>
        <w:t xml:space="preserve">CUARTA: </w:t>
      </w:r>
      <w:r w:rsidR="006415AE">
        <w:rPr>
          <w:rFonts w:ascii="Arial" w:hAnsi="Arial" w:cs="Arial"/>
          <w:sz w:val="24"/>
          <w:szCs w:val="24"/>
        </w:rPr>
        <w:t xml:space="preserve">La Auditoría nos informa también que </w:t>
      </w:r>
      <w:r w:rsidR="006415AE" w:rsidRPr="00975896">
        <w:rPr>
          <w:rFonts w:ascii="Arial" w:hAnsi="Arial" w:cs="Arial"/>
          <w:sz w:val="24"/>
          <w:szCs w:val="24"/>
        </w:rPr>
        <w:t>respecto al</w:t>
      </w:r>
      <w:r w:rsidR="006415AE">
        <w:rPr>
          <w:rFonts w:ascii="Arial" w:hAnsi="Arial" w:cs="Arial"/>
          <w:sz w:val="24"/>
          <w:szCs w:val="24"/>
        </w:rPr>
        <w:t xml:space="preserve"> trámite y resultados obtenidos, </w:t>
      </w:r>
      <w:r w:rsidR="006415AE" w:rsidRPr="00975896">
        <w:rPr>
          <w:rFonts w:ascii="Arial" w:hAnsi="Arial" w:cs="Arial"/>
          <w:sz w:val="24"/>
          <w:szCs w:val="24"/>
        </w:rPr>
        <w:t xml:space="preserve">derivados de las solicitudes formuladas </w:t>
      </w:r>
      <w:r w:rsidR="006415AE">
        <w:rPr>
          <w:rFonts w:ascii="Arial" w:hAnsi="Arial" w:cs="Arial"/>
          <w:sz w:val="24"/>
          <w:szCs w:val="24"/>
        </w:rPr>
        <w:t xml:space="preserve">por </w:t>
      </w:r>
      <w:r w:rsidR="006415AE" w:rsidRPr="00975896">
        <w:rPr>
          <w:rFonts w:ascii="Arial" w:hAnsi="Arial" w:cs="Arial"/>
          <w:sz w:val="24"/>
          <w:szCs w:val="24"/>
        </w:rPr>
        <w:t>el Congreso del Estado</w:t>
      </w:r>
      <w:r w:rsidR="006415AE">
        <w:rPr>
          <w:rFonts w:ascii="Arial" w:hAnsi="Arial" w:cs="Arial"/>
          <w:sz w:val="24"/>
          <w:szCs w:val="24"/>
        </w:rPr>
        <w:t xml:space="preserve">, es de destacar que no se presentaron diligencias al respecto.  </w:t>
      </w:r>
    </w:p>
    <w:p w:rsidR="00745B59" w:rsidRDefault="00395799" w:rsidP="009A7A82">
      <w:pPr>
        <w:spacing w:before="240" w:line="360" w:lineRule="auto"/>
        <w:ind w:firstLine="709"/>
        <w:jc w:val="both"/>
        <w:rPr>
          <w:rFonts w:ascii="Arial" w:hAnsi="Arial" w:cs="Arial"/>
          <w:sz w:val="24"/>
        </w:rPr>
      </w:pPr>
      <w:r>
        <w:rPr>
          <w:rFonts w:ascii="Arial" w:hAnsi="Arial" w:cs="Arial"/>
          <w:b/>
          <w:sz w:val="24"/>
          <w:szCs w:val="24"/>
        </w:rPr>
        <w:t>QUINTA</w:t>
      </w:r>
      <w:r w:rsidRPr="00975896">
        <w:rPr>
          <w:rFonts w:ascii="Arial" w:hAnsi="Arial" w:cs="Arial"/>
          <w:b/>
          <w:sz w:val="24"/>
          <w:szCs w:val="24"/>
        </w:rPr>
        <w:t>:</w:t>
      </w:r>
      <w:r w:rsidRPr="00975896">
        <w:rPr>
          <w:rFonts w:ascii="Arial" w:hAnsi="Arial" w:cs="Arial"/>
          <w:sz w:val="24"/>
          <w:szCs w:val="24"/>
        </w:rPr>
        <w:t xml:space="preserve"> </w:t>
      </w:r>
      <w:r w:rsidR="006415AE" w:rsidRPr="007F5756">
        <w:rPr>
          <w:rFonts w:ascii="Arial" w:hAnsi="Arial" w:cs="Arial"/>
          <w:sz w:val="24"/>
          <w:szCs w:val="24"/>
        </w:rPr>
        <w:t>Adicionalmente</w:t>
      </w:r>
      <w:r w:rsidR="006415AE">
        <w:rPr>
          <w:rFonts w:ascii="Arial" w:hAnsi="Arial" w:cs="Arial"/>
          <w:sz w:val="24"/>
          <w:szCs w:val="24"/>
        </w:rPr>
        <w:t>,</w:t>
      </w:r>
      <w:r w:rsidR="006415AE" w:rsidRPr="007F5756">
        <w:rPr>
          <w:rFonts w:ascii="Arial" w:hAnsi="Arial" w:cs="Arial"/>
          <w:sz w:val="24"/>
          <w:szCs w:val="24"/>
        </w:rPr>
        <w:t xml:space="preserve"> se nos informa que durante </w:t>
      </w:r>
      <w:r w:rsidR="00EA6E87">
        <w:rPr>
          <w:rFonts w:ascii="Arial" w:hAnsi="Arial" w:cs="Arial"/>
          <w:sz w:val="24"/>
          <w:szCs w:val="24"/>
        </w:rPr>
        <w:t>el ejercicio 2015</w:t>
      </w:r>
      <w:r w:rsidR="006415AE">
        <w:rPr>
          <w:rFonts w:ascii="Arial" w:hAnsi="Arial" w:cs="Arial"/>
          <w:sz w:val="24"/>
          <w:szCs w:val="24"/>
        </w:rPr>
        <w:t xml:space="preserve">, </w:t>
      </w:r>
      <w:r w:rsidR="006415AE" w:rsidRPr="007F5756">
        <w:rPr>
          <w:rFonts w:ascii="Arial" w:hAnsi="Arial" w:cs="Arial"/>
          <w:sz w:val="24"/>
          <w:szCs w:val="24"/>
        </w:rPr>
        <w:t>no se recibieron solicitudes de revisión de situaciones excepcionales en relación a la cuenta pública</w:t>
      </w:r>
      <w:r w:rsidR="006415AE">
        <w:rPr>
          <w:rFonts w:ascii="Arial" w:hAnsi="Arial" w:cs="Arial"/>
          <w:sz w:val="24"/>
          <w:szCs w:val="24"/>
        </w:rPr>
        <w:t xml:space="preserve"> del Instituto</w:t>
      </w:r>
      <w:r w:rsidR="006415AE" w:rsidRPr="007F5756">
        <w:rPr>
          <w:rFonts w:ascii="Arial" w:hAnsi="Arial" w:cs="Arial"/>
          <w:sz w:val="24"/>
          <w:szCs w:val="24"/>
        </w:rPr>
        <w:t xml:space="preserve"> </w:t>
      </w:r>
      <w:r w:rsidR="006415AE">
        <w:rPr>
          <w:rFonts w:ascii="Arial" w:hAnsi="Arial" w:cs="Arial"/>
          <w:sz w:val="24"/>
          <w:szCs w:val="24"/>
        </w:rPr>
        <w:t>auditado.</w:t>
      </w:r>
    </w:p>
    <w:p w:rsidR="00975896" w:rsidRPr="00975896" w:rsidRDefault="00395799" w:rsidP="00713BE2">
      <w:pPr>
        <w:spacing w:after="0" w:line="360" w:lineRule="auto"/>
        <w:ind w:firstLine="708"/>
        <w:jc w:val="both"/>
        <w:rPr>
          <w:rFonts w:ascii="Arial" w:hAnsi="Arial" w:cs="Arial"/>
          <w:sz w:val="24"/>
          <w:szCs w:val="24"/>
        </w:rPr>
      </w:pPr>
      <w:r w:rsidRPr="00E72928">
        <w:rPr>
          <w:rFonts w:ascii="Arial" w:hAnsi="Arial" w:cs="Arial"/>
          <w:b/>
          <w:sz w:val="24"/>
          <w:szCs w:val="24"/>
        </w:rPr>
        <w:t>SEXTA:</w:t>
      </w:r>
      <w:r w:rsidRPr="00EB01DD">
        <w:rPr>
          <w:rFonts w:ascii="Arial" w:hAnsi="Arial" w:cs="Arial"/>
          <w:b/>
        </w:rPr>
        <w:t xml:space="preserve"> </w:t>
      </w:r>
      <w:r w:rsidR="00713BE2">
        <w:rPr>
          <w:rFonts w:ascii="Arial" w:hAnsi="Arial" w:cs="Arial"/>
          <w:sz w:val="24"/>
          <w:szCs w:val="24"/>
        </w:rPr>
        <w:t>En cuanto a la s</w:t>
      </w:r>
      <w:r w:rsidR="00713BE2" w:rsidRPr="00713BE2">
        <w:rPr>
          <w:rFonts w:ascii="Arial" w:hAnsi="Arial" w:cs="Arial"/>
          <w:sz w:val="24"/>
          <w:szCs w:val="24"/>
        </w:rPr>
        <w:t xml:space="preserve">ituación que guardan las observaciones, recomendaciones y acciones promovidas, respecto de las Cuentas Públicas </w:t>
      </w:r>
      <w:r w:rsidR="00713BE2" w:rsidRPr="00713BE2">
        <w:rPr>
          <w:rFonts w:ascii="Arial" w:hAnsi="Arial" w:cs="Arial"/>
          <w:sz w:val="24"/>
          <w:szCs w:val="24"/>
        </w:rPr>
        <w:lastRenderedPageBreak/>
        <w:t>de los ejercicios anteriores. En este punto se indica que no hay acciones pendientes de trámite.</w:t>
      </w:r>
    </w:p>
    <w:p w:rsidR="00975896" w:rsidRPr="00EB01DD" w:rsidRDefault="00975896" w:rsidP="009A7A82">
      <w:pPr>
        <w:spacing w:after="0" w:line="360" w:lineRule="auto"/>
        <w:ind w:left="708" w:firstLine="708"/>
        <w:jc w:val="both"/>
        <w:rPr>
          <w:rFonts w:ascii="Arial" w:hAnsi="Arial" w:cs="Arial"/>
        </w:rPr>
      </w:pPr>
    </w:p>
    <w:p w:rsidR="00807DB8" w:rsidRDefault="00395799" w:rsidP="00713BE2">
      <w:pPr>
        <w:autoSpaceDE w:val="0"/>
        <w:autoSpaceDN w:val="0"/>
        <w:adjustRightInd w:val="0"/>
        <w:spacing w:after="0" w:line="360" w:lineRule="auto"/>
        <w:ind w:firstLine="708"/>
        <w:jc w:val="both"/>
        <w:rPr>
          <w:rFonts w:ascii="Arial" w:hAnsi="Arial" w:cs="Arial"/>
          <w:sz w:val="24"/>
          <w:szCs w:val="24"/>
        </w:rPr>
      </w:pPr>
      <w:r w:rsidRPr="00395799">
        <w:rPr>
          <w:rFonts w:ascii="Arial" w:hAnsi="Arial" w:cs="Arial"/>
          <w:b/>
          <w:sz w:val="24"/>
          <w:szCs w:val="24"/>
        </w:rPr>
        <w:t>SEPTIMA:</w:t>
      </w:r>
      <w:r>
        <w:rPr>
          <w:rFonts w:ascii="Arial" w:hAnsi="Arial" w:cs="Arial"/>
          <w:sz w:val="24"/>
          <w:szCs w:val="24"/>
        </w:rPr>
        <w:t xml:space="preserve"> </w:t>
      </w:r>
      <w:r w:rsidR="00975896" w:rsidRPr="00975896">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w:t>
      </w:r>
      <w:r w:rsidR="00E72928">
        <w:rPr>
          <w:rFonts w:ascii="Arial" w:hAnsi="Arial" w:cs="Arial"/>
          <w:sz w:val="24"/>
          <w:szCs w:val="24"/>
        </w:rPr>
        <w:t>eneral de los recursos públicos ejercidos,</w:t>
      </w:r>
      <w:r w:rsidR="00975896" w:rsidRPr="00975896">
        <w:rPr>
          <w:rFonts w:ascii="Arial" w:hAnsi="Arial" w:cs="Arial"/>
          <w:sz w:val="24"/>
          <w:szCs w:val="24"/>
        </w:rPr>
        <w:t xml:space="preserve"> así como el cumplimiento de los programa</w:t>
      </w:r>
      <w:r w:rsidR="00E72928">
        <w:rPr>
          <w:rFonts w:ascii="Arial" w:hAnsi="Arial" w:cs="Arial"/>
          <w:sz w:val="24"/>
          <w:szCs w:val="24"/>
        </w:rPr>
        <w:t>s propios de la Administración P</w:t>
      </w:r>
      <w:r w:rsidR="00975896" w:rsidRPr="00975896">
        <w:rPr>
          <w:rFonts w:ascii="Arial" w:hAnsi="Arial" w:cs="Arial"/>
          <w:sz w:val="24"/>
          <w:szCs w:val="24"/>
        </w:rPr>
        <w:t>ública</w:t>
      </w:r>
      <w:r w:rsidR="008A287D">
        <w:rPr>
          <w:rFonts w:ascii="Arial" w:hAnsi="Arial" w:cs="Arial"/>
          <w:sz w:val="24"/>
          <w:szCs w:val="24"/>
        </w:rPr>
        <w:t xml:space="preserve"> y de la normativa que le es aplicable </w:t>
      </w:r>
      <w:r w:rsidR="00E72928">
        <w:rPr>
          <w:rFonts w:ascii="Arial" w:hAnsi="Arial" w:cs="Arial"/>
          <w:bCs/>
          <w:sz w:val="24"/>
          <w:szCs w:val="24"/>
        </w:rPr>
        <w:t xml:space="preserve">al </w:t>
      </w:r>
      <w:r w:rsidR="002F74ED">
        <w:rPr>
          <w:rFonts w:ascii="Arial" w:hAnsi="Arial" w:cs="Arial"/>
          <w:b/>
          <w:bCs/>
          <w:sz w:val="24"/>
          <w:szCs w:val="24"/>
        </w:rPr>
        <w:t>Instituto de Innovación y Transferencia de Tecnología de Nuevo León.</w:t>
      </w:r>
    </w:p>
    <w:p w:rsidR="00713BE2" w:rsidRDefault="00713BE2" w:rsidP="00713BE2">
      <w:pPr>
        <w:spacing w:after="0" w:line="360" w:lineRule="auto"/>
        <w:ind w:firstLine="708"/>
        <w:jc w:val="both"/>
        <w:rPr>
          <w:rFonts w:ascii="Arial" w:hAnsi="Arial" w:cs="Arial"/>
          <w:sz w:val="24"/>
          <w:szCs w:val="24"/>
        </w:rPr>
      </w:pPr>
    </w:p>
    <w:p w:rsidR="00713BE2" w:rsidRDefault="00713BE2" w:rsidP="00713BE2">
      <w:pPr>
        <w:spacing w:after="0" w:line="360" w:lineRule="auto"/>
        <w:ind w:firstLine="708"/>
        <w:jc w:val="both"/>
        <w:rPr>
          <w:rFonts w:ascii="Arial" w:hAnsi="Arial" w:cs="Arial"/>
          <w:sz w:val="24"/>
          <w:szCs w:val="24"/>
        </w:rPr>
      </w:pPr>
      <w:r w:rsidRPr="00DF50F5">
        <w:rPr>
          <w:rFonts w:ascii="Arial" w:hAnsi="Arial" w:cs="Arial"/>
          <w:sz w:val="24"/>
          <w:szCs w:val="24"/>
        </w:rPr>
        <w:t>Dado lo anterior, es de estimarse que al no existir en el informe de resultados en estudio observaciones</w:t>
      </w:r>
      <w:r>
        <w:rPr>
          <w:rFonts w:ascii="Arial" w:hAnsi="Arial" w:cs="Arial"/>
          <w:sz w:val="24"/>
          <w:szCs w:val="24"/>
        </w:rPr>
        <w:t xml:space="preserve"> que causen afectación al patrimonio del ente y teniendo que ninguna de las señaladas puede tenerse como </w:t>
      </w:r>
      <w:r w:rsidRPr="00DF50F5">
        <w:rPr>
          <w:rFonts w:ascii="Arial" w:hAnsi="Arial" w:cs="Arial"/>
          <w:sz w:val="24"/>
          <w:szCs w:val="24"/>
        </w:rPr>
        <w:t>causa para considerar que la generalidad de la actuación del ente revisado</w:t>
      </w:r>
      <w:r>
        <w:rPr>
          <w:rFonts w:ascii="Arial" w:hAnsi="Arial" w:cs="Arial"/>
          <w:sz w:val="24"/>
          <w:szCs w:val="24"/>
        </w:rPr>
        <w:t xml:space="preserve"> deba estimarse como deficiente</w:t>
      </w:r>
      <w:r w:rsidRPr="00DF50F5">
        <w:rPr>
          <w:rFonts w:ascii="Arial" w:hAnsi="Arial" w:cs="Arial"/>
          <w:sz w:val="24"/>
          <w:szCs w:val="24"/>
        </w:rPr>
        <w:t xml:space="preserve">, </w:t>
      </w:r>
      <w:r w:rsidRPr="00FA5E83">
        <w:rPr>
          <w:rFonts w:ascii="Arial" w:hAnsi="Arial" w:cs="Arial"/>
          <w:sz w:val="24"/>
          <w:szCs w:val="24"/>
        </w:rPr>
        <w:t xml:space="preserve">la entidad revisada es acreedora a una manifestación de aprobación </w:t>
      </w:r>
      <w:r w:rsidRPr="00DF50F5">
        <w:rPr>
          <w:rFonts w:ascii="Arial" w:hAnsi="Arial" w:cs="Arial"/>
          <w:sz w:val="24"/>
          <w:szCs w:val="24"/>
        </w:rPr>
        <w:t>de parte de este Poder Legislativo respecto a su Cuenta Públi</w:t>
      </w:r>
      <w:r w:rsidR="00EA6E87">
        <w:rPr>
          <w:rFonts w:ascii="Arial" w:hAnsi="Arial" w:cs="Arial"/>
          <w:sz w:val="24"/>
          <w:szCs w:val="24"/>
        </w:rPr>
        <w:t>ca para el ejercicio fiscal 2015</w:t>
      </w:r>
      <w:r w:rsidRPr="00DF50F5">
        <w:rPr>
          <w:rFonts w:ascii="Arial" w:hAnsi="Arial" w:cs="Arial"/>
          <w:sz w:val="24"/>
          <w:szCs w:val="24"/>
        </w:rPr>
        <w:t>.</w:t>
      </w:r>
    </w:p>
    <w:p w:rsidR="00713BE2" w:rsidRPr="00DF50F5" w:rsidRDefault="00713BE2" w:rsidP="00713BE2">
      <w:pPr>
        <w:spacing w:after="0" w:line="360" w:lineRule="auto"/>
        <w:ind w:firstLine="708"/>
        <w:jc w:val="both"/>
        <w:rPr>
          <w:rFonts w:ascii="Arial" w:hAnsi="Arial" w:cs="Arial"/>
          <w:sz w:val="24"/>
          <w:szCs w:val="24"/>
        </w:rPr>
      </w:pPr>
    </w:p>
    <w:p w:rsidR="00713BE2" w:rsidRPr="00DF50F5" w:rsidRDefault="00713BE2" w:rsidP="00713BE2">
      <w:pPr>
        <w:spacing w:after="0" w:line="360" w:lineRule="auto"/>
        <w:ind w:firstLine="708"/>
        <w:jc w:val="both"/>
        <w:rPr>
          <w:rFonts w:ascii="Arial" w:hAnsi="Arial" w:cs="Arial"/>
          <w:sz w:val="24"/>
          <w:szCs w:val="24"/>
        </w:rPr>
      </w:pPr>
      <w:r w:rsidRPr="00DF50F5">
        <w:rPr>
          <w:rFonts w:ascii="Arial" w:hAnsi="Arial" w:cs="Arial"/>
          <w:sz w:val="24"/>
          <w:szCs w:val="24"/>
        </w:rPr>
        <w:t xml:space="preserve">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w:t>
      </w:r>
      <w:r w:rsidRPr="00DF50F5">
        <w:rPr>
          <w:rFonts w:ascii="Arial" w:hAnsi="Arial" w:cs="Arial"/>
          <w:sz w:val="24"/>
          <w:szCs w:val="24"/>
        </w:rPr>
        <w:lastRenderedPageBreak/>
        <w:t>quedaría determinada al momento de concluirse los procedimientos administrativos o resarcitorios correspondientes.</w:t>
      </w:r>
    </w:p>
    <w:p w:rsidR="00713BE2" w:rsidRDefault="00713BE2" w:rsidP="009A7A82">
      <w:pPr>
        <w:spacing w:before="240" w:line="360" w:lineRule="auto"/>
        <w:ind w:firstLine="709"/>
        <w:jc w:val="both"/>
        <w:rPr>
          <w:rFonts w:ascii="Arial" w:hAnsi="Arial" w:cs="Arial"/>
          <w:sz w:val="24"/>
          <w:szCs w:val="24"/>
        </w:rPr>
      </w:pPr>
    </w:p>
    <w:p w:rsidR="00E82188" w:rsidRDefault="00975896" w:rsidP="009A7A82">
      <w:pPr>
        <w:spacing w:before="240" w:line="360" w:lineRule="auto"/>
        <w:ind w:firstLine="709"/>
        <w:jc w:val="both"/>
        <w:rPr>
          <w:rFonts w:ascii="Arial" w:hAnsi="Arial" w:cs="Arial"/>
          <w:sz w:val="24"/>
          <w:szCs w:val="24"/>
        </w:rPr>
      </w:pPr>
      <w:r w:rsidRPr="00975896">
        <w:rPr>
          <w:rFonts w:ascii="Arial" w:hAnsi="Arial" w:cs="Arial"/>
          <w:sz w:val="24"/>
          <w:szCs w:val="24"/>
        </w:rPr>
        <w:t>Por</w:t>
      </w:r>
      <w:r w:rsidR="007E6300">
        <w:rPr>
          <w:rFonts w:ascii="Arial" w:hAnsi="Arial" w:cs="Arial"/>
          <w:sz w:val="24"/>
          <w:szCs w:val="24"/>
        </w:rPr>
        <w:t xml:space="preserve"> ello, sometemos a la consideración del Pleno de esta Asamblea Legislativa el siguiente proyecto de:</w:t>
      </w:r>
    </w:p>
    <w:p w:rsidR="00E82188" w:rsidRPr="00F072A9" w:rsidRDefault="007E6300" w:rsidP="00F072A9">
      <w:pPr>
        <w:pStyle w:val="Prrafodelista"/>
        <w:spacing w:before="240" w:line="360" w:lineRule="auto"/>
        <w:ind w:left="2880"/>
        <w:rPr>
          <w:rFonts w:ascii="Arial" w:hAnsi="Arial" w:cs="Arial"/>
          <w:b/>
          <w:sz w:val="24"/>
          <w:szCs w:val="24"/>
        </w:rPr>
      </w:pPr>
      <w:r>
        <w:rPr>
          <w:rFonts w:ascii="Arial" w:hAnsi="Arial" w:cs="Arial"/>
          <w:b/>
          <w:sz w:val="24"/>
          <w:szCs w:val="24"/>
        </w:rPr>
        <w:t>A C U E R D O</w:t>
      </w:r>
    </w:p>
    <w:p w:rsidR="006C2B1B" w:rsidRDefault="007E6300" w:rsidP="006C2B1B">
      <w:pPr>
        <w:spacing w:after="0" w:line="360" w:lineRule="auto"/>
        <w:ind w:firstLine="708"/>
        <w:jc w:val="both"/>
        <w:rPr>
          <w:rFonts w:ascii="Arial" w:hAnsi="Arial" w:cs="Arial"/>
          <w:sz w:val="24"/>
          <w:szCs w:val="24"/>
        </w:rPr>
      </w:pPr>
      <w:r>
        <w:rPr>
          <w:rFonts w:ascii="Arial" w:hAnsi="Arial" w:cs="Arial"/>
          <w:b/>
          <w:bCs/>
          <w:sz w:val="24"/>
          <w:szCs w:val="24"/>
        </w:rPr>
        <w:t xml:space="preserve">PRIMERO.- </w:t>
      </w:r>
      <w:r>
        <w:rPr>
          <w:rFonts w:ascii="Arial" w:hAnsi="Arial" w:cs="Arial"/>
          <w:bCs/>
          <w:sz w:val="24"/>
          <w:szCs w:val="24"/>
        </w:rPr>
        <w:t xml:space="preserve">Se tiene por recibido y analizado en tiempo y forma el </w:t>
      </w:r>
      <w:r w:rsidR="00A77799">
        <w:rPr>
          <w:rFonts w:ascii="Arial" w:hAnsi="Arial" w:cs="Arial"/>
          <w:bCs/>
          <w:sz w:val="24"/>
          <w:szCs w:val="24"/>
        </w:rPr>
        <w:t>Informe del Resultado</w:t>
      </w:r>
      <w:r w:rsidR="006C2B1B">
        <w:rPr>
          <w:rFonts w:ascii="Arial" w:hAnsi="Arial" w:cs="Arial"/>
          <w:bCs/>
          <w:sz w:val="24"/>
          <w:szCs w:val="24"/>
        </w:rPr>
        <w:t xml:space="preserve"> </w:t>
      </w:r>
      <w:r w:rsidR="009463FE">
        <w:rPr>
          <w:rFonts w:ascii="Arial" w:hAnsi="Arial" w:cs="Arial"/>
          <w:bCs/>
          <w:sz w:val="24"/>
          <w:szCs w:val="24"/>
        </w:rPr>
        <w:t xml:space="preserve">de la revisión </w:t>
      </w:r>
      <w:r w:rsidR="00EA6E87">
        <w:rPr>
          <w:rFonts w:ascii="Arial" w:hAnsi="Arial" w:cs="Arial"/>
          <w:bCs/>
          <w:sz w:val="24"/>
          <w:szCs w:val="24"/>
        </w:rPr>
        <w:t>de la Cuenta Pública 2015</w:t>
      </w:r>
      <w:r>
        <w:rPr>
          <w:rFonts w:ascii="Arial" w:hAnsi="Arial" w:cs="Arial"/>
          <w:bCs/>
          <w:sz w:val="24"/>
          <w:szCs w:val="24"/>
        </w:rPr>
        <w:t xml:space="preserve">, del </w:t>
      </w:r>
      <w:r w:rsidR="00216782">
        <w:rPr>
          <w:rFonts w:ascii="Arial" w:hAnsi="Arial" w:cs="Arial"/>
          <w:b/>
          <w:bCs/>
          <w:sz w:val="24"/>
          <w:szCs w:val="24"/>
        </w:rPr>
        <w:t>INSTITUTO DE INNOVACIÓN Y TRANSFERENCIA DE TECNOLOGÍA DE NUEVO LEÓN.</w:t>
      </w:r>
    </w:p>
    <w:p w:rsidR="00FA5E83" w:rsidRDefault="00FA5E83" w:rsidP="006C2B1B">
      <w:pPr>
        <w:spacing w:after="0" w:line="360" w:lineRule="auto"/>
        <w:ind w:firstLine="708"/>
        <w:jc w:val="both"/>
        <w:rPr>
          <w:rFonts w:ascii="Arial" w:hAnsi="Arial" w:cs="Arial"/>
          <w:b/>
          <w:bCs/>
          <w:sz w:val="24"/>
          <w:szCs w:val="24"/>
        </w:rPr>
      </w:pPr>
    </w:p>
    <w:p w:rsidR="00713BE2" w:rsidRDefault="007E6300" w:rsidP="006C2B1B">
      <w:pPr>
        <w:spacing w:after="0" w:line="360" w:lineRule="auto"/>
        <w:ind w:firstLine="708"/>
        <w:jc w:val="both"/>
        <w:rPr>
          <w:rFonts w:ascii="Arial" w:hAnsi="Arial" w:cs="Arial"/>
          <w:bCs/>
          <w:sz w:val="24"/>
          <w:szCs w:val="24"/>
        </w:rPr>
      </w:pPr>
      <w:r>
        <w:rPr>
          <w:rFonts w:ascii="Arial" w:hAnsi="Arial" w:cs="Arial"/>
          <w:b/>
          <w:bCs/>
          <w:sz w:val="24"/>
          <w:szCs w:val="24"/>
        </w:rPr>
        <w:t>SEGUNDO.-</w:t>
      </w:r>
      <w:r>
        <w:rPr>
          <w:rFonts w:ascii="Arial" w:hAnsi="Arial" w:cs="Arial"/>
          <w:bCs/>
          <w:sz w:val="24"/>
          <w:szCs w:val="24"/>
        </w:rPr>
        <w:t xml:space="preserve"> </w:t>
      </w:r>
      <w:r w:rsidR="00713BE2" w:rsidRPr="006D048F">
        <w:rPr>
          <w:rFonts w:ascii="Arial" w:hAnsi="Arial" w:cs="Arial"/>
          <w:bCs/>
          <w:sz w:val="24"/>
          <w:szCs w:val="24"/>
          <w:lang w:val="es-MX"/>
        </w:rPr>
        <w:t xml:space="preserve">Tras el análisis del contenido del Informe de Resultados que nos ocupa, se tienen por conocidas las observaciones derivadas de la revisión practicada por la Auditoría Superior del Estado, señaladas con los números 1 al </w:t>
      </w:r>
      <w:r w:rsidR="00FA5E83">
        <w:rPr>
          <w:rFonts w:ascii="Arial" w:hAnsi="Arial" w:cs="Arial"/>
          <w:bCs/>
          <w:sz w:val="24"/>
          <w:szCs w:val="24"/>
          <w:lang w:val="es-MX"/>
        </w:rPr>
        <w:t>9</w:t>
      </w:r>
      <w:r w:rsidR="00713BE2" w:rsidRPr="006D048F">
        <w:rPr>
          <w:rFonts w:ascii="Arial" w:hAnsi="Arial" w:cs="Arial"/>
          <w:bCs/>
          <w:sz w:val="24"/>
          <w:szCs w:val="24"/>
          <w:lang w:val="es-MX"/>
        </w:rPr>
        <w:t xml:space="preserve"> respecto a las cuales no se determinó emitir pliegos presuntivos de responsabilidades, ya que no se apreciaron observaciones susceptibles de generar afectación económica.</w:t>
      </w:r>
    </w:p>
    <w:p w:rsidR="00713BE2" w:rsidRDefault="00713BE2" w:rsidP="006C2B1B">
      <w:pPr>
        <w:spacing w:after="0" w:line="360" w:lineRule="auto"/>
        <w:ind w:firstLine="708"/>
        <w:jc w:val="both"/>
        <w:rPr>
          <w:rFonts w:ascii="Arial" w:hAnsi="Arial" w:cs="Arial"/>
          <w:bCs/>
          <w:sz w:val="24"/>
          <w:szCs w:val="24"/>
        </w:rPr>
      </w:pPr>
    </w:p>
    <w:p w:rsidR="00713BE2" w:rsidRDefault="00713BE2" w:rsidP="00713BE2">
      <w:pPr>
        <w:spacing w:after="0" w:line="360" w:lineRule="auto"/>
        <w:ind w:firstLine="708"/>
        <w:jc w:val="both"/>
        <w:rPr>
          <w:rFonts w:ascii="Arial" w:hAnsi="Arial" w:cs="Arial"/>
          <w:bCs/>
          <w:sz w:val="24"/>
          <w:szCs w:val="24"/>
          <w:lang w:val="es-MX"/>
        </w:rPr>
      </w:pPr>
      <w:r w:rsidRPr="00190C96">
        <w:rPr>
          <w:rFonts w:ascii="Arial" w:hAnsi="Arial" w:cs="Arial"/>
          <w:b/>
          <w:bCs/>
          <w:sz w:val="24"/>
          <w:szCs w:val="24"/>
          <w:lang w:val="es-MX"/>
        </w:rPr>
        <w:t xml:space="preserve">TERCERO.- </w:t>
      </w:r>
      <w:r w:rsidRPr="00190C96">
        <w:rPr>
          <w:rFonts w:ascii="Arial" w:hAnsi="Arial" w:cs="Arial"/>
          <w:bCs/>
          <w:sz w:val="24"/>
          <w:szCs w:val="24"/>
          <w:lang w:val="es-MX"/>
        </w:rPr>
        <w:t xml:space="preserve">Atendiendo a las características y alcance de las observaciones señaladas en el resolutivo anterior como causa de promoción de fincamiento de responsabilidades administrativas </w:t>
      </w:r>
      <w:r w:rsidR="00FA5E83">
        <w:rPr>
          <w:rFonts w:ascii="Arial" w:hAnsi="Arial" w:cs="Arial"/>
          <w:bCs/>
          <w:sz w:val="24"/>
          <w:szCs w:val="24"/>
          <w:lang w:val="es-MX"/>
        </w:rPr>
        <w:t xml:space="preserve">y recomendaciones a la gestión </w:t>
      </w:r>
      <w:r w:rsidRPr="00190C96">
        <w:rPr>
          <w:rFonts w:ascii="Arial" w:hAnsi="Arial" w:cs="Arial"/>
          <w:bCs/>
          <w:sz w:val="24"/>
          <w:szCs w:val="24"/>
          <w:lang w:val="es-MX"/>
        </w:rPr>
        <w:t>en el rubro de Auditoría a la Gestión Financiera</w:t>
      </w:r>
      <w:r>
        <w:rPr>
          <w:rFonts w:ascii="Arial" w:hAnsi="Arial" w:cs="Arial"/>
          <w:bCs/>
          <w:sz w:val="24"/>
          <w:szCs w:val="24"/>
          <w:lang w:val="es-MX"/>
        </w:rPr>
        <w:t xml:space="preserve"> que no afectan la gestión del ente</w:t>
      </w:r>
      <w:r w:rsidRPr="00190C96">
        <w:rPr>
          <w:rFonts w:ascii="Arial" w:hAnsi="Arial" w:cs="Arial"/>
          <w:bCs/>
          <w:sz w:val="24"/>
          <w:szCs w:val="24"/>
          <w:lang w:val="es-MX"/>
        </w:rPr>
        <w:t xml:space="preserve"> fiscalizado, se estima que la </w:t>
      </w:r>
      <w:r w:rsidR="00EA6E87">
        <w:rPr>
          <w:rFonts w:ascii="Arial" w:hAnsi="Arial" w:cs="Arial"/>
          <w:b/>
          <w:bCs/>
          <w:sz w:val="24"/>
          <w:szCs w:val="24"/>
          <w:lang w:val="es-MX"/>
        </w:rPr>
        <w:t>CUENTA PÚBLICA 2015</w:t>
      </w:r>
      <w:r w:rsidRPr="00190C96">
        <w:rPr>
          <w:rFonts w:ascii="Arial" w:hAnsi="Arial" w:cs="Arial"/>
          <w:b/>
          <w:bCs/>
          <w:sz w:val="24"/>
          <w:szCs w:val="24"/>
          <w:lang w:val="es-MX"/>
        </w:rPr>
        <w:t xml:space="preserve">, </w:t>
      </w:r>
      <w:r w:rsidRPr="00190C96">
        <w:rPr>
          <w:rFonts w:ascii="Arial" w:hAnsi="Arial" w:cs="Arial"/>
          <w:bCs/>
          <w:sz w:val="24"/>
          <w:szCs w:val="24"/>
          <w:lang w:val="es-MX"/>
        </w:rPr>
        <w:t>del</w:t>
      </w:r>
      <w:r w:rsidRPr="00190C96">
        <w:rPr>
          <w:rFonts w:ascii="Arial" w:hAnsi="Arial" w:cs="Arial"/>
          <w:b/>
          <w:bCs/>
          <w:sz w:val="24"/>
          <w:szCs w:val="24"/>
          <w:lang w:val="es-MX"/>
        </w:rPr>
        <w:t xml:space="preserve"> </w:t>
      </w:r>
      <w:r>
        <w:rPr>
          <w:rFonts w:ascii="Arial" w:hAnsi="Arial" w:cs="Arial"/>
          <w:b/>
          <w:bCs/>
          <w:sz w:val="24"/>
          <w:szCs w:val="24"/>
        </w:rPr>
        <w:lastRenderedPageBreak/>
        <w:t>INSTITUTO DE INNOVACIÓN Y TRANSFERENCIA DE TECNOLOGÍA DE NUEVO LEÓN</w:t>
      </w:r>
      <w:r w:rsidRPr="00190C96">
        <w:rPr>
          <w:rFonts w:ascii="Arial" w:hAnsi="Arial" w:cs="Arial"/>
          <w:b/>
          <w:bCs/>
          <w:sz w:val="24"/>
          <w:szCs w:val="24"/>
          <w:lang w:val="es-MX"/>
        </w:rPr>
        <w:t xml:space="preserve"> </w:t>
      </w:r>
      <w:r w:rsidRPr="00190C96">
        <w:rPr>
          <w:rFonts w:ascii="Arial" w:hAnsi="Arial" w:cs="Arial"/>
          <w:bCs/>
          <w:sz w:val="24"/>
          <w:szCs w:val="24"/>
          <w:lang w:val="es-MX"/>
        </w:rPr>
        <w:t>es susceptible de aprobación.</w:t>
      </w:r>
    </w:p>
    <w:p w:rsidR="00713BE2" w:rsidRDefault="00713BE2" w:rsidP="00713BE2">
      <w:pPr>
        <w:spacing w:after="0" w:line="360" w:lineRule="auto"/>
        <w:ind w:firstLine="708"/>
        <w:jc w:val="both"/>
        <w:rPr>
          <w:rFonts w:ascii="Arial" w:hAnsi="Arial" w:cs="Arial"/>
          <w:bCs/>
          <w:sz w:val="24"/>
          <w:szCs w:val="24"/>
          <w:lang w:val="es-MX"/>
        </w:rPr>
      </w:pPr>
    </w:p>
    <w:p w:rsidR="00713BE2" w:rsidRDefault="00713BE2" w:rsidP="00713BE2">
      <w:pPr>
        <w:spacing w:after="0" w:line="360" w:lineRule="auto"/>
        <w:ind w:firstLine="708"/>
        <w:jc w:val="both"/>
        <w:rPr>
          <w:rFonts w:ascii="Arial" w:hAnsi="Arial" w:cs="Arial"/>
          <w:bCs/>
          <w:sz w:val="24"/>
          <w:szCs w:val="24"/>
        </w:rPr>
      </w:pPr>
      <w:r w:rsidRPr="00190C96">
        <w:rPr>
          <w:rFonts w:ascii="Arial" w:hAnsi="Arial" w:cs="Arial"/>
          <w:bCs/>
          <w:sz w:val="24"/>
          <w:szCs w:val="24"/>
          <w:lang w:val="es-MX"/>
        </w:rPr>
        <w:t>Por lo tanto, en</w:t>
      </w:r>
      <w:r>
        <w:rPr>
          <w:rFonts w:ascii="Arial" w:hAnsi="Arial" w:cs="Arial"/>
          <w:bCs/>
          <w:sz w:val="24"/>
          <w:szCs w:val="24"/>
        </w:rPr>
        <w:t xml:space="preserve"> cumplimiento de lo señalado en el artículo 63 Fracción XIII de la Constitución Política del Estado Libre y Soberano de Nuevo León y demás disposiciones legales aplicables, así como lo descrito en el apartado de Consideraciones del presente Dictamen</w:t>
      </w:r>
      <w:r w:rsidRPr="00FA5E83">
        <w:rPr>
          <w:rFonts w:ascii="Arial" w:hAnsi="Arial" w:cs="Arial"/>
          <w:bCs/>
          <w:sz w:val="24"/>
          <w:szCs w:val="24"/>
        </w:rPr>
        <w:t xml:space="preserve">, </w:t>
      </w:r>
      <w:r w:rsidRPr="00FA5E83">
        <w:rPr>
          <w:rFonts w:ascii="Arial" w:hAnsi="Arial" w:cs="Arial"/>
          <w:b/>
          <w:bCs/>
          <w:sz w:val="24"/>
          <w:szCs w:val="24"/>
        </w:rPr>
        <w:t>SE APRUEBA</w:t>
      </w:r>
      <w:r w:rsidRPr="00FA5E83">
        <w:rPr>
          <w:rFonts w:ascii="Arial" w:hAnsi="Arial" w:cs="Arial"/>
          <w:bCs/>
          <w:sz w:val="24"/>
          <w:szCs w:val="24"/>
        </w:rPr>
        <w:t xml:space="preserve"> </w:t>
      </w:r>
      <w:r w:rsidR="00EA6E87">
        <w:rPr>
          <w:rFonts w:ascii="Arial" w:hAnsi="Arial" w:cs="Arial"/>
          <w:bCs/>
          <w:sz w:val="24"/>
          <w:szCs w:val="24"/>
        </w:rPr>
        <w:t>la Cuenta Pública 2015</w:t>
      </w:r>
      <w:r>
        <w:rPr>
          <w:rFonts w:ascii="Arial" w:hAnsi="Arial" w:cs="Arial"/>
          <w:bCs/>
          <w:sz w:val="24"/>
          <w:szCs w:val="24"/>
        </w:rPr>
        <w:t xml:space="preserve"> del </w:t>
      </w:r>
      <w:r>
        <w:rPr>
          <w:rFonts w:ascii="Arial" w:hAnsi="Arial" w:cs="Arial"/>
          <w:b/>
          <w:bCs/>
          <w:sz w:val="24"/>
          <w:szCs w:val="24"/>
        </w:rPr>
        <w:t>INSTITUTO DE INNOVACIÓN Y TRANSFERENCIA DE TECNOLOGÍA DE NUEVO LEÓN.</w:t>
      </w:r>
    </w:p>
    <w:p w:rsidR="00713BE2" w:rsidRDefault="00713BE2" w:rsidP="006C2B1B">
      <w:pPr>
        <w:spacing w:after="0" w:line="360" w:lineRule="auto"/>
        <w:ind w:firstLine="708"/>
        <w:jc w:val="both"/>
        <w:rPr>
          <w:rFonts w:ascii="Arial" w:hAnsi="Arial" w:cs="Arial"/>
          <w:bCs/>
          <w:sz w:val="24"/>
          <w:szCs w:val="24"/>
        </w:rPr>
      </w:pPr>
    </w:p>
    <w:p w:rsidR="00713BE2" w:rsidRDefault="00713BE2" w:rsidP="00713BE2">
      <w:pPr>
        <w:spacing w:after="0" w:line="360" w:lineRule="auto"/>
        <w:ind w:firstLine="708"/>
        <w:jc w:val="both"/>
        <w:rPr>
          <w:rFonts w:ascii="Arial" w:hAnsi="Arial" w:cs="Arial"/>
          <w:b/>
          <w:bCs/>
          <w:sz w:val="24"/>
          <w:szCs w:val="24"/>
        </w:rPr>
      </w:pPr>
      <w:r w:rsidRPr="00472E79">
        <w:rPr>
          <w:rFonts w:ascii="Arial" w:hAnsi="Arial" w:cs="Arial"/>
          <w:b/>
          <w:bCs/>
          <w:sz w:val="24"/>
          <w:szCs w:val="24"/>
        </w:rPr>
        <w:t xml:space="preserve">CUARTO.- </w:t>
      </w:r>
      <w:r w:rsidRPr="00472E79">
        <w:rPr>
          <w:rFonts w:ascii="Arial" w:hAnsi="Arial" w:cs="Arial"/>
          <w:bCs/>
          <w:sz w:val="24"/>
          <w:szCs w:val="24"/>
        </w:rPr>
        <w:t>Se instruye a la Auditoria Superior del Estado para que en términos del párrafo segundo del artículo 52 de la</w:t>
      </w:r>
      <w:r w:rsidRPr="00472E79">
        <w:rPr>
          <w:rFonts w:ascii="Arial" w:hAnsi="Arial" w:cs="Arial"/>
          <w:bCs/>
          <w:sz w:val="24"/>
          <w:szCs w:val="24"/>
          <w:lang w:val="es-ES_tradnl"/>
        </w:rPr>
        <w:t xml:space="preserve"> </w:t>
      </w:r>
      <w:r w:rsidRPr="00472E79">
        <w:rPr>
          <w:rFonts w:ascii="Arial" w:hAnsi="Arial" w:cs="Arial"/>
          <w:bCs/>
          <w:sz w:val="24"/>
          <w:szCs w:val="24"/>
        </w:rPr>
        <w:t xml:space="preserve">Ley de Fiscalización Superior del Estado de Nuevo León </w:t>
      </w:r>
      <w:r w:rsidRPr="00472E79">
        <w:rPr>
          <w:rFonts w:ascii="Arial" w:hAnsi="Arial" w:cs="Arial"/>
          <w:b/>
          <w:bCs/>
          <w:sz w:val="24"/>
          <w:szCs w:val="24"/>
        </w:rPr>
        <w:t xml:space="preserve">EXPIDA EL FINIQUITO CORRESPONDIENTE, </w:t>
      </w:r>
      <w:r w:rsidRPr="00472E79">
        <w:rPr>
          <w:rFonts w:ascii="Arial" w:hAnsi="Arial" w:cs="Arial"/>
          <w:bCs/>
          <w:sz w:val="24"/>
          <w:szCs w:val="24"/>
        </w:rPr>
        <w:t>quedando a salvo los derechos del Órgano de Fiscalización en los términos del artículo 51 de la Ley de Fiscalización Superior del Estado de Nuevo León, a fin de continuar con cualquier acción de las señaladas en el artículo 53 de la citada Ley, derivadas de la revisión de la cuenta pública del</w:t>
      </w:r>
      <w:r>
        <w:rPr>
          <w:rFonts w:ascii="Arial" w:hAnsi="Arial" w:cs="Arial"/>
          <w:bCs/>
          <w:sz w:val="24"/>
          <w:szCs w:val="24"/>
        </w:rPr>
        <w:t xml:space="preserve"> </w:t>
      </w:r>
      <w:r>
        <w:rPr>
          <w:rFonts w:ascii="Arial" w:hAnsi="Arial" w:cs="Arial"/>
          <w:b/>
          <w:bCs/>
          <w:sz w:val="24"/>
          <w:szCs w:val="24"/>
        </w:rPr>
        <w:t>INSTITUTO DE INNOVACIÓN Y TRANSFERENCIA DE TECNOLOGÍA DE NUEVO LEÓN</w:t>
      </w:r>
      <w:r w:rsidRPr="00472E79">
        <w:rPr>
          <w:rFonts w:ascii="Arial" w:hAnsi="Arial" w:cs="Arial"/>
          <w:b/>
          <w:bCs/>
          <w:sz w:val="24"/>
          <w:szCs w:val="24"/>
          <w:lang w:val="es-MX"/>
        </w:rPr>
        <w:t xml:space="preserve">, </w:t>
      </w:r>
      <w:r w:rsidRPr="00472E79">
        <w:rPr>
          <w:rFonts w:ascii="Arial" w:hAnsi="Arial" w:cs="Arial"/>
          <w:bCs/>
          <w:sz w:val="24"/>
          <w:szCs w:val="24"/>
        </w:rPr>
        <w:t>correspondiente al ejercicio</w:t>
      </w:r>
      <w:r w:rsidRPr="00472E79">
        <w:rPr>
          <w:rFonts w:ascii="Arial" w:hAnsi="Arial" w:cs="Arial"/>
          <w:b/>
          <w:bCs/>
          <w:sz w:val="24"/>
          <w:szCs w:val="24"/>
        </w:rPr>
        <w:t xml:space="preserve"> </w:t>
      </w:r>
      <w:r w:rsidR="00EA6E87">
        <w:rPr>
          <w:rFonts w:ascii="Arial" w:hAnsi="Arial" w:cs="Arial"/>
          <w:b/>
          <w:bCs/>
          <w:sz w:val="24"/>
          <w:szCs w:val="24"/>
        </w:rPr>
        <w:t>2015</w:t>
      </w:r>
      <w:r w:rsidRPr="00472E79">
        <w:rPr>
          <w:rFonts w:ascii="Arial" w:hAnsi="Arial" w:cs="Arial"/>
          <w:b/>
          <w:bCs/>
          <w:sz w:val="24"/>
          <w:szCs w:val="24"/>
        </w:rPr>
        <w:t xml:space="preserve">. </w:t>
      </w:r>
    </w:p>
    <w:p w:rsidR="00713BE2" w:rsidRDefault="00713BE2" w:rsidP="00101ABB">
      <w:pPr>
        <w:spacing w:after="0" w:line="360" w:lineRule="auto"/>
        <w:jc w:val="both"/>
        <w:rPr>
          <w:rFonts w:ascii="Arial" w:hAnsi="Arial" w:cs="Arial"/>
          <w:bCs/>
          <w:sz w:val="24"/>
          <w:szCs w:val="24"/>
        </w:rPr>
      </w:pPr>
    </w:p>
    <w:p w:rsidR="003C6162" w:rsidRPr="006C2B1B" w:rsidRDefault="00713BE2" w:rsidP="006C2B1B">
      <w:pPr>
        <w:spacing w:after="0" w:line="360" w:lineRule="auto"/>
        <w:ind w:firstLine="708"/>
        <w:jc w:val="both"/>
        <w:rPr>
          <w:rFonts w:ascii="Arial" w:hAnsi="Arial" w:cs="Arial"/>
          <w:sz w:val="24"/>
          <w:szCs w:val="24"/>
        </w:rPr>
      </w:pPr>
      <w:r>
        <w:rPr>
          <w:rFonts w:ascii="Arial" w:hAnsi="Arial" w:cs="Arial"/>
          <w:b/>
          <w:bCs/>
          <w:sz w:val="24"/>
          <w:szCs w:val="24"/>
        </w:rPr>
        <w:t>QUIN</w:t>
      </w:r>
      <w:r w:rsidR="007E6300">
        <w:rPr>
          <w:rFonts w:ascii="Arial" w:hAnsi="Arial" w:cs="Arial"/>
          <w:b/>
          <w:bCs/>
          <w:sz w:val="24"/>
          <w:szCs w:val="24"/>
        </w:rPr>
        <w:t>TO.-</w:t>
      </w:r>
      <w:r w:rsidR="007E6300">
        <w:rPr>
          <w:rFonts w:ascii="Arial" w:hAnsi="Arial" w:cs="Arial"/>
          <w:bCs/>
          <w:sz w:val="24"/>
          <w:szCs w:val="24"/>
        </w:rPr>
        <w:t xml:space="preserve"> Remítase copia a la </w:t>
      </w:r>
      <w:r w:rsidR="007E6300" w:rsidRPr="00CE0720">
        <w:rPr>
          <w:rFonts w:ascii="Arial" w:hAnsi="Arial" w:cs="Arial"/>
          <w:b/>
          <w:bCs/>
          <w:sz w:val="24"/>
          <w:szCs w:val="24"/>
        </w:rPr>
        <w:t>AUDITORÍA SUPE</w:t>
      </w:r>
      <w:r w:rsidR="00CE0720">
        <w:rPr>
          <w:rFonts w:ascii="Arial" w:hAnsi="Arial" w:cs="Arial"/>
          <w:b/>
          <w:bCs/>
          <w:sz w:val="24"/>
          <w:szCs w:val="24"/>
        </w:rPr>
        <w:t>R</w:t>
      </w:r>
      <w:r w:rsidR="007E6300" w:rsidRPr="00CE0720">
        <w:rPr>
          <w:rFonts w:ascii="Arial" w:hAnsi="Arial" w:cs="Arial"/>
          <w:b/>
          <w:bCs/>
          <w:sz w:val="24"/>
          <w:szCs w:val="24"/>
        </w:rPr>
        <w:t>IOR DEL ESTADO DE NUEVO LEÓN</w:t>
      </w:r>
      <w:r w:rsidR="007E6300">
        <w:rPr>
          <w:rFonts w:ascii="Arial" w:hAnsi="Arial" w:cs="Arial"/>
          <w:bCs/>
          <w:sz w:val="24"/>
          <w:szCs w:val="24"/>
        </w:rPr>
        <w:t xml:space="preserve"> y a</w:t>
      </w:r>
      <w:r w:rsidR="006C2B1B">
        <w:rPr>
          <w:rFonts w:ascii="Arial" w:hAnsi="Arial" w:cs="Arial"/>
          <w:bCs/>
          <w:sz w:val="24"/>
          <w:szCs w:val="24"/>
        </w:rPr>
        <w:t>l</w:t>
      </w:r>
      <w:r w:rsidR="000334DF">
        <w:rPr>
          <w:rFonts w:ascii="Arial" w:hAnsi="Arial" w:cs="Arial"/>
          <w:bCs/>
          <w:sz w:val="24"/>
          <w:szCs w:val="24"/>
        </w:rPr>
        <w:t xml:space="preserve"> </w:t>
      </w:r>
      <w:r w:rsidR="000334DF">
        <w:rPr>
          <w:rFonts w:ascii="Arial" w:hAnsi="Arial" w:cs="Arial"/>
          <w:b/>
          <w:bCs/>
          <w:sz w:val="24"/>
          <w:szCs w:val="24"/>
        </w:rPr>
        <w:t>INSTITUTO DE INNOVACIÓN Y TRANSFERENCIA DE TECNOLOGÍA DE NUEVO LEÓN</w:t>
      </w:r>
      <w:r w:rsidR="00807DB8">
        <w:rPr>
          <w:rFonts w:ascii="Arial" w:hAnsi="Arial" w:cs="Arial"/>
          <w:b/>
          <w:bCs/>
          <w:sz w:val="24"/>
          <w:szCs w:val="24"/>
        </w:rPr>
        <w:t>,</w:t>
      </w:r>
      <w:r w:rsidR="007E6300">
        <w:rPr>
          <w:rFonts w:ascii="Arial" w:hAnsi="Arial" w:cs="Arial"/>
          <w:bCs/>
          <w:sz w:val="24"/>
          <w:szCs w:val="24"/>
        </w:rPr>
        <w:t xml:space="preserve"> para su conocimiento y efectos legales a que haya lugar.</w:t>
      </w:r>
    </w:p>
    <w:p w:rsidR="009A7A82" w:rsidRPr="009A7A82" w:rsidRDefault="009A7A82" w:rsidP="009A7A82">
      <w:pPr>
        <w:spacing w:line="360" w:lineRule="auto"/>
        <w:ind w:firstLine="709"/>
        <w:jc w:val="both"/>
        <w:rPr>
          <w:rFonts w:ascii="Arial" w:hAnsi="Arial" w:cs="Arial"/>
          <w:bCs/>
          <w:sz w:val="24"/>
          <w:szCs w:val="24"/>
        </w:rPr>
      </w:pPr>
    </w:p>
    <w:p w:rsidR="009C0345" w:rsidRPr="007F749B" w:rsidRDefault="006743D1" w:rsidP="000A10A8">
      <w:pPr>
        <w:spacing w:after="0"/>
        <w:jc w:val="center"/>
        <w:rPr>
          <w:rFonts w:ascii="Arial" w:hAnsi="Arial" w:cs="Arial"/>
        </w:rPr>
      </w:pPr>
      <w:r>
        <w:rPr>
          <w:rFonts w:ascii="Arial" w:hAnsi="Arial" w:cs="Arial"/>
          <w:b/>
          <w:bCs/>
        </w:rPr>
        <w:lastRenderedPageBreak/>
        <w:t>MONTERREY</w:t>
      </w:r>
      <w:r w:rsidR="009C0345" w:rsidRPr="007F749B">
        <w:rPr>
          <w:rFonts w:ascii="Arial" w:hAnsi="Arial" w:cs="Arial"/>
          <w:b/>
          <w:bCs/>
        </w:rPr>
        <w:t xml:space="preserve"> NUEVO LEÓN</w:t>
      </w:r>
      <w:r>
        <w:rPr>
          <w:rFonts w:ascii="Arial" w:hAnsi="Arial" w:cs="Arial"/>
          <w:b/>
          <w:bCs/>
        </w:rPr>
        <w:t xml:space="preserve"> </w:t>
      </w:r>
      <w:r w:rsidR="009C0345" w:rsidRPr="007F749B">
        <w:rPr>
          <w:rFonts w:ascii="Arial" w:hAnsi="Arial" w:cs="Arial"/>
        </w:rPr>
        <w:t xml:space="preserve"> </w:t>
      </w:r>
    </w:p>
    <w:p w:rsidR="0037791A" w:rsidRPr="00FE07C7" w:rsidRDefault="0037791A" w:rsidP="000A10A8">
      <w:pPr>
        <w:pStyle w:val="Ttulo1"/>
        <w:spacing w:line="276" w:lineRule="auto"/>
        <w:rPr>
          <w:rFonts w:ascii="Arial" w:hAnsi="Arial" w:cs="Arial"/>
          <w:b/>
          <w:sz w:val="22"/>
          <w:szCs w:val="22"/>
          <w:u w:val="none"/>
        </w:rPr>
      </w:pPr>
      <w:r w:rsidRPr="00FE07C7">
        <w:rPr>
          <w:rFonts w:ascii="Arial" w:hAnsi="Arial" w:cs="Arial"/>
          <w:b/>
          <w:sz w:val="22"/>
          <w:szCs w:val="22"/>
          <w:u w:val="none"/>
        </w:rPr>
        <w:t>COMISIÓN DE HACIENDA DEL ESTADO</w:t>
      </w:r>
    </w:p>
    <w:p w:rsidR="009A7A82" w:rsidRDefault="009A7A82" w:rsidP="009A7A82">
      <w:pPr>
        <w:rPr>
          <w:lang w:val="es-ES_tradnl" w:eastAsia="ar-SA"/>
        </w:rPr>
      </w:pPr>
    </w:p>
    <w:p w:rsidR="00DA33F0" w:rsidRPr="009A7A82" w:rsidRDefault="00DA33F0" w:rsidP="009A7A82">
      <w:pPr>
        <w:rPr>
          <w:lang w:val="es-ES_tradnl" w:eastAsia="ar-SA"/>
        </w:rPr>
      </w:pPr>
    </w:p>
    <w:p w:rsidR="002E7DEF" w:rsidRDefault="00101ABB" w:rsidP="00F072A9">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r w:rsidR="0037791A">
        <w:rPr>
          <w:rFonts w:ascii="Arial" w:hAnsi="Arial" w:cs="Arial"/>
          <w:b/>
          <w:lang w:val="es-ES_tradnl"/>
        </w:rPr>
        <w:t>:</w:t>
      </w:r>
    </w:p>
    <w:p w:rsidR="002E7DEF" w:rsidRDefault="002E7DEF" w:rsidP="002E7DEF">
      <w:pPr>
        <w:pStyle w:val="Body1"/>
        <w:widowControl w:val="0"/>
        <w:tabs>
          <w:tab w:val="left" w:pos="3828"/>
        </w:tabs>
        <w:suppressAutoHyphens/>
        <w:spacing w:after="120" w:line="360" w:lineRule="auto"/>
        <w:jc w:val="center"/>
        <w:rPr>
          <w:rFonts w:ascii="Arial" w:hAnsi="Arial" w:cs="Arial"/>
          <w:b/>
          <w:sz w:val="22"/>
          <w:lang w:val="es-ES_tradnl"/>
        </w:rPr>
      </w:pPr>
    </w:p>
    <w:p w:rsidR="00760233" w:rsidRDefault="00760233" w:rsidP="002E7DEF">
      <w:pPr>
        <w:pStyle w:val="Body1"/>
        <w:widowControl w:val="0"/>
        <w:tabs>
          <w:tab w:val="left" w:pos="3828"/>
        </w:tabs>
        <w:suppressAutoHyphens/>
        <w:spacing w:after="120" w:line="360" w:lineRule="auto"/>
        <w:jc w:val="center"/>
        <w:rPr>
          <w:rFonts w:ascii="Arial" w:hAnsi="Arial" w:cs="Arial"/>
          <w:b/>
          <w:sz w:val="22"/>
          <w:lang w:val="es-ES_tradnl"/>
        </w:rPr>
      </w:pPr>
    </w:p>
    <w:p w:rsidR="00101ABB" w:rsidRDefault="00101ABB" w:rsidP="00101ABB">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SALAZAR</w:t>
      </w:r>
    </w:p>
    <w:p w:rsidR="00101ABB" w:rsidRDefault="00101ABB" w:rsidP="00101ABB">
      <w:pPr>
        <w:jc w:val="center"/>
        <w:outlineLvl w:val="0"/>
        <w:rPr>
          <w:rFonts w:ascii="Arial" w:eastAsia="Arial Unicode MS" w:hAnsi="Arial" w:cs="Arial"/>
          <w:smallCaps/>
          <w:color w:val="000000"/>
          <w:lang w:val="es-MX"/>
        </w:rPr>
      </w:pPr>
    </w:p>
    <w:tbl>
      <w:tblPr>
        <w:tblW w:w="0" w:type="auto"/>
        <w:jc w:val="center"/>
        <w:tblLayout w:type="fixed"/>
        <w:tblLook w:val="04A0" w:firstRow="1" w:lastRow="0" w:firstColumn="1" w:lastColumn="0" w:noHBand="0" w:noVBand="1"/>
      </w:tblPr>
      <w:tblGrid>
        <w:gridCol w:w="4322"/>
        <w:gridCol w:w="4322"/>
      </w:tblGrid>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KARINA MARLENE BARRÓN PERALES</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040A53" w:rsidRDefault="00040A53" w:rsidP="005F4540">
            <w:pP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 xml:space="preserve">JOSÉ ARTURO SALINAS GARZA </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MARCO ANTONIO GONZÁLEZ VALDEZ</w:t>
            </w:r>
            <w:r>
              <w:rPr>
                <w:rFonts w:ascii="Arial" w:eastAsia="Arial Unicode MS" w:hAnsi="Arial" w:cs="Arial"/>
                <w:color w:val="000000"/>
                <w:lang w:val="es-MX"/>
              </w:rPr>
              <w:t xml:space="preserve">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SERGIO ARELLANO BALDERAS</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w:t>
            </w:r>
            <w:r w:rsidR="006C2B1B">
              <w:rPr>
                <w:rFonts w:ascii="Arial" w:eastAsia="Arial Unicode MS" w:hAnsi="Arial" w:cs="Arial"/>
                <w:color w:val="000000"/>
                <w:lang w:val="it-IT"/>
              </w:rPr>
              <w:t xml:space="preserve">JUAN FRANCISCO ESPINOZA EGUÍA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LAURA PAULA LÓPEZ SÁNCHEZ</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 xml:space="preserve">MARCELO MARTÍNEZ VILLARREAL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040A53" w:rsidRDefault="00040A53" w:rsidP="005F4540">
            <w:pPr>
              <w:jc w:val="center"/>
              <w:outlineLvl w:val="0"/>
              <w:rPr>
                <w:rFonts w:ascii="Arial" w:eastAsia="Arial Unicode MS" w:hAnsi="Arial" w:cs="Arial"/>
                <w:b/>
                <w:color w:val="000000"/>
                <w:lang w:val="it-IT"/>
              </w:rPr>
            </w:pPr>
          </w:p>
          <w:p w:rsidR="00040A53" w:rsidRDefault="00040A53" w:rsidP="005F4540">
            <w:pPr>
              <w:outlineLvl w:val="0"/>
              <w:rPr>
                <w:rFonts w:ascii="Arial" w:eastAsia="Arial Unicode MS" w:hAnsi="Arial" w:cs="Arial"/>
                <w:b/>
                <w:color w:val="000000"/>
                <w:lang w:val="it-IT"/>
              </w:rPr>
            </w:pPr>
          </w:p>
          <w:p w:rsidR="00040A53" w:rsidRDefault="00040A53" w:rsidP="006C2B1B">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w:t>
            </w:r>
            <w:r w:rsidR="006C2B1B">
              <w:rPr>
                <w:rFonts w:ascii="Arial" w:eastAsia="Arial Unicode MS" w:hAnsi="Arial" w:cs="Arial"/>
                <w:color w:val="000000"/>
                <w:lang w:val="it-IT"/>
              </w:rPr>
              <w:t>MARCOS MENDOZA VÁZQUEZ</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SAMUEL ALEJANDRO GARCÍA SEPÚLVEDA</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COSME JULIÁN LEAL CANTÚ</w:t>
            </w:r>
          </w:p>
        </w:tc>
      </w:tr>
    </w:tbl>
    <w:p w:rsidR="00040A53" w:rsidRDefault="00040A53" w:rsidP="00040A53"/>
    <w:p w:rsidR="00A62781" w:rsidRPr="009C0345" w:rsidRDefault="00A62781" w:rsidP="0037791A">
      <w:pPr>
        <w:spacing w:line="360" w:lineRule="auto"/>
        <w:ind w:right="-357"/>
        <w:jc w:val="center"/>
      </w:pPr>
      <w:bookmarkStart w:id="0" w:name="_GoBack"/>
      <w:bookmarkEnd w:id="0"/>
    </w:p>
    <w:sectPr w:rsidR="00A62781" w:rsidRPr="009C0345" w:rsidSect="002B6869">
      <w:footerReference w:type="default" r:id="rId27"/>
      <w:pgSz w:w="12242" w:h="15842" w:code="1"/>
      <w:pgMar w:top="3799" w:right="851" w:bottom="1418" w:left="3062"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7C0" w:rsidRDefault="009527C0" w:rsidP="005003EB">
      <w:pPr>
        <w:spacing w:after="0" w:line="240" w:lineRule="auto"/>
      </w:pPr>
      <w:r>
        <w:separator/>
      </w:r>
    </w:p>
  </w:endnote>
  <w:endnote w:type="continuationSeparator" w:id="0">
    <w:p w:rsidR="009527C0" w:rsidRDefault="009527C0"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0B3" w:rsidRPr="0088072B" w:rsidRDefault="000130B3">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2B6869">
      <w:rPr>
        <w:rFonts w:ascii="Century Gothic" w:hAnsi="Century Gothic"/>
        <w:noProof/>
        <w:sz w:val="20"/>
        <w:szCs w:val="20"/>
      </w:rPr>
      <w:t>45</w:t>
    </w:r>
    <w:r w:rsidRPr="0088072B">
      <w:rPr>
        <w:rFonts w:ascii="Century Gothic" w:hAnsi="Century Gothic"/>
        <w:sz w:val="20"/>
        <w:szCs w:val="20"/>
      </w:rPr>
      <w:fldChar w:fldCharType="end"/>
    </w:r>
  </w:p>
  <w:p w:rsidR="000130B3" w:rsidRPr="00513CE9" w:rsidRDefault="000130B3" w:rsidP="007E057C">
    <w:pPr>
      <w:pStyle w:val="Piedepgina"/>
      <w:jc w:val="center"/>
      <w:rPr>
        <w:rFonts w:ascii="Arial" w:hAnsi="Arial" w:cs="Arial"/>
        <w:sz w:val="14"/>
        <w:szCs w:val="14"/>
      </w:rPr>
    </w:pPr>
    <w:r w:rsidRPr="00513CE9">
      <w:rPr>
        <w:rFonts w:ascii="Arial" w:hAnsi="Arial" w:cs="Arial"/>
        <w:sz w:val="14"/>
        <w:szCs w:val="14"/>
      </w:rPr>
      <w:t>Comisión de Hacienda del Estado</w:t>
    </w:r>
    <w:r>
      <w:rPr>
        <w:rFonts w:ascii="Arial" w:hAnsi="Arial" w:cs="Arial"/>
        <w:sz w:val="14"/>
        <w:szCs w:val="14"/>
      </w:rPr>
      <w:t xml:space="preserve"> </w:t>
    </w:r>
  </w:p>
  <w:p w:rsidR="000130B3" w:rsidRPr="00513CE9" w:rsidRDefault="000130B3" w:rsidP="007E057C">
    <w:pPr>
      <w:pStyle w:val="Piedepgina"/>
      <w:jc w:val="center"/>
      <w:rPr>
        <w:rFonts w:ascii="Century Gothic" w:hAnsi="Century Gothic"/>
        <w:sz w:val="14"/>
        <w:szCs w:val="14"/>
      </w:rPr>
    </w:pPr>
    <w:r>
      <w:rPr>
        <w:rFonts w:ascii="Arial" w:hAnsi="Arial" w:cs="Arial"/>
        <w:sz w:val="14"/>
        <w:szCs w:val="14"/>
      </w:rPr>
      <w:t>Dictamen del Expedient</w:t>
    </w:r>
    <w:r w:rsidR="008E5A5B">
      <w:rPr>
        <w:rFonts w:ascii="Arial" w:hAnsi="Arial" w:cs="Arial"/>
        <w:sz w:val="14"/>
        <w:szCs w:val="14"/>
      </w:rPr>
      <w:t>e 10445/LXXIV Cuenta Pública 2015</w:t>
    </w:r>
    <w:r w:rsidRPr="00513CE9">
      <w:rPr>
        <w:rFonts w:ascii="Arial" w:hAnsi="Arial" w:cs="Arial"/>
        <w:sz w:val="14"/>
        <w:szCs w:val="14"/>
      </w:rPr>
      <w:t xml:space="preserve"> de</w:t>
    </w:r>
    <w:r>
      <w:rPr>
        <w:rFonts w:ascii="Arial" w:hAnsi="Arial" w:cs="Arial"/>
        <w:sz w:val="14"/>
        <w:szCs w:val="14"/>
      </w:rPr>
      <w:t>l Instituto de Innovación y Transferencia de Tecnología de Nuevo León.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7C0" w:rsidRDefault="009527C0" w:rsidP="005003EB">
      <w:pPr>
        <w:spacing w:after="0" w:line="240" w:lineRule="auto"/>
      </w:pPr>
      <w:r>
        <w:separator/>
      </w:r>
    </w:p>
  </w:footnote>
  <w:footnote w:type="continuationSeparator" w:id="0">
    <w:p w:rsidR="009527C0" w:rsidRDefault="009527C0"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5F7"/>
    <w:multiLevelType w:val="hybridMultilevel"/>
    <w:tmpl w:val="16588EA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D1DB5"/>
    <w:multiLevelType w:val="hybridMultilevel"/>
    <w:tmpl w:val="6BAAF4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2314D66"/>
    <w:multiLevelType w:val="hybridMultilevel"/>
    <w:tmpl w:val="5A7EF7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8108DD"/>
    <w:multiLevelType w:val="hybridMultilevel"/>
    <w:tmpl w:val="BED6CC70"/>
    <w:lvl w:ilvl="0" w:tplc="50068098">
      <w:start w:val="1"/>
      <w:numFmt w:val="upperRoman"/>
      <w:lvlText w:val="%1."/>
      <w:lvlJc w:val="left"/>
      <w:pPr>
        <w:ind w:left="720" w:hanging="360"/>
      </w:pPr>
      <w:rPr>
        <w:rFonts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0A1A6F"/>
    <w:multiLevelType w:val="hybridMultilevel"/>
    <w:tmpl w:val="32B835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651839"/>
    <w:multiLevelType w:val="hybridMultilevel"/>
    <w:tmpl w:val="F5C4075A"/>
    <w:lvl w:ilvl="0" w:tplc="EA988920">
      <w:start w:val="6"/>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7E3567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AB77188"/>
    <w:multiLevelType w:val="hybridMultilevel"/>
    <w:tmpl w:val="2996A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11383C"/>
    <w:multiLevelType w:val="hybridMultilevel"/>
    <w:tmpl w:val="294250C8"/>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2E773D99"/>
    <w:multiLevelType w:val="hybridMultilevel"/>
    <w:tmpl w:val="901E3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686AB1"/>
    <w:multiLevelType w:val="hybridMultilevel"/>
    <w:tmpl w:val="B7782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FE539B"/>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DD0EFC"/>
    <w:multiLevelType w:val="hybridMultilevel"/>
    <w:tmpl w:val="14D6BE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1055CC"/>
    <w:multiLevelType w:val="hybridMultilevel"/>
    <w:tmpl w:val="E7CAB31A"/>
    <w:lvl w:ilvl="0" w:tplc="080A0005">
      <w:start w:val="1"/>
      <w:numFmt w:val="bullet"/>
      <w:lvlText w:val=""/>
      <w:lvlJc w:val="left"/>
      <w:pPr>
        <w:ind w:left="790" w:hanging="360"/>
      </w:pPr>
      <w:rPr>
        <w:rFonts w:ascii="Wingdings" w:hAnsi="Wingdings"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20"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5C6C62"/>
    <w:multiLevelType w:val="hybridMultilevel"/>
    <w:tmpl w:val="DD62B458"/>
    <w:lvl w:ilvl="0" w:tplc="2982E05A">
      <w:start w:val="1"/>
      <w:numFmt w:val="upperRoman"/>
      <w:lvlText w:val="%1."/>
      <w:lvlJc w:val="right"/>
      <w:pPr>
        <w:ind w:left="3550" w:hanging="360"/>
      </w:pPr>
      <w:rPr>
        <w:color w:val="auto"/>
      </w:rPr>
    </w:lvl>
    <w:lvl w:ilvl="1" w:tplc="080A0019" w:tentative="1">
      <w:start w:val="1"/>
      <w:numFmt w:val="lowerLetter"/>
      <w:lvlText w:val="%2."/>
      <w:lvlJc w:val="left"/>
      <w:pPr>
        <w:ind w:left="4270" w:hanging="360"/>
      </w:pPr>
    </w:lvl>
    <w:lvl w:ilvl="2" w:tplc="080A001B" w:tentative="1">
      <w:start w:val="1"/>
      <w:numFmt w:val="lowerRoman"/>
      <w:lvlText w:val="%3."/>
      <w:lvlJc w:val="right"/>
      <w:pPr>
        <w:ind w:left="4990" w:hanging="180"/>
      </w:pPr>
    </w:lvl>
    <w:lvl w:ilvl="3" w:tplc="080A000F" w:tentative="1">
      <w:start w:val="1"/>
      <w:numFmt w:val="decimal"/>
      <w:lvlText w:val="%4."/>
      <w:lvlJc w:val="left"/>
      <w:pPr>
        <w:ind w:left="5710" w:hanging="360"/>
      </w:pPr>
    </w:lvl>
    <w:lvl w:ilvl="4" w:tplc="080A0019" w:tentative="1">
      <w:start w:val="1"/>
      <w:numFmt w:val="lowerLetter"/>
      <w:lvlText w:val="%5."/>
      <w:lvlJc w:val="left"/>
      <w:pPr>
        <w:ind w:left="6430" w:hanging="360"/>
      </w:pPr>
    </w:lvl>
    <w:lvl w:ilvl="5" w:tplc="080A001B" w:tentative="1">
      <w:start w:val="1"/>
      <w:numFmt w:val="lowerRoman"/>
      <w:lvlText w:val="%6."/>
      <w:lvlJc w:val="right"/>
      <w:pPr>
        <w:ind w:left="7150" w:hanging="180"/>
      </w:pPr>
    </w:lvl>
    <w:lvl w:ilvl="6" w:tplc="080A000F" w:tentative="1">
      <w:start w:val="1"/>
      <w:numFmt w:val="decimal"/>
      <w:lvlText w:val="%7."/>
      <w:lvlJc w:val="left"/>
      <w:pPr>
        <w:ind w:left="7870" w:hanging="360"/>
      </w:pPr>
    </w:lvl>
    <w:lvl w:ilvl="7" w:tplc="080A0019" w:tentative="1">
      <w:start w:val="1"/>
      <w:numFmt w:val="lowerLetter"/>
      <w:lvlText w:val="%8."/>
      <w:lvlJc w:val="left"/>
      <w:pPr>
        <w:ind w:left="8590" w:hanging="360"/>
      </w:pPr>
    </w:lvl>
    <w:lvl w:ilvl="8" w:tplc="080A001B" w:tentative="1">
      <w:start w:val="1"/>
      <w:numFmt w:val="lowerRoman"/>
      <w:lvlText w:val="%9."/>
      <w:lvlJc w:val="right"/>
      <w:pPr>
        <w:ind w:left="9310" w:hanging="180"/>
      </w:pPr>
    </w:lvl>
  </w:abstractNum>
  <w:abstractNum w:abstractNumId="23" w15:restartNumberingAfterBreak="0">
    <w:nsid w:val="4B134AC7"/>
    <w:multiLevelType w:val="hybridMultilevel"/>
    <w:tmpl w:val="796EEE5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C482B48"/>
    <w:multiLevelType w:val="hybridMultilevel"/>
    <w:tmpl w:val="8A5A2560"/>
    <w:lvl w:ilvl="0" w:tplc="D958B9D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CF52BB"/>
    <w:multiLevelType w:val="hybridMultilevel"/>
    <w:tmpl w:val="811ECB72"/>
    <w:lvl w:ilvl="0" w:tplc="92ECCA3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0EC30FC"/>
    <w:multiLevelType w:val="hybridMultilevel"/>
    <w:tmpl w:val="AEC8A366"/>
    <w:lvl w:ilvl="0" w:tplc="5D7EFF88">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B671EE"/>
    <w:multiLevelType w:val="hybridMultilevel"/>
    <w:tmpl w:val="4768D418"/>
    <w:lvl w:ilvl="0" w:tplc="22A0C53C">
      <w:start w:val="1"/>
      <w:numFmt w:val="upperLetter"/>
      <w:lvlText w:val="%1."/>
      <w:lvlJc w:val="lef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61D5B2F"/>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155C8F"/>
    <w:multiLevelType w:val="hybridMultilevel"/>
    <w:tmpl w:val="EBE2CD40"/>
    <w:lvl w:ilvl="0" w:tplc="9E908536">
      <w:start w:val="1"/>
      <w:numFmt w:val="lowerLetter"/>
      <w:lvlText w:val="%1)"/>
      <w:lvlJc w:val="left"/>
      <w:pPr>
        <w:ind w:left="470" w:hanging="360"/>
      </w:pPr>
      <w:rPr>
        <w:rFonts w:hint="default"/>
        <w:b/>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32"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33" w15:restartNumberingAfterBreak="0">
    <w:nsid w:val="66103F4E"/>
    <w:multiLevelType w:val="hybridMultilevel"/>
    <w:tmpl w:val="37AAF8A0"/>
    <w:lvl w:ilvl="0" w:tplc="BD0889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DB3538"/>
    <w:multiLevelType w:val="hybridMultilevel"/>
    <w:tmpl w:val="E530F7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1844C7"/>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8F3A3D"/>
    <w:multiLevelType w:val="hybridMultilevel"/>
    <w:tmpl w:val="D222E2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B0B5B97"/>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195341E"/>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3F24DF5"/>
    <w:multiLevelType w:val="hybridMultilevel"/>
    <w:tmpl w:val="4994245C"/>
    <w:lvl w:ilvl="0" w:tplc="D590A1BC">
      <w:start w:val="1"/>
      <w:numFmt w:val="bullet"/>
      <w:lvlText w:val="-"/>
      <w:lvlJc w:val="left"/>
      <w:pPr>
        <w:ind w:left="1080" w:hanging="360"/>
      </w:pPr>
      <w:rPr>
        <w:rFonts w:ascii="Arial" w:eastAsia="Calibr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40" w15:restartNumberingAfterBreak="0">
    <w:nsid w:val="7447089E"/>
    <w:multiLevelType w:val="hybridMultilevel"/>
    <w:tmpl w:val="0DCA4FA2"/>
    <w:lvl w:ilvl="0" w:tplc="D75A357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B3367D"/>
    <w:multiLevelType w:val="hybridMultilevel"/>
    <w:tmpl w:val="CA0A8570"/>
    <w:lvl w:ilvl="0" w:tplc="81004926">
      <w:start w:val="1"/>
      <w:numFmt w:val="upperLetter"/>
      <w:lvlText w:val="%1)"/>
      <w:lvlJc w:val="left"/>
      <w:pPr>
        <w:ind w:left="720" w:hanging="360"/>
      </w:pPr>
      <w:rPr>
        <w:color w:val="808080" w:themeColor="background1" w:themeShade="8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7C477424"/>
    <w:multiLevelType w:val="hybridMultilevel"/>
    <w:tmpl w:val="FD3800A8"/>
    <w:lvl w:ilvl="0" w:tplc="95AC7996">
      <w:start w:val="6"/>
      <w:numFmt w:val="upperRoman"/>
      <w:lvlText w:val="%1."/>
      <w:lvlJc w:val="right"/>
      <w:pPr>
        <w:ind w:left="720" w:hanging="360"/>
      </w:pPr>
      <w:rPr>
        <w:rFonts w:ascii="Arial" w:hAnsi="Arial" w:cs="Arial"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2"/>
  </w:num>
  <w:num w:numId="2">
    <w:abstractNumId w:val="21"/>
  </w:num>
  <w:num w:numId="3">
    <w:abstractNumId w:val="5"/>
  </w:num>
  <w:num w:numId="4">
    <w:abstractNumId w:val="4"/>
  </w:num>
  <w:num w:numId="5">
    <w:abstractNumId w:val="6"/>
  </w:num>
  <w:num w:numId="6">
    <w:abstractNumId w:val="17"/>
  </w:num>
  <w:num w:numId="7">
    <w:abstractNumId w:val="20"/>
  </w:num>
  <w:num w:numId="8">
    <w:abstractNumId w:val="16"/>
  </w:num>
  <w:num w:numId="9">
    <w:abstractNumId w:val="23"/>
  </w:num>
  <w:num w:numId="10">
    <w:abstractNumId w:val="27"/>
  </w:num>
  <w:num w:numId="11">
    <w:abstractNumId w:val="29"/>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0"/>
  </w:num>
  <w:num w:numId="15">
    <w:abstractNumId w:val="0"/>
  </w:num>
  <w:num w:numId="16">
    <w:abstractNumId w:val="10"/>
  </w:num>
  <w:num w:numId="17">
    <w:abstractNumId w:val="28"/>
  </w:num>
  <w:num w:numId="18">
    <w:abstractNumId w:val="36"/>
  </w:num>
  <w:num w:numId="19">
    <w:abstractNumId w:val="8"/>
  </w:num>
  <w:num w:numId="20">
    <w:abstractNumId w:val="24"/>
  </w:num>
  <w:num w:numId="21">
    <w:abstractNumId w:val="13"/>
  </w:num>
  <w:num w:numId="22">
    <w:abstractNumId w:val="25"/>
  </w:num>
  <w:num w:numId="23">
    <w:abstractNumId w:val="14"/>
  </w:num>
  <w:num w:numId="24">
    <w:abstractNumId w:val="31"/>
  </w:num>
  <w:num w:numId="25">
    <w:abstractNumId w:val="37"/>
  </w:num>
  <w:num w:numId="26">
    <w:abstractNumId w:val="3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19"/>
  </w:num>
  <w:num w:numId="35">
    <w:abstractNumId w:val="9"/>
  </w:num>
  <w:num w:numId="36">
    <w:abstractNumId w:val="18"/>
  </w:num>
  <w:num w:numId="37">
    <w:abstractNumId w:val="7"/>
  </w:num>
  <w:num w:numId="38">
    <w:abstractNumId w:val="35"/>
  </w:num>
  <w:num w:numId="39">
    <w:abstractNumId w:val="2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2"/>
  </w:num>
  <w:num w:numId="43">
    <w:abstractNumId w:val="34"/>
  </w:num>
  <w:num w:numId="44">
    <w:abstractNumId w:val="11"/>
  </w:num>
  <w:num w:numId="4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1A7A"/>
    <w:rsid w:val="00006469"/>
    <w:rsid w:val="00010F14"/>
    <w:rsid w:val="00011D4F"/>
    <w:rsid w:val="000126BE"/>
    <w:rsid w:val="000130B3"/>
    <w:rsid w:val="00013B36"/>
    <w:rsid w:val="00014672"/>
    <w:rsid w:val="00014756"/>
    <w:rsid w:val="000209D9"/>
    <w:rsid w:val="00022C35"/>
    <w:rsid w:val="00024100"/>
    <w:rsid w:val="00024BFE"/>
    <w:rsid w:val="000270BA"/>
    <w:rsid w:val="00030357"/>
    <w:rsid w:val="00030696"/>
    <w:rsid w:val="00030F07"/>
    <w:rsid w:val="000334DF"/>
    <w:rsid w:val="00035CE3"/>
    <w:rsid w:val="00036186"/>
    <w:rsid w:val="000367DD"/>
    <w:rsid w:val="000405DF"/>
    <w:rsid w:val="00040A53"/>
    <w:rsid w:val="00040D81"/>
    <w:rsid w:val="00044ADF"/>
    <w:rsid w:val="00046A7F"/>
    <w:rsid w:val="00047CCC"/>
    <w:rsid w:val="00050916"/>
    <w:rsid w:val="00051286"/>
    <w:rsid w:val="000522D8"/>
    <w:rsid w:val="00055486"/>
    <w:rsid w:val="00056BF6"/>
    <w:rsid w:val="0005714F"/>
    <w:rsid w:val="00057B3D"/>
    <w:rsid w:val="00062E13"/>
    <w:rsid w:val="00063CBA"/>
    <w:rsid w:val="00064961"/>
    <w:rsid w:val="00070F66"/>
    <w:rsid w:val="00072102"/>
    <w:rsid w:val="00073E2A"/>
    <w:rsid w:val="00074ACC"/>
    <w:rsid w:val="0007518A"/>
    <w:rsid w:val="0007621A"/>
    <w:rsid w:val="00076EBE"/>
    <w:rsid w:val="00080EC4"/>
    <w:rsid w:val="000812FC"/>
    <w:rsid w:val="000813D2"/>
    <w:rsid w:val="00081AFE"/>
    <w:rsid w:val="00084A4D"/>
    <w:rsid w:val="00085061"/>
    <w:rsid w:val="0008573C"/>
    <w:rsid w:val="000867B2"/>
    <w:rsid w:val="00087527"/>
    <w:rsid w:val="00092263"/>
    <w:rsid w:val="00093131"/>
    <w:rsid w:val="00093C5B"/>
    <w:rsid w:val="00094BA8"/>
    <w:rsid w:val="00096111"/>
    <w:rsid w:val="000A10A8"/>
    <w:rsid w:val="000A2518"/>
    <w:rsid w:val="000A2DE6"/>
    <w:rsid w:val="000A4374"/>
    <w:rsid w:val="000A59BF"/>
    <w:rsid w:val="000A63E0"/>
    <w:rsid w:val="000A6C73"/>
    <w:rsid w:val="000A6FDF"/>
    <w:rsid w:val="000B16E4"/>
    <w:rsid w:val="000B2E4E"/>
    <w:rsid w:val="000B3778"/>
    <w:rsid w:val="000B516E"/>
    <w:rsid w:val="000C002B"/>
    <w:rsid w:val="000C02F1"/>
    <w:rsid w:val="000C03A1"/>
    <w:rsid w:val="000C1023"/>
    <w:rsid w:val="000C18C6"/>
    <w:rsid w:val="000C1977"/>
    <w:rsid w:val="000C2061"/>
    <w:rsid w:val="000C2D6F"/>
    <w:rsid w:val="000C3A06"/>
    <w:rsid w:val="000C5991"/>
    <w:rsid w:val="000C676C"/>
    <w:rsid w:val="000D34D5"/>
    <w:rsid w:val="000D5EEA"/>
    <w:rsid w:val="000D7465"/>
    <w:rsid w:val="000D7680"/>
    <w:rsid w:val="000E00D7"/>
    <w:rsid w:val="000E3121"/>
    <w:rsid w:val="000E729A"/>
    <w:rsid w:val="000F1CE0"/>
    <w:rsid w:val="000F3F71"/>
    <w:rsid w:val="000F41AD"/>
    <w:rsid w:val="000F5448"/>
    <w:rsid w:val="000F5619"/>
    <w:rsid w:val="000F5D6E"/>
    <w:rsid w:val="00100351"/>
    <w:rsid w:val="00100C21"/>
    <w:rsid w:val="00100C4C"/>
    <w:rsid w:val="00101ABB"/>
    <w:rsid w:val="00102664"/>
    <w:rsid w:val="00102DB5"/>
    <w:rsid w:val="001042B4"/>
    <w:rsid w:val="00104468"/>
    <w:rsid w:val="00106FA7"/>
    <w:rsid w:val="0010753E"/>
    <w:rsid w:val="00114296"/>
    <w:rsid w:val="00117EB1"/>
    <w:rsid w:val="0012029B"/>
    <w:rsid w:val="00123C99"/>
    <w:rsid w:val="0012450B"/>
    <w:rsid w:val="00125A02"/>
    <w:rsid w:val="00127BEA"/>
    <w:rsid w:val="001307BE"/>
    <w:rsid w:val="00133BCB"/>
    <w:rsid w:val="00135504"/>
    <w:rsid w:val="00141D60"/>
    <w:rsid w:val="00141DEA"/>
    <w:rsid w:val="00141ED8"/>
    <w:rsid w:val="001432A0"/>
    <w:rsid w:val="001436C3"/>
    <w:rsid w:val="00143BB7"/>
    <w:rsid w:val="00143D85"/>
    <w:rsid w:val="00145515"/>
    <w:rsid w:val="00151E8C"/>
    <w:rsid w:val="00154BF5"/>
    <w:rsid w:val="00161467"/>
    <w:rsid w:val="001614FB"/>
    <w:rsid w:val="00162737"/>
    <w:rsid w:val="00164696"/>
    <w:rsid w:val="00164899"/>
    <w:rsid w:val="00165DF5"/>
    <w:rsid w:val="00167803"/>
    <w:rsid w:val="00171621"/>
    <w:rsid w:val="00182A12"/>
    <w:rsid w:val="00182FA2"/>
    <w:rsid w:val="00186CB2"/>
    <w:rsid w:val="00186DB7"/>
    <w:rsid w:val="00191679"/>
    <w:rsid w:val="001938B4"/>
    <w:rsid w:val="001938C2"/>
    <w:rsid w:val="00194242"/>
    <w:rsid w:val="001954A2"/>
    <w:rsid w:val="00195AE8"/>
    <w:rsid w:val="0019773E"/>
    <w:rsid w:val="001A0CAB"/>
    <w:rsid w:val="001A0F50"/>
    <w:rsid w:val="001A1313"/>
    <w:rsid w:val="001A1594"/>
    <w:rsid w:val="001A727A"/>
    <w:rsid w:val="001A7FB2"/>
    <w:rsid w:val="001B40AD"/>
    <w:rsid w:val="001B47DA"/>
    <w:rsid w:val="001B56BC"/>
    <w:rsid w:val="001B77AA"/>
    <w:rsid w:val="001B7FFE"/>
    <w:rsid w:val="001C071A"/>
    <w:rsid w:val="001C1F1F"/>
    <w:rsid w:val="001C4722"/>
    <w:rsid w:val="001C66A8"/>
    <w:rsid w:val="001C73B5"/>
    <w:rsid w:val="001C7975"/>
    <w:rsid w:val="001D253D"/>
    <w:rsid w:val="001D33E0"/>
    <w:rsid w:val="001D6082"/>
    <w:rsid w:val="001E20FC"/>
    <w:rsid w:val="001E40A5"/>
    <w:rsid w:val="001E476B"/>
    <w:rsid w:val="001E6EEF"/>
    <w:rsid w:val="001F1226"/>
    <w:rsid w:val="001F1771"/>
    <w:rsid w:val="001F1D27"/>
    <w:rsid w:val="001F24EF"/>
    <w:rsid w:val="001F35FE"/>
    <w:rsid w:val="001F3F56"/>
    <w:rsid w:val="001F4301"/>
    <w:rsid w:val="001F5858"/>
    <w:rsid w:val="001F60D3"/>
    <w:rsid w:val="001F7316"/>
    <w:rsid w:val="001F78E4"/>
    <w:rsid w:val="001F7B8F"/>
    <w:rsid w:val="0020008B"/>
    <w:rsid w:val="002021F3"/>
    <w:rsid w:val="00202FCC"/>
    <w:rsid w:val="00203F64"/>
    <w:rsid w:val="002040DB"/>
    <w:rsid w:val="00210C4F"/>
    <w:rsid w:val="002110F6"/>
    <w:rsid w:val="00211972"/>
    <w:rsid w:val="00212F0F"/>
    <w:rsid w:val="002144B3"/>
    <w:rsid w:val="0021623F"/>
    <w:rsid w:val="00216782"/>
    <w:rsid w:val="00217FA5"/>
    <w:rsid w:val="002201B9"/>
    <w:rsid w:val="00223FA0"/>
    <w:rsid w:val="002241F6"/>
    <w:rsid w:val="00225A52"/>
    <w:rsid w:val="00225E57"/>
    <w:rsid w:val="0022657A"/>
    <w:rsid w:val="002269E2"/>
    <w:rsid w:val="00230540"/>
    <w:rsid w:val="00232FA1"/>
    <w:rsid w:val="00233963"/>
    <w:rsid w:val="00236D72"/>
    <w:rsid w:val="00240932"/>
    <w:rsid w:val="00240A0A"/>
    <w:rsid w:val="00240EAD"/>
    <w:rsid w:val="00244602"/>
    <w:rsid w:val="00245BC8"/>
    <w:rsid w:val="00246651"/>
    <w:rsid w:val="00246C8D"/>
    <w:rsid w:val="00250112"/>
    <w:rsid w:val="00250B03"/>
    <w:rsid w:val="0025101A"/>
    <w:rsid w:val="0025124A"/>
    <w:rsid w:val="002520EE"/>
    <w:rsid w:val="002524E2"/>
    <w:rsid w:val="00252A36"/>
    <w:rsid w:val="00252CCD"/>
    <w:rsid w:val="00253A0F"/>
    <w:rsid w:val="0025547B"/>
    <w:rsid w:val="002558E4"/>
    <w:rsid w:val="00256831"/>
    <w:rsid w:val="00256905"/>
    <w:rsid w:val="0025754A"/>
    <w:rsid w:val="00257B06"/>
    <w:rsid w:val="00257D7E"/>
    <w:rsid w:val="00260AC1"/>
    <w:rsid w:val="00262FD5"/>
    <w:rsid w:val="002669EF"/>
    <w:rsid w:val="0027007A"/>
    <w:rsid w:val="00270E97"/>
    <w:rsid w:val="00272AA0"/>
    <w:rsid w:val="0027331D"/>
    <w:rsid w:val="00276558"/>
    <w:rsid w:val="002767DB"/>
    <w:rsid w:val="00282224"/>
    <w:rsid w:val="00283BB4"/>
    <w:rsid w:val="00285116"/>
    <w:rsid w:val="002877DC"/>
    <w:rsid w:val="002878EB"/>
    <w:rsid w:val="00290E33"/>
    <w:rsid w:val="00292A20"/>
    <w:rsid w:val="00295469"/>
    <w:rsid w:val="002959ED"/>
    <w:rsid w:val="00295C16"/>
    <w:rsid w:val="00297B3F"/>
    <w:rsid w:val="002A112F"/>
    <w:rsid w:val="002A19E9"/>
    <w:rsid w:val="002A2DD4"/>
    <w:rsid w:val="002A5B45"/>
    <w:rsid w:val="002A5FB3"/>
    <w:rsid w:val="002A623F"/>
    <w:rsid w:val="002A6802"/>
    <w:rsid w:val="002A7432"/>
    <w:rsid w:val="002A7822"/>
    <w:rsid w:val="002B1584"/>
    <w:rsid w:val="002B19EF"/>
    <w:rsid w:val="002B20E1"/>
    <w:rsid w:val="002B2D70"/>
    <w:rsid w:val="002B330B"/>
    <w:rsid w:val="002B4EA7"/>
    <w:rsid w:val="002B6026"/>
    <w:rsid w:val="002B6645"/>
    <w:rsid w:val="002B6869"/>
    <w:rsid w:val="002C07ED"/>
    <w:rsid w:val="002C13EF"/>
    <w:rsid w:val="002C31E1"/>
    <w:rsid w:val="002C3A6D"/>
    <w:rsid w:val="002C3FD6"/>
    <w:rsid w:val="002C41D0"/>
    <w:rsid w:val="002C57CD"/>
    <w:rsid w:val="002D3ADB"/>
    <w:rsid w:val="002D4A62"/>
    <w:rsid w:val="002D5294"/>
    <w:rsid w:val="002E49C6"/>
    <w:rsid w:val="002E6F5D"/>
    <w:rsid w:val="002E7A32"/>
    <w:rsid w:val="002E7DEF"/>
    <w:rsid w:val="002E7F5A"/>
    <w:rsid w:val="002F1915"/>
    <w:rsid w:val="002F2B6D"/>
    <w:rsid w:val="002F41EB"/>
    <w:rsid w:val="002F5C7D"/>
    <w:rsid w:val="002F6570"/>
    <w:rsid w:val="002F74ED"/>
    <w:rsid w:val="002F7886"/>
    <w:rsid w:val="002F7EB3"/>
    <w:rsid w:val="003049DF"/>
    <w:rsid w:val="00305F18"/>
    <w:rsid w:val="003066CA"/>
    <w:rsid w:val="0030675A"/>
    <w:rsid w:val="00310909"/>
    <w:rsid w:val="00310DD5"/>
    <w:rsid w:val="00312652"/>
    <w:rsid w:val="00320F3E"/>
    <w:rsid w:val="003219B2"/>
    <w:rsid w:val="00322FAE"/>
    <w:rsid w:val="00323D24"/>
    <w:rsid w:val="003277F5"/>
    <w:rsid w:val="00330CB7"/>
    <w:rsid w:val="0033156C"/>
    <w:rsid w:val="003316C0"/>
    <w:rsid w:val="00332790"/>
    <w:rsid w:val="0033280D"/>
    <w:rsid w:val="00333ACD"/>
    <w:rsid w:val="00333AFE"/>
    <w:rsid w:val="00334810"/>
    <w:rsid w:val="00334CA4"/>
    <w:rsid w:val="00335A36"/>
    <w:rsid w:val="0033659E"/>
    <w:rsid w:val="003430BD"/>
    <w:rsid w:val="00343193"/>
    <w:rsid w:val="00346AB9"/>
    <w:rsid w:val="00346CD8"/>
    <w:rsid w:val="00351B05"/>
    <w:rsid w:val="0035235C"/>
    <w:rsid w:val="00352B67"/>
    <w:rsid w:val="00356CC3"/>
    <w:rsid w:val="00356FB3"/>
    <w:rsid w:val="00361085"/>
    <w:rsid w:val="00361833"/>
    <w:rsid w:val="00361BF0"/>
    <w:rsid w:val="0036382C"/>
    <w:rsid w:val="00363856"/>
    <w:rsid w:val="00364668"/>
    <w:rsid w:val="00364A2C"/>
    <w:rsid w:val="00366E34"/>
    <w:rsid w:val="003673A4"/>
    <w:rsid w:val="003678B8"/>
    <w:rsid w:val="0037220C"/>
    <w:rsid w:val="00372421"/>
    <w:rsid w:val="003728F5"/>
    <w:rsid w:val="003737EF"/>
    <w:rsid w:val="00373B52"/>
    <w:rsid w:val="003740B3"/>
    <w:rsid w:val="00374282"/>
    <w:rsid w:val="00374BFE"/>
    <w:rsid w:val="00375B28"/>
    <w:rsid w:val="003777F7"/>
    <w:rsid w:val="0037791A"/>
    <w:rsid w:val="00380FE9"/>
    <w:rsid w:val="00381115"/>
    <w:rsid w:val="00381C5F"/>
    <w:rsid w:val="00381EA2"/>
    <w:rsid w:val="00382EDA"/>
    <w:rsid w:val="00386473"/>
    <w:rsid w:val="00387073"/>
    <w:rsid w:val="00387BDD"/>
    <w:rsid w:val="0039209E"/>
    <w:rsid w:val="00393507"/>
    <w:rsid w:val="003939C8"/>
    <w:rsid w:val="00393F80"/>
    <w:rsid w:val="00394448"/>
    <w:rsid w:val="00395799"/>
    <w:rsid w:val="00397279"/>
    <w:rsid w:val="003977EA"/>
    <w:rsid w:val="003A0649"/>
    <w:rsid w:val="003A21C8"/>
    <w:rsid w:val="003A24BC"/>
    <w:rsid w:val="003A408C"/>
    <w:rsid w:val="003A44BE"/>
    <w:rsid w:val="003A5486"/>
    <w:rsid w:val="003A5A7C"/>
    <w:rsid w:val="003A5ACA"/>
    <w:rsid w:val="003A6179"/>
    <w:rsid w:val="003A6BBE"/>
    <w:rsid w:val="003B0AE7"/>
    <w:rsid w:val="003B1337"/>
    <w:rsid w:val="003B4CC5"/>
    <w:rsid w:val="003B4FDC"/>
    <w:rsid w:val="003B61B3"/>
    <w:rsid w:val="003C10A7"/>
    <w:rsid w:val="003C289C"/>
    <w:rsid w:val="003C2C57"/>
    <w:rsid w:val="003C2EA1"/>
    <w:rsid w:val="003C3FCD"/>
    <w:rsid w:val="003C41D0"/>
    <w:rsid w:val="003C5DFF"/>
    <w:rsid w:val="003C6162"/>
    <w:rsid w:val="003D4168"/>
    <w:rsid w:val="003D440B"/>
    <w:rsid w:val="003D73AC"/>
    <w:rsid w:val="003E0D97"/>
    <w:rsid w:val="003E1E6D"/>
    <w:rsid w:val="003E1F43"/>
    <w:rsid w:val="003E3BD5"/>
    <w:rsid w:val="003E577F"/>
    <w:rsid w:val="003F0110"/>
    <w:rsid w:val="003F22EA"/>
    <w:rsid w:val="003F3977"/>
    <w:rsid w:val="003F540C"/>
    <w:rsid w:val="003F6B5B"/>
    <w:rsid w:val="00401547"/>
    <w:rsid w:val="00401C23"/>
    <w:rsid w:val="004029FD"/>
    <w:rsid w:val="00403763"/>
    <w:rsid w:val="00403F05"/>
    <w:rsid w:val="00404E96"/>
    <w:rsid w:val="00405ACF"/>
    <w:rsid w:val="00407EE2"/>
    <w:rsid w:val="004104DB"/>
    <w:rsid w:val="00411C96"/>
    <w:rsid w:val="00412005"/>
    <w:rsid w:val="00412DF1"/>
    <w:rsid w:val="00413C7F"/>
    <w:rsid w:val="00414E39"/>
    <w:rsid w:val="00414F86"/>
    <w:rsid w:val="00415199"/>
    <w:rsid w:val="00416E17"/>
    <w:rsid w:val="004171CD"/>
    <w:rsid w:val="00422BB1"/>
    <w:rsid w:val="004235E7"/>
    <w:rsid w:val="00424F17"/>
    <w:rsid w:val="0042588A"/>
    <w:rsid w:val="004278A7"/>
    <w:rsid w:val="00434D69"/>
    <w:rsid w:val="00434DB8"/>
    <w:rsid w:val="004412AD"/>
    <w:rsid w:val="004427B1"/>
    <w:rsid w:val="004431B4"/>
    <w:rsid w:val="00443275"/>
    <w:rsid w:val="00445101"/>
    <w:rsid w:val="00445A5F"/>
    <w:rsid w:val="00446628"/>
    <w:rsid w:val="00446C61"/>
    <w:rsid w:val="00451991"/>
    <w:rsid w:val="00451E73"/>
    <w:rsid w:val="0045325A"/>
    <w:rsid w:val="004556E8"/>
    <w:rsid w:val="004556EC"/>
    <w:rsid w:val="00460442"/>
    <w:rsid w:val="0046258D"/>
    <w:rsid w:val="004641A1"/>
    <w:rsid w:val="004652F5"/>
    <w:rsid w:val="00466AA8"/>
    <w:rsid w:val="0046702B"/>
    <w:rsid w:val="00467B01"/>
    <w:rsid w:val="00467BF3"/>
    <w:rsid w:val="004722B8"/>
    <w:rsid w:val="00474218"/>
    <w:rsid w:val="00475E05"/>
    <w:rsid w:val="004770EE"/>
    <w:rsid w:val="00482830"/>
    <w:rsid w:val="00484DAF"/>
    <w:rsid w:val="00485C6B"/>
    <w:rsid w:val="00486F06"/>
    <w:rsid w:val="004906EB"/>
    <w:rsid w:val="00492509"/>
    <w:rsid w:val="00494B1C"/>
    <w:rsid w:val="00494BD9"/>
    <w:rsid w:val="004A1733"/>
    <w:rsid w:val="004A34DB"/>
    <w:rsid w:val="004A4EA7"/>
    <w:rsid w:val="004B126C"/>
    <w:rsid w:val="004B2881"/>
    <w:rsid w:val="004B2DBD"/>
    <w:rsid w:val="004B454B"/>
    <w:rsid w:val="004B5D5F"/>
    <w:rsid w:val="004B62E1"/>
    <w:rsid w:val="004C14CB"/>
    <w:rsid w:val="004C2F21"/>
    <w:rsid w:val="004C7596"/>
    <w:rsid w:val="004D3548"/>
    <w:rsid w:val="004D3E79"/>
    <w:rsid w:val="004D4DBF"/>
    <w:rsid w:val="004D5CD7"/>
    <w:rsid w:val="004D68FE"/>
    <w:rsid w:val="004D7B9B"/>
    <w:rsid w:val="004E0459"/>
    <w:rsid w:val="004E2BA1"/>
    <w:rsid w:val="004E4F78"/>
    <w:rsid w:val="004E6656"/>
    <w:rsid w:val="004F15D5"/>
    <w:rsid w:val="004F2CC6"/>
    <w:rsid w:val="004F2FC2"/>
    <w:rsid w:val="004F580B"/>
    <w:rsid w:val="004F5CC7"/>
    <w:rsid w:val="004F666B"/>
    <w:rsid w:val="005003EB"/>
    <w:rsid w:val="005017C9"/>
    <w:rsid w:val="005038BA"/>
    <w:rsid w:val="00504DBB"/>
    <w:rsid w:val="00505563"/>
    <w:rsid w:val="00506F3E"/>
    <w:rsid w:val="00507D7B"/>
    <w:rsid w:val="005101B3"/>
    <w:rsid w:val="005123EC"/>
    <w:rsid w:val="00512DC2"/>
    <w:rsid w:val="005134DB"/>
    <w:rsid w:val="005136D4"/>
    <w:rsid w:val="00513934"/>
    <w:rsid w:val="00513CE9"/>
    <w:rsid w:val="0051571D"/>
    <w:rsid w:val="00517765"/>
    <w:rsid w:val="00517B70"/>
    <w:rsid w:val="0052149E"/>
    <w:rsid w:val="00522668"/>
    <w:rsid w:val="005244DA"/>
    <w:rsid w:val="0052495A"/>
    <w:rsid w:val="00530066"/>
    <w:rsid w:val="00530604"/>
    <w:rsid w:val="0053102B"/>
    <w:rsid w:val="00533125"/>
    <w:rsid w:val="005349BA"/>
    <w:rsid w:val="00540275"/>
    <w:rsid w:val="00540ED9"/>
    <w:rsid w:val="00542178"/>
    <w:rsid w:val="005421C3"/>
    <w:rsid w:val="0054613E"/>
    <w:rsid w:val="005467D2"/>
    <w:rsid w:val="00546A1A"/>
    <w:rsid w:val="0054782B"/>
    <w:rsid w:val="00553D7B"/>
    <w:rsid w:val="005542C8"/>
    <w:rsid w:val="0055454C"/>
    <w:rsid w:val="0055474B"/>
    <w:rsid w:val="00562C2C"/>
    <w:rsid w:val="00562EF9"/>
    <w:rsid w:val="00564516"/>
    <w:rsid w:val="00564DF7"/>
    <w:rsid w:val="00566BD2"/>
    <w:rsid w:val="005733B4"/>
    <w:rsid w:val="0057555C"/>
    <w:rsid w:val="005758DD"/>
    <w:rsid w:val="00576CA8"/>
    <w:rsid w:val="00580490"/>
    <w:rsid w:val="0058315F"/>
    <w:rsid w:val="00583762"/>
    <w:rsid w:val="0058672B"/>
    <w:rsid w:val="00586733"/>
    <w:rsid w:val="0058707D"/>
    <w:rsid w:val="00587295"/>
    <w:rsid w:val="00587498"/>
    <w:rsid w:val="005902D3"/>
    <w:rsid w:val="005932DE"/>
    <w:rsid w:val="00593D9F"/>
    <w:rsid w:val="005975C4"/>
    <w:rsid w:val="00597642"/>
    <w:rsid w:val="005A10DB"/>
    <w:rsid w:val="005A29D9"/>
    <w:rsid w:val="005A2CD9"/>
    <w:rsid w:val="005A3C41"/>
    <w:rsid w:val="005A4369"/>
    <w:rsid w:val="005A4E6B"/>
    <w:rsid w:val="005A73E1"/>
    <w:rsid w:val="005A751D"/>
    <w:rsid w:val="005B1F6F"/>
    <w:rsid w:val="005B232C"/>
    <w:rsid w:val="005B546C"/>
    <w:rsid w:val="005B6907"/>
    <w:rsid w:val="005B7169"/>
    <w:rsid w:val="005C0F44"/>
    <w:rsid w:val="005C2080"/>
    <w:rsid w:val="005C2596"/>
    <w:rsid w:val="005C34D5"/>
    <w:rsid w:val="005C3AD5"/>
    <w:rsid w:val="005C5E1D"/>
    <w:rsid w:val="005C720E"/>
    <w:rsid w:val="005D1820"/>
    <w:rsid w:val="005D1967"/>
    <w:rsid w:val="005D3EC0"/>
    <w:rsid w:val="005D3EF4"/>
    <w:rsid w:val="005D67E1"/>
    <w:rsid w:val="005E16BD"/>
    <w:rsid w:val="005E1F65"/>
    <w:rsid w:val="005E20B4"/>
    <w:rsid w:val="005E36A4"/>
    <w:rsid w:val="005E3C8D"/>
    <w:rsid w:val="005E4E25"/>
    <w:rsid w:val="005E6B3E"/>
    <w:rsid w:val="005F36EA"/>
    <w:rsid w:val="005F4540"/>
    <w:rsid w:val="005F6F02"/>
    <w:rsid w:val="00600575"/>
    <w:rsid w:val="006029A0"/>
    <w:rsid w:val="0060411D"/>
    <w:rsid w:val="00606583"/>
    <w:rsid w:val="006110ED"/>
    <w:rsid w:val="006139C5"/>
    <w:rsid w:val="00613AED"/>
    <w:rsid w:val="00616B19"/>
    <w:rsid w:val="00617EAA"/>
    <w:rsid w:val="00620A59"/>
    <w:rsid w:val="00621A98"/>
    <w:rsid w:val="00623D27"/>
    <w:rsid w:val="006264F4"/>
    <w:rsid w:val="006276E0"/>
    <w:rsid w:val="00627A77"/>
    <w:rsid w:val="00627F56"/>
    <w:rsid w:val="00630BCE"/>
    <w:rsid w:val="006312AB"/>
    <w:rsid w:val="006326D6"/>
    <w:rsid w:val="00633465"/>
    <w:rsid w:val="00634667"/>
    <w:rsid w:val="00640E9E"/>
    <w:rsid w:val="006415AE"/>
    <w:rsid w:val="00645132"/>
    <w:rsid w:val="0064678A"/>
    <w:rsid w:val="00646A5A"/>
    <w:rsid w:val="006470A6"/>
    <w:rsid w:val="00650B56"/>
    <w:rsid w:val="00651F19"/>
    <w:rsid w:val="0065266D"/>
    <w:rsid w:val="006563AE"/>
    <w:rsid w:val="00656C4F"/>
    <w:rsid w:val="00660DFB"/>
    <w:rsid w:val="006622CB"/>
    <w:rsid w:val="006648B2"/>
    <w:rsid w:val="00664DCC"/>
    <w:rsid w:val="00665584"/>
    <w:rsid w:val="00667143"/>
    <w:rsid w:val="00671703"/>
    <w:rsid w:val="00671B9E"/>
    <w:rsid w:val="0067243E"/>
    <w:rsid w:val="00672BEC"/>
    <w:rsid w:val="00673004"/>
    <w:rsid w:val="006743D1"/>
    <w:rsid w:val="00675AC1"/>
    <w:rsid w:val="00676FBD"/>
    <w:rsid w:val="006775AA"/>
    <w:rsid w:val="0068014E"/>
    <w:rsid w:val="00682E6C"/>
    <w:rsid w:val="006842B6"/>
    <w:rsid w:val="00691F05"/>
    <w:rsid w:val="00692454"/>
    <w:rsid w:val="00692FCC"/>
    <w:rsid w:val="0069393F"/>
    <w:rsid w:val="00693B83"/>
    <w:rsid w:val="00694CBA"/>
    <w:rsid w:val="00696682"/>
    <w:rsid w:val="006A0489"/>
    <w:rsid w:val="006A0E41"/>
    <w:rsid w:val="006A166E"/>
    <w:rsid w:val="006A2F96"/>
    <w:rsid w:val="006A4AC6"/>
    <w:rsid w:val="006A55C9"/>
    <w:rsid w:val="006A5EE1"/>
    <w:rsid w:val="006A6A7A"/>
    <w:rsid w:val="006A7015"/>
    <w:rsid w:val="006A7FAC"/>
    <w:rsid w:val="006B24CD"/>
    <w:rsid w:val="006B2904"/>
    <w:rsid w:val="006B34F8"/>
    <w:rsid w:val="006B355B"/>
    <w:rsid w:val="006B5348"/>
    <w:rsid w:val="006B5A3F"/>
    <w:rsid w:val="006B5CF6"/>
    <w:rsid w:val="006B6153"/>
    <w:rsid w:val="006B763F"/>
    <w:rsid w:val="006C0B46"/>
    <w:rsid w:val="006C2543"/>
    <w:rsid w:val="006C2B1B"/>
    <w:rsid w:val="006C31CC"/>
    <w:rsid w:val="006C36DE"/>
    <w:rsid w:val="006C59DE"/>
    <w:rsid w:val="006D2336"/>
    <w:rsid w:val="006D4BFA"/>
    <w:rsid w:val="006D691D"/>
    <w:rsid w:val="006E18E2"/>
    <w:rsid w:val="006E6339"/>
    <w:rsid w:val="006E6809"/>
    <w:rsid w:val="006E681F"/>
    <w:rsid w:val="006F1794"/>
    <w:rsid w:val="006F2D61"/>
    <w:rsid w:val="006F2F9B"/>
    <w:rsid w:val="006F37EF"/>
    <w:rsid w:val="006F3859"/>
    <w:rsid w:val="0070041B"/>
    <w:rsid w:val="007005A8"/>
    <w:rsid w:val="00701795"/>
    <w:rsid w:val="00704294"/>
    <w:rsid w:val="0070470C"/>
    <w:rsid w:val="00705767"/>
    <w:rsid w:val="00705C21"/>
    <w:rsid w:val="00706D6C"/>
    <w:rsid w:val="007072EA"/>
    <w:rsid w:val="007126EB"/>
    <w:rsid w:val="00713BE2"/>
    <w:rsid w:val="007140E2"/>
    <w:rsid w:val="00715405"/>
    <w:rsid w:val="00715592"/>
    <w:rsid w:val="007174B1"/>
    <w:rsid w:val="00720BAB"/>
    <w:rsid w:val="00721CC4"/>
    <w:rsid w:val="0072204F"/>
    <w:rsid w:val="00723883"/>
    <w:rsid w:val="007255C4"/>
    <w:rsid w:val="00726E1D"/>
    <w:rsid w:val="0072751A"/>
    <w:rsid w:val="00733024"/>
    <w:rsid w:val="00733504"/>
    <w:rsid w:val="0073464A"/>
    <w:rsid w:val="00734797"/>
    <w:rsid w:val="007354DA"/>
    <w:rsid w:val="00735F30"/>
    <w:rsid w:val="0073621E"/>
    <w:rsid w:val="007427A0"/>
    <w:rsid w:val="007449AB"/>
    <w:rsid w:val="00744E6F"/>
    <w:rsid w:val="00745B59"/>
    <w:rsid w:val="00747919"/>
    <w:rsid w:val="00750274"/>
    <w:rsid w:val="00750E20"/>
    <w:rsid w:val="00752145"/>
    <w:rsid w:val="007521A1"/>
    <w:rsid w:val="007523C9"/>
    <w:rsid w:val="00752635"/>
    <w:rsid w:val="007529C9"/>
    <w:rsid w:val="00752E4E"/>
    <w:rsid w:val="00755A21"/>
    <w:rsid w:val="00756A48"/>
    <w:rsid w:val="0075736A"/>
    <w:rsid w:val="00757498"/>
    <w:rsid w:val="00760233"/>
    <w:rsid w:val="007608FD"/>
    <w:rsid w:val="007626EE"/>
    <w:rsid w:val="0076292E"/>
    <w:rsid w:val="00763360"/>
    <w:rsid w:val="00764416"/>
    <w:rsid w:val="00764488"/>
    <w:rsid w:val="00764AB7"/>
    <w:rsid w:val="007665C7"/>
    <w:rsid w:val="007710A8"/>
    <w:rsid w:val="00771FB5"/>
    <w:rsid w:val="0077383E"/>
    <w:rsid w:val="0077488F"/>
    <w:rsid w:val="00776D3E"/>
    <w:rsid w:val="0077749F"/>
    <w:rsid w:val="0078078B"/>
    <w:rsid w:val="00782DD5"/>
    <w:rsid w:val="0079024E"/>
    <w:rsid w:val="00793F07"/>
    <w:rsid w:val="007967E7"/>
    <w:rsid w:val="00796F49"/>
    <w:rsid w:val="00797556"/>
    <w:rsid w:val="00797723"/>
    <w:rsid w:val="007A0BE6"/>
    <w:rsid w:val="007A0C5E"/>
    <w:rsid w:val="007A2869"/>
    <w:rsid w:val="007A3B65"/>
    <w:rsid w:val="007A41BB"/>
    <w:rsid w:val="007B00B3"/>
    <w:rsid w:val="007B0642"/>
    <w:rsid w:val="007B3E00"/>
    <w:rsid w:val="007B6AC5"/>
    <w:rsid w:val="007B6DAD"/>
    <w:rsid w:val="007C10F5"/>
    <w:rsid w:val="007C12FE"/>
    <w:rsid w:val="007C297E"/>
    <w:rsid w:val="007C6528"/>
    <w:rsid w:val="007C6659"/>
    <w:rsid w:val="007D172B"/>
    <w:rsid w:val="007D2925"/>
    <w:rsid w:val="007D52DA"/>
    <w:rsid w:val="007D6C69"/>
    <w:rsid w:val="007E057C"/>
    <w:rsid w:val="007E1654"/>
    <w:rsid w:val="007E1B67"/>
    <w:rsid w:val="007E2235"/>
    <w:rsid w:val="007E42DD"/>
    <w:rsid w:val="007E6300"/>
    <w:rsid w:val="007E70AD"/>
    <w:rsid w:val="007F3001"/>
    <w:rsid w:val="007F392D"/>
    <w:rsid w:val="007F4153"/>
    <w:rsid w:val="007F4213"/>
    <w:rsid w:val="007F5756"/>
    <w:rsid w:val="007F6A8B"/>
    <w:rsid w:val="007F779D"/>
    <w:rsid w:val="008006C0"/>
    <w:rsid w:val="00801740"/>
    <w:rsid w:val="00801A09"/>
    <w:rsid w:val="0080297E"/>
    <w:rsid w:val="00802C12"/>
    <w:rsid w:val="00806BE7"/>
    <w:rsid w:val="0080715F"/>
    <w:rsid w:val="00807DB8"/>
    <w:rsid w:val="00812292"/>
    <w:rsid w:val="00816CB8"/>
    <w:rsid w:val="00816E5B"/>
    <w:rsid w:val="00817A35"/>
    <w:rsid w:val="00817DC5"/>
    <w:rsid w:val="0082476F"/>
    <w:rsid w:val="00824C9E"/>
    <w:rsid w:val="00825485"/>
    <w:rsid w:val="0082584B"/>
    <w:rsid w:val="00831D49"/>
    <w:rsid w:val="00832615"/>
    <w:rsid w:val="008327D4"/>
    <w:rsid w:val="00833808"/>
    <w:rsid w:val="00834D18"/>
    <w:rsid w:val="008356E2"/>
    <w:rsid w:val="0083672B"/>
    <w:rsid w:val="0083712E"/>
    <w:rsid w:val="0084251D"/>
    <w:rsid w:val="00845748"/>
    <w:rsid w:val="00845F45"/>
    <w:rsid w:val="00846BE3"/>
    <w:rsid w:val="00846EB9"/>
    <w:rsid w:val="00847C4B"/>
    <w:rsid w:val="0085040A"/>
    <w:rsid w:val="00853F9E"/>
    <w:rsid w:val="00855C41"/>
    <w:rsid w:val="0085613D"/>
    <w:rsid w:val="0085645F"/>
    <w:rsid w:val="0086172B"/>
    <w:rsid w:val="00861C46"/>
    <w:rsid w:val="008621AD"/>
    <w:rsid w:val="00862FC4"/>
    <w:rsid w:val="008632CF"/>
    <w:rsid w:val="008645A5"/>
    <w:rsid w:val="00865154"/>
    <w:rsid w:val="00865C5D"/>
    <w:rsid w:val="00871226"/>
    <w:rsid w:val="008730A6"/>
    <w:rsid w:val="008732B7"/>
    <w:rsid w:val="0087565F"/>
    <w:rsid w:val="00875A36"/>
    <w:rsid w:val="0088072B"/>
    <w:rsid w:val="00881A39"/>
    <w:rsid w:val="00882BC8"/>
    <w:rsid w:val="008870BF"/>
    <w:rsid w:val="00887D59"/>
    <w:rsid w:val="008900B3"/>
    <w:rsid w:val="00890A77"/>
    <w:rsid w:val="00890C0E"/>
    <w:rsid w:val="00891B08"/>
    <w:rsid w:val="00894CED"/>
    <w:rsid w:val="008955F6"/>
    <w:rsid w:val="00895621"/>
    <w:rsid w:val="00895CDE"/>
    <w:rsid w:val="00896C17"/>
    <w:rsid w:val="008A0997"/>
    <w:rsid w:val="008A1E22"/>
    <w:rsid w:val="008A271C"/>
    <w:rsid w:val="008A287D"/>
    <w:rsid w:val="008A356E"/>
    <w:rsid w:val="008A4282"/>
    <w:rsid w:val="008A510E"/>
    <w:rsid w:val="008A69FD"/>
    <w:rsid w:val="008B1660"/>
    <w:rsid w:val="008B1EB7"/>
    <w:rsid w:val="008B3769"/>
    <w:rsid w:val="008B3FCA"/>
    <w:rsid w:val="008B488D"/>
    <w:rsid w:val="008B6336"/>
    <w:rsid w:val="008B74DC"/>
    <w:rsid w:val="008C301B"/>
    <w:rsid w:val="008C72AC"/>
    <w:rsid w:val="008C7A4F"/>
    <w:rsid w:val="008D13BC"/>
    <w:rsid w:val="008D355B"/>
    <w:rsid w:val="008D361B"/>
    <w:rsid w:val="008D3CE3"/>
    <w:rsid w:val="008D6F09"/>
    <w:rsid w:val="008E06C8"/>
    <w:rsid w:val="008E2586"/>
    <w:rsid w:val="008E3B31"/>
    <w:rsid w:val="008E5A5B"/>
    <w:rsid w:val="008F0BC2"/>
    <w:rsid w:val="008F20CB"/>
    <w:rsid w:val="008F2571"/>
    <w:rsid w:val="008F2960"/>
    <w:rsid w:val="008F337F"/>
    <w:rsid w:val="008F36A7"/>
    <w:rsid w:val="008F62E6"/>
    <w:rsid w:val="008F730A"/>
    <w:rsid w:val="008F7DD1"/>
    <w:rsid w:val="00901DB1"/>
    <w:rsid w:val="00901FA9"/>
    <w:rsid w:val="00902BD8"/>
    <w:rsid w:val="00902D03"/>
    <w:rsid w:val="00902D57"/>
    <w:rsid w:val="00903B5E"/>
    <w:rsid w:val="00906B39"/>
    <w:rsid w:val="00906B79"/>
    <w:rsid w:val="009102C9"/>
    <w:rsid w:val="00912B80"/>
    <w:rsid w:val="00912D6C"/>
    <w:rsid w:val="009147C7"/>
    <w:rsid w:val="0091595A"/>
    <w:rsid w:val="00916C1A"/>
    <w:rsid w:val="00922D4E"/>
    <w:rsid w:val="009230F4"/>
    <w:rsid w:val="009249F2"/>
    <w:rsid w:val="00925833"/>
    <w:rsid w:val="009258B7"/>
    <w:rsid w:val="00926583"/>
    <w:rsid w:val="0093023E"/>
    <w:rsid w:val="009332F6"/>
    <w:rsid w:val="00933BD8"/>
    <w:rsid w:val="00933CC2"/>
    <w:rsid w:val="00933D08"/>
    <w:rsid w:val="00933FA4"/>
    <w:rsid w:val="009344FC"/>
    <w:rsid w:val="00934A48"/>
    <w:rsid w:val="009364AB"/>
    <w:rsid w:val="0093758C"/>
    <w:rsid w:val="009409A5"/>
    <w:rsid w:val="00942CE8"/>
    <w:rsid w:val="00943727"/>
    <w:rsid w:val="009463FE"/>
    <w:rsid w:val="0094694E"/>
    <w:rsid w:val="00946B07"/>
    <w:rsid w:val="0094785E"/>
    <w:rsid w:val="009527C0"/>
    <w:rsid w:val="00953777"/>
    <w:rsid w:val="00954336"/>
    <w:rsid w:val="0095612E"/>
    <w:rsid w:val="00956E73"/>
    <w:rsid w:val="00957FD5"/>
    <w:rsid w:val="00960812"/>
    <w:rsid w:val="009610E5"/>
    <w:rsid w:val="00965C0C"/>
    <w:rsid w:val="00966307"/>
    <w:rsid w:val="00971694"/>
    <w:rsid w:val="00975896"/>
    <w:rsid w:val="009771AB"/>
    <w:rsid w:val="0097732A"/>
    <w:rsid w:val="00977868"/>
    <w:rsid w:val="00977CF6"/>
    <w:rsid w:val="0098126D"/>
    <w:rsid w:val="009819E9"/>
    <w:rsid w:val="00983180"/>
    <w:rsid w:val="00985318"/>
    <w:rsid w:val="009859E8"/>
    <w:rsid w:val="00987264"/>
    <w:rsid w:val="00994E1D"/>
    <w:rsid w:val="00995E6A"/>
    <w:rsid w:val="009961B8"/>
    <w:rsid w:val="00996430"/>
    <w:rsid w:val="00997BFA"/>
    <w:rsid w:val="009A05DE"/>
    <w:rsid w:val="009A0A31"/>
    <w:rsid w:val="009A2C60"/>
    <w:rsid w:val="009A407F"/>
    <w:rsid w:val="009A5A8A"/>
    <w:rsid w:val="009A6CEA"/>
    <w:rsid w:val="009A7A82"/>
    <w:rsid w:val="009B10A9"/>
    <w:rsid w:val="009B2A23"/>
    <w:rsid w:val="009B3B09"/>
    <w:rsid w:val="009B47CC"/>
    <w:rsid w:val="009B54F3"/>
    <w:rsid w:val="009B5B26"/>
    <w:rsid w:val="009B63FA"/>
    <w:rsid w:val="009C0345"/>
    <w:rsid w:val="009C45CD"/>
    <w:rsid w:val="009C60E5"/>
    <w:rsid w:val="009C70B6"/>
    <w:rsid w:val="009D310D"/>
    <w:rsid w:val="009D34FF"/>
    <w:rsid w:val="009D578B"/>
    <w:rsid w:val="009E0735"/>
    <w:rsid w:val="009E0DCA"/>
    <w:rsid w:val="009E0E18"/>
    <w:rsid w:val="009E14DC"/>
    <w:rsid w:val="009E1871"/>
    <w:rsid w:val="009E1F58"/>
    <w:rsid w:val="009E2648"/>
    <w:rsid w:val="009E4B01"/>
    <w:rsid w:val="009E6F12"/>
    <w:rsid w:val="009E7BBC"/>
    <w:rsid w:val="009F15E0"/>
    <w:rsid w:val="009F2118"/>
    <w:rsid w:val="009F349D"/>
    <w:rsid w:val="009F4FEE"/>
    <w:rsid w:val="009F512A"/>
    <w:rsid w:val="009F56C2"/>
    <w:rsid w:val="009F5F15"/>
    <w:rsid w:val="009F628D"/>
    <w:rsid w:val="009F7F45"/>
    <w:rsid w:val="00A01341"/>
    <w:rsid w:val="00A01D73"/>
    <w:rsid w:val="00A05652"/>
    <w:rsid w:val="00A058B7"/>
    <w:rsid w:val="00A0789B"/>
    <w:rsid w:val="00A10998"/>
    <w:rsid w:val="00A118B4"/>
    <w:rsid w:val="00A1223D"/>
    <w:rsid w:val="00A13E09"/>
    <w:rsid w:val="00A1461B"/>
    <w:rsid w:val="00A14B58"/>
    <w:rsid w:val="00A15641"/>
    <w:rsid w:val="00A204EA"/>
    <w:rsid w:val="00A2311A"/>
    <w:rsid w:val="00A2468E"/>
    <w:rsid w:val="00A25331"/>
    <w:rsid w:val="00A25ED9"/>
    <w:rsid w:val="00A26BF2"/>
    <w:rsid w:val="00A27746"/>
    <w:rsid w:val="00A32686"/>
    <w:rsid w:val="00A350F2"/>
    <w:rsid w:val="00A3647C"/>
    <w:rsid w:val="00A36641"/>
    <w:rsid w:val="00A40204"/>
    <w:rsid w:val="00A41555"/>
    <w:rsid w:val="00A42D7A"/>
    <w:rsid w:val="00A42F7D"/>
    <w:rsid w:val="00A46599"/>
    <w:rsid w:val="00A47444"/>
    <w:rsid w:val="00A5117A"/>
    <w:rsid w:val="00A54E47"/>
    <w:rsid w:val="00A5616D"/>
    <w:rsid w:val="00A563EE"/>
    <w:rsid w:val="00A57201"/>
    <w:rsid w:val="00A60692"/>
    <w:rsid w:val="00A61E65"/>
    <w:rsid w:val="00A62781"/>
    <w:rsid w:val="00A650C3"/>
    <w:rsid w:val="00A66DD3"/>
    <w:rsid w:val="00A67CCA"/>
    <w:rsid w:val="00A707B2"/>
    <w:rsid w:val="00A709F7"/>
    <w:rsid w:val="00A732F9"/>
    <w:rsid w:val="00A73A4F"/>
    <w:rsid w:val="00A74CAE"/>
    <w:rsid w:val="00A75071"/>
    <w:rsid w:val="00A7576D"/>
    <w:rsid w:val="00A7734E"/>
    <w:rsid w:val="00A77799"/>
    <w:rsid w:val="00A828B4"/>
    <w:rsid w:val="00A82CAB"/>
    <w:rsid w:val="00A83062"/>
    <w:rsid w:val="00A8446E"/>
    <w:rsid w:val="00A84D8D"/>
    <w:rsid w:val="00A84E0D"/>
    <w:rsid w:val="00A85478"/>
    <w:rsid w:val="00A8634F"/>
    <w:rsid w:val="00A87A8A"/>
    <w:rsid w:val="00A90F09"/>
    <w:rsid w:val="00A9282B"/>
    <w:rsid w:val="00A96E45"/>
    <w:rsid w:val="00AA1098"/>
    <w:rsid w:val="00AA10B8"/>
    <w:rsid w:val="00AA10C3"/>
    <w:rsid w:val="00AA19D7"/>
    <w:rsid w:val="00AA1C95"/>
    <w:rsid w:val="00AA2108"/>
    <w:rsid w:val="00AA3F41"/>
    <w:rsid w:val="00AA57C8"/>
    <w:rsid w:val="00AA6299"/>
    <w:rsid w:val="00AA62E3"/>
    <w:rsid w:val="00AB0494"/>
    <w:rsid w:val="00AB0529"/>
    <w:rsid w:val="00AB1308"/>
    <w:rsid w:val="00AB14A8"/>
    <w:rsid w:val="00AB3DFB"/>
    <w:rsid w:val="00AB52EB"/>
    <w:rsid w:val="00AB6DC8"/>
    <w:rsid w:val="00AB7ABF"/>
    <w:rsid w:val="00AC042D"/>
    <w:rsid w:val="00AC1314"/>
    <w:rsid w:val="00AC275D"/>
    <w:rsid w:val="00AC3914"/>
    <w:rsid w:val="00AC4462"/>
    <w:rsid w:val="00AD0EA3"/>
    <w:rsid w:val="00AD2800"/>
    <w:rsid w:val="00AD5649"/>
    <w:rsid w:val="00AD684E"/>
    <w:rsid w:val="00AD70F9"/>
    <w:rsid w:val="00AE1EF7"/>
    <w:rsid w:val="00AE26AF"/>
    <w:rsid w:val="00AE3BA2"/>
    <w:rsid w:val="00AE5937"/>
    <w:rsid w:val="00AE6A73"/>
    <w:rsid w:val="00AE6DA7"/>
    <w:rsid w:val="00AE7804"/>
    <w:rsid w:val="00AF083C"/>
    <w:rsid w:val="00AF18E3"/>
    <w:rsid w:val="00AF31E7"/>
    <w:rsid w:val="00AF3CA2"/>
    <w:rsid w:val="00B001B4"/>
    <w:rsid w:val="00B01893"/>
    <w:rsid w:val="00B04FBD"/>
    <w:rsid w:val="00B07B8E"/>
    <w:rsid w:val="00B07CD9"/>
    <w:rsid w:val="00B112E6"/>
    <w:rsid w:val="00B126B2"/>
    <w:rsid w:val="00B13026"/>
    <w:rsid w:val="00B21FC3"/>
    <w:rsid w:val="00B2476E"/>
    <w:rsid w:val="00B26D84"/>
    <w:rsid w:val="00B2707D"/>
    <w:rsid w:val="00B306D3"/>
    <w:rsid w:val="00B334E0"/>
    <w:rsid w:val="00B3602D"/>
    <w:rsid w:val="00B36F51"/>
    <w:rsid w:val="00B37E0C"/>
    <w:rsid w:val="00B4136A"/>
    <w:rsid w:val="00B41C92"/>
    <w:rsid w:val="00B43E08"/>
    <w:rsid w:val="00B4518C"/>
    <w:rsid w:val="00B459D4"/>
    <w:rsid w:val="00B461CE"/>
    <w:rsid w:val="00B47A33"/>
    <w:rsid w:val="00B53341"/>
    <w:rsid w:val="00B54F65"/>
    <w:rsid w:val="00B56B91"/>
    <w:rsid w:val="00B607B5"/>
    <w:rsid w:val="00B615F9"/>
    <w:rsid w:val="00B61DDF"/>
    <w:rsid w:val="00B66210"/>
    <w:rsid w:val="00B66CD8"/>
    <w:rsid w:val="00B67E1E"/>
    <w:rsid w:val="00B702FE"/>
    <w:rsid w:val="00B7037A"/>
    <w:rsid w:val="00B72AA2"/>
    <w:rsid w:val="00B72F26"/>
    <w:rsid w:val="00B740A2"/>
    <w:rsid w:val="00B74320"/>
    <w:rsid w:val="00B759DD"/>
    <w:rsid w:val="00B7610A"/>
    <w:rsid w:val="00B76A1E"/>
    <w:rsid w:val="00B77048"/>
    <w:rsid w:val="00B77A24"/>
    <w:rsid w:val="00B77BDF"/>
    <w:rsid w:val="00B77D70"/>
    <w:rsid w:val="00B80B55"/>
    <w:rsid w:val="00B837BC"/>
    <w:rsid w:val="00B83A71"/>
    <w:rsid w:val="00B84DCE"/>
    <w:rsid w:val="00B85695"/>
    <w:rsid w:val="00B9047B"/>
    <w:rsid w:val="00B92054"/>
    <w:rsid w:val="00B93132"/>
    <w:rsid w:val="00BA0212"/>
    <w:rsid w:val="00BA1FE0"/>
    <w:rsid w:val="00BA26E0"/>
    <w:rsid w:val="00BA2972"/>
    <w:rsid w:val="00BA5254"/>
    <w:rsid w:val="00BA729D"/>
    <w:rsid w:val="00BB0A4C"/>
    <w:rsid w:val="00BB4137"/>
    <w:rsid w:val="00BB6553"/>
    <w:rsid w:val="00BB7207"/>
    <w:rsid w:val="00BB79C2"/>
    <w:rsid w:val="00BC02BC"/>
    <w:rsid w:val="00BC1C71"/>
    <w:rsid w:val="00BC2F42"/>
    <w:rsid w:val="00BC3DD8"/>
    <w:rsid w:val="00BC3EB5"/>
    <w:rsid w:val="00BC3ED5"/>
    <w:rsid w:val="00BC4A03"/>
    <w:rsid w:val="00BC4D52"/>
    <w:rsid w:val="00BC5008"/>
    <w:rsid w:val="00BD3181"/>
    <w:rsid w:val="00BD5005"/>
    <w:rsid w:val="00BD6723"/>
    <w:rsid w:val="00BD7816"/>
    <w:rsid w:val="00BE1187"/>
    <w:rsid w:val="00BE1BEA"/>
    <w:rsid w:val="00BE2CB6"/>
    <w:rsid w:val="00BE40CA"/>
    <w:rsid w:val="00BE604D"/>
    <w:rsid w:val="00BF44BF"/>
    <w:rsid w:val="00BF490A"/>
    <w:rsid w:val="00BF54E1"/>
    <w:rsid w:val="00BF69BE"/>
    <w:rsid w:val="00C03FB2"/>
    <w:rsid w:val="00C040E7"/>
    <w:rsid w:val="00C05B39"/>
    <w:rsid w:val="00C0737D"/>
    <w:rsid w:val="00C12C29"/>
    <w:rsid w:val="00C144FF"/>
    <w:rsid w:val="00C14A35"/>
    <w:rsid w:val="00C2080C"/>
    <w:rsid w:val="00C22004"/>
    <w:rsid w:val="00C30826"/>
    <w:rsid w:val="00C30B91"/>
    <w:rsid w:val="00C35135"/>
    <w:rsid w:val="00C4199E"/>
    <w:rsid w:val="00C41E1F"/>
    <w:rsid w:val="00C4275C"/>
    <w:rsid w:val="00C4374A"/>
    <w:rsid w:val="00C4419A"/>
    <w:rsid w:val="00C44C34"/>
    <w:rsid w:val="00C44F31"/>
    <w:rsid w:val="00C45B67"/>
    <w:rsid w:val="00C461FB"/>
    <w:rsid w:val="00C5210D"/>
    <w:rsid w:val="00C52970"/>
    <w:rsid w:val="00C53AD7"/>
    <w:rsid w:val="00C54430"/>
    <w:rsid w:val="00C5485C"/>
    <w:rsid w:val="00C54A5B"/>
    <w:rsid w:val="00C5579B"/>
    <w:rsid w:val="00C56C49"/>
    <w:rsid w:val="00C575D1"/>
    <w:rsid w:val="00C60067"/>
    <w:rsid w:val="00C60DB3"/>
    <w:rsid w:val="00C643C8"/>
    <w:rsid w:val="00C644EB"/>
    <w:rsid w:val="00C64FB8"/>
    <w:rsid w:val="00C652F5"/>
    <w:rsid w:val="00C71A28"/>
    <w:rsid w:val="00C72810"/>
    <w:rsid w:val="00C73BFB"/>
    <w:rsid w:val="00C77425"/>
    <w:rsid w:val="00C777DF"/>
    <w:rsid w:val="00C77AB2"/>
    <w:rsid w:val="00C8160D"/>
    <w:rsid w:val="00C818EF"/>
    <w:rsid w:val="00C81DEB"/>
    <w:rsid w:val="00C84E06"/>
    <w:rsid w:val="00C85A78"/>
    <w:rsid w:val="00C85C29"/>
    <w:rsid w:val="00C8602D"/>
    <w:rsid w:val="00C905B4"/>
    <w:rsid w:val="00C93AC6"/>
    <w:rsid w:val="00C93CA1"/>
    <w:rsid w:val="00C959AD"/>
    <w:rsid w:val="00C9747C"/>
    <w:rsid w:val="00CA33D6"/>
    <w:rsid w:val="00CA4D10"/>
    <w:rsid w:val="00CA6EC1"/>
    <w:rsid w:val="00CB0259"/>
    <w:rsid w:val="00CB0661"/>
    <w:rsid w:val="00CB15C1"/>
    <w:rsid w:val="00CB2483"/>
    <w:rsid w:val="00CB2C22"/>
    <w:rsid w:val="00CB33FD"/>
    <w:rsid w:val="00CB3E70"/>
    <w:rsid w:val="00CB4BCF"/>
    <w:rsid w:val="00CB4CC1"/>
    <w:rsid w:val="00CB5B7A"/>
    <w:rsid w:val="00CB5DFE"/>
    <w:rsid w:val="00CB6830"/>
    <w:rsid w:val="00CB695F"/>
    <w:rsid w:val="00CC0FD0"/>
    <w:rsid w:val="00CC65B1"/>
    <w:rsid w:val="00CC7611"/>
    <w:rsid w:val="00CC7802"/>
    <w:rsid w:val="00CD1BB6"/>
    <w:rsid w:val="00CD3FC2"/>
    <w:rsid w:val="00CD41F1"/>
    <w:rsid w:val="00CD57F5"/>
    <w:rsid w:val="00CD6862"/>
    <w:rsid w:val="00CD6C61"/>
    <w:rsid w:val="00CD72E3"/>
    <w:rsid w:val="00CE0488"/>
    <w:rsid w:val="00CE0720"/>
    <w:rsid w:val="00CE341D"/>
    <w:rsid w:val="00CE46A3"/>
    <w:rsid w:val="00CE6C30"/>
    <w:rsid w:val="00CF0B93"/>
    <w:rsid w:val="00CF2F63"/>
    <w:rsid w:val="00CF55C8"/>
    <w:rsid w:val="00CF58E0"/>
    <w:rsid w:val="00CF76C6"/>
    <w:rsid w:val="00D01D57"/>
    <w:rsid w:val="00D029B6"/>
    <w:rsid w:val="00D03895"/>
    <w:rsid w:val="00D13EDC"/>
    <w:rsid w:val="00D14FD2"/>
    <w:rsid w:val="00D20104"/>
    <w:rsid w:val="00D26CDD"/>
    <w:rsid w:val="00D271BA"/>
    <w:rsid w:val="00D2728F"/>
    <w:rsid w:val="00D30A10"/>
    <w:rsid w:val="00D318FB"/>
    <w:rsid w:val="00D3288F"/>
    <w:rsid w:val="00D373B2"/>
    <w:rsid w:val="00D42B04"/>
    <w:rsid w:val="00D42F97"/>
    <w:rsid w:val="00D431E2"/>
    <w:rsid w:val="00D4337F"/>
    <w:rsid w:val="00D44509"/>
    <w:rsid w:val="00D44F46"/>
    <w:rsid w:val="00D45C66"/>
    <w:rsid w:val="00D50A60"/>
    <w:rsid w:val="00D52D45"/>
    <w:rsid w:val="00D53DC8"/>
    <w:rsid w:val="00D55EBD"/>
    <w:rsid w:val="00D56E3D"/>
    <w:rsid w:val="00D6041A"/>
    <w:rsid w:val="00D60C51"/>
    <w:rsid w:val="00D62053"/>
    <w:rsid w:val="00D649D9"/>
    <w:rsid w:val="00D64E0F"/>
    <w:rsid w:val="00D65040"/>
    <w:rsid w:val="00D6505D"/>
    <w:rsid w:val="00D6529C"/>
    <w:rsid w:val="00D71FAF"/>
    <w:rsid w:val="00D729B9"/>
    <w:rsid w:val="00D72C33"/>
    <w:rsid w:val="00D73394"/>
    <w:rsid w:val="00D74BF4"/>
    <w:rsid w:val="00D74D4C"/>
    <w:rsid w:val="00D74DA6"/>
    <w:rsid w:val="00D7509C"/>
    <w:rsid w:val="00D75965"/>
    <w:rsid w:val="00D75BEF"/>
    <w:rsid w:val="00D76701"/>
    <w:rsid w:val="00D802A3"/>
    <w:rsid w:val="00D81302"/>
    <w:rsid w:val="00D82383"/>
    <w:rsid w:val="00D83C96"/>
    <w:rsid w:val="00D8584C"/>
    <w:rsid w:val="00D86422"/>
    <w:rsid w:val="00D8709C"/>
    <w:rsid w:val="00D87EE3"/>
    <w:rsid w:val="00D915C0"/>
    <w:rsid w:val="00D94552"/>
    <w:rsid w:val="00DA2D48"/>
    <w:rsid w:val="00DA33F0"/>
    <w:rsid w:val="00DA633A"/>
    <w:rsid w:val="00DA7456"/>
    <w:rsid w:val="00DB175F"/>
    <w:rsid w:val="00DB235A"/>
    <w:rsid w:val="00DB40BE"/>
    <w:rsid w:val="00DB4B03"/>
    <w:rsid w:val="00DB6B81"/>
    <w:rsid w:val="00DB751D"/>
    <w:rsid w:val="00DB7BFE"/>
    <w:rsid w:val="00DC3FE9"/>
    <w:rsid w:val="00DC5145"/>
    <w:rsid w:val="00DC5F4B"/>
    <w:rsid w:val="00DD0225"/>
    <w:rsid w:val="00DD1FF7"/>
    <w:rsid w:val="00DD2322"/>
    <w:rsid w:val="00DD2915"/>
    <w:rsid w:val="00DD2CC9"/>
    <w:rsid w:val="00DD3DF8"/>
    <w:rsid w:val="00DE0B9F"/>
    <w:rsid w:val="00DE2F16"/>
    <w:rsid w:val="00DE3323"/>
    <w:rsid w:val="00DE34A1"/>
    <w:rsid w:val="00DE3BE9"/>
    <w:rsid w:val="00DE587B"/>
    <w:rsid w:val="00DE726A"/>
    <w:rsid w:val="00DF0C87"/>
    <w:rsid w:val="00DF271A"/>
    <w:rsid w:val="00DF2F7D"/>
    <w:rsid w:val="00DF2FC4"/>
    <w:rsid w:val="00DF4D6F"/>
    <w:rsid w:val="00DF4FE2"/>
    <w:rsid w:val="00E0164E"/>
    <w:rsid w:val="00E01DB1"/>
    <w:rsid w:val="00E03020"/>
    <w:rsid w:val="00E033FC"/>
    <w:rsid w:val="00E04C5D"/>
    <w:rsid w:val="00E04CAF"/>
    <w:rsid w:val="00E0561B"/>
    <w:rsid w:val="00E05828"/>
    <w:rsid w:val="00E11534"/>
    <w:rsid w:val="00E1289B"/>
    <w:rsid w:val="00E14459"/>
    <w:rsid w:val="00E153F4"/>
    <w:rsid w:val="00E17E42"/>
    <w:rsid w:val="00E205E1"/>
    <w:rsid w:val="00E21635"/>
    <w:rsid w:val="00E21BD5"/>
    <w:rsid w:val="00E2240E"/>
    <w:rsid w:val="00E22B86"/>
    <w:rsid w:val="00E256F6"/>
    <w:rsid w:val="00E27EBA"/>
    <w:rsid w:val="00E30656"/>
    <w:rsid w:val="00E406BC"/>
    <w:rsid w:val="00E409BD"/>
    <w:rsid w:val="00E44B46"/>
    <w:rsid w:val="00E4675F"/>
    <w:rsid w:val="00E53A20"/>
    <w:rsid w:val="00E55433"/>
    <w:rsid w:val="00E568A4"/>
    <w:rsid w:val="00E570F9"/>
    <w:rsid w:val="00E60368"/>
    <w:rsid w:val="00E614E6"/>
    <w:rsid w:val="00E625D5"/>
    <w:rsid w:val="00E639F4"/>
    <w:rsid w:val="00E649C4"/>
    <w:rsid w:val="00E70C69"/>
    <w:rsid w:val="00E72928"/>
    <w:rsid w:val="00E729C0"/>
    <w:rsid w:val="00E75852"/>
    <w:rsid w:val="00E75C0C"/>
    <w:rsid w:val="00E76994"/>
    <w:rsid w:val="00E77599"/>
    <w:rsid w:val="00E80437"/>
    <w:rsid w:val="00E82188"/>
    <w:rsid w:val="00E8362C"/>
    <w:rsid w:val="00E913EE"/>
    <w:rsid w:val="00E94591"/>
    <w:rsid w:val="00E94C72"/>
    <w:rsid w:val="00E962A7"/>
    <w:rsid w:val="00EA065C"/>
    <w:rsid w:val="00EA4224"/>
    <w:rsid w:val="00EA6B0F"/>
    <w:rsid w:val="00EA6E87"/>
    <w:rsid w:val="00EB0777"/>
    <w:rsid w:val="00EB12B1"/>
    <w:rsid w:val="00EB1B60"/>
    <w:rsid w:val="00EB1C35"/>
    <w:rsid w:val="00EB3B48"/>
    <w:rsid w:val="00EB557E"/>
    <w:rsid w:val="00EB5EDE"/>
    <w:rsid w:val="00EB69DD"/>
    <w:rsid w:val="00EB7BA3"/>
    <w:rsid w:val="00EB7ECC"/>
    <w:rsid w:val="00ED28A8"/>
    <w:rsid w:val="00ED2A8D"/>
    <w:rsid w:val="00ED3608"/>
    <w:rsid w:val="00ED521D"/>
    <w:rsid w:val="00ED57B6"/>
    <w:rsid w:val="00EE1C81"/>
    <w:rsid w:val="00EE3351"/>
    <w:rsid w:val="00EE4233"/>
    <w:rsid w:val="00EE5388"/>
    <w:rsid w:val="00EE6DBF"/>
    <w:rsid w:val="00EF02CF"/>
    <w:rsid w:val="00EF1672"/>
    <w:rsid w:val="00EF3C47"/>
    <w:rsid w:val="00EF4FC2"/>
    <w:rsid w:val="00F00C5B"/>
    <w:rsid w:val="00F01344"/>
    <w:rsid w:val="00F02869"/>
    <w:rsid w:val="00F04A09"/>
    <w:rsid w:val="00F05220"/>
    <w:rsid w:val="00F070A2"/>
    <w:rsid w:val="00F072A9"/>
    <w:rsid w:val="00F10081"/>
    <w:rsid w:val="00F132B1"/>
    <w:rsid w:val="00F15D77"/>
    <w:rsid w:val="00F246E4"/>
    <w:rsid w:val="00F25433"/>
    <w:rsid w:val="00F25DAF"/>
    <w:rsid w:val="00F26039"/>
    <w:rsid w:val="00F32C7D"/>
    <w:rsid w:val="00F343A3"/>
    <w:rsid w:val="00F363DB"/>
    <w:rsid w:val="00F37B2C"/>
    <w:rsid w:val="00F40082"/>
    <w:rsid w:val="00F40B6B"/>
    <w:rsid w:val="00F4156C"/>
    <w:rsid w:val="00F4310B"/>
    <w:rsid w:val="00F44B53"/>
    <w:rsid w:val="00F45AAB"/>
    <w:rsid w:val="00F461BA"/>
    <w:rsid w:val="00F4639E"/>
    <w:rsid w:val="00F5073D"/>
    <w:rsid w:val="00F50DEF"/>
    <w:rsid w:val="00F54C62"/>
    <w:rsid w:val="00F57A76"/>
    <w:rsid w:val="00F57DEF"/>
    <w:rsid w:val="00F60175"/>
    <w:rsid w:val="00F61C21"/>
    <w:rsid w:val="00F64346"/>
    <w:rsid w:val="00F658A2"/>
    <w:rsid w:val="00F659C1"/>
    <w:rsid w:val="00F66900"/>
    <w:rsid w:val="00F707FF"/>
    <w:rsid w:val="00F72D02"/>
    <w:rsid w:val="00F73FA1"/>
    <w:rsid w:val="00F77F3C"/>
    <w:rsid w:val="00F80691"/>
    <w:rsid w:val="00F8086E"/>
    <w:rsid w:val="00F80BE7"/>
    <w:rsid w:val="00F813A1"/>
    <w:rsid w:val="00F8185A"/>
    <w:rsid w:val="00F81AFC"/>
    <w:rsid w:val="00F82A7B"/>
    <w:rsid w:val="00F83875"/>
    <w:rsid w:val="00F83919"/>
    <w:rsid w:val="00F83D40"/>
    <w:rsid w:val="00F859A6"/>
    <w:rsid w:val="00F85B33"/>
    <w:rsid w:val="00F87719"/>
    <w:rsid w:val="00F87DCC"/>
    <w:rsid w:val="00F9054A"/>
    <w:rsid w:val="00F90DF9"/>
    <w:rsid w:val="00F91EEE"/>
    <w:rsid w:val="00F935B9"/>
    <w:rsid w:val="00F9393D"/>
    <w:rsid w:val="00F94BFE"/>
    <w:rsid w:val="00F97213"/>
    <w:rsid w:val="00FA26F9"/>
    <w:rsid w:val="00FA27A6"/>
    <w:rsid w:val="00FA3377"/>
    <w:rsid w:val="00FA41EB"/>
    <w:rsid w:val="00FA5E83"/>
    <w:rsid w:val="00FA66AC"/>
    <w:rsid w:val="00FA6E3E"/>
    <w:rsid w:val="00FB1137"/>
    <w:rsid w:val="00FB13A8"/>
    <w:rsid w:val="00FB2036"/>
    <w:rsid w:val="00FB386A"/>
    <w:rsid w:val="00FB4D9E"/>
    <w:rsid w:val="00FC17BB"/>
    <w:rsid w:val="00FC2580"/>
    <w:rsid w:val="00FC5D02"/>
    <w:rsid w:val="00FC765B"/>
    <w:rsid w:val="00FD13FF"/>
    <w:rsid w:val="00FD15BC"/>
    <w:rsid w:val="00FD25EB"/>
    <w:rsid w:val="00FD397E"/>
    <w:rsid w:val="00FD47BC"/>
    <w:rsid w:val="00FE0BE7"/>
    <w:rsid w:val="00FE16B7"/>
    <w:rsid w:val="00FE335D"/>
    <w:rsid w:val="00FE5B6B"/>
    <w:rsid w:val="00FE61B4"/>
    <w:rsid w:val="00FE776C"/>
    <w:rsid w:val="00FE79A8"/>
    <w:rsid w:val="00FF17CB"/>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EA2C2D9-75CF-401F-8816-C6796103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iPriority w:val="99"/>
    <w:semiHidden/>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semiHidden/>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1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19"/>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20"/>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1652639859">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73423-2AD6-41B4-964C-C109F17C3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48</Pages>
  <Words>7229</Words>
  <Characters>39760</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46896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11</cp:revision>
  <cp:lastPrinted>2017-03-07T00:57:00Z</cp:lastPrinted>
  <dcterms:created xsi:type="dcterms:W3CDTF">2016-11-21T02:06:00Z</dcterms:created>
  <dcterms:modified xsi:type="dcterms:W3CDTF">2017-03-07T00:57:00Z</dcterms:modified>
</cp:coreProperties>
</file>