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EB" w:rsidRPr="00513CE9" w:rsidRDefault="002542EB" w:rsidP="002542EB">
      <w:pPr>
        <w:rPr>
          <w:rFonts w:ascii="Arial" w:hAnsi="Arial" w:cs="Arial"/>
          <w:b/>
          <w:bCs/>
          <w:sz w:val="24"/>
          <w:szCs w:val="24"/>
        </w:rPr>
      </w:pPr>
      <w:r w:rsidRPr="00513CE9">
        <w:rPr>
          <w:rFonts w:ascii="Arial" w:hAnsi="Arial" w:cs="Arial"/>
          <w:b/>
          <w:bCs/>
          <w:sz w:val="24"/>
          <w:szCs w:val="24"/>
        </w:rPr>
        <w:t>HONORABLE ASAMBLEA:</w:t>
      </w:r>
    </w:p>
    <w:p w:rsidR="002542EB" w:rsidRDefault="002542EB" w:rsidP="002542EB">
      <w:pPr>
        <w:ind w:firstLine="709"/>
        <w:jc w:val="both"/>
        <w:rPr>
          <w:rFonts w:ascii="Arial" w:hAnsi="Arial" w:cs="Arial"/>
          <w:sz w:val="24"/>
        </w:rPr>
      </w:pPr>
    </w:p>
    <w:p w:rsidR="002542EB" w:rsidRPr="00117EB1" w:rsidRDefault="002542EB" w:rsidP="002542EB">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Comisión de Hacienda del Estado</w:t>
      </w:r>
      <w:r>
        <w:rPr>
          <w:rFonts w:ascii="Arial" w:hAnsi="Arial" w:cs="Arial"/>
          <w:sz w:val="24"/>
        </w:rPr>
        <w:t xml:space="preserve"> le fue turnado</w:t>
      </w:r>
      <w:r w:rsidRPr="00117EB1">
        <w:rPr>
          <w:rFonts w:ascii="Arial" w:hAnsi="Arial" w:cs="Arial"/>
          <w:sz w:val="24"/>
        </w:rPr>
        <w:t xml:space="preserve"> para su</w:t>
      </w:r>
      <w:r>
        <w:rPr>
          <w:rFonts w:ascii="Arial" w:hAnsi="Arial" w:cs="Arial"/>
          <w:sz w:val="24"/>
        </w:rPr>
        <w:t xml:space="preserve"> estudio y</w:t>
      </w:r>
      <w:r w:rsidR="00850033">
        <w:rPr>
          <w:rFonts w:ascii="Arial" w:hAnsi="Arial" w:cs="Arial"/>
          <w:sz w:val="24"/>
        </w:rPr>
        <w:t xml:space="preserve"> dictamen en fecha 14 de noviembre del 2016</w:t>
      </w:r>
      <w:r w:rsidRPr="00117EB1">
        <w:rPr>
          <w:rFonts w:ascii="Arial" w:hAnsi="Arial" w:cs="Arial"/>
          <w:sz w:val="24"/>
        </w:rPr>
        <w:t xml:space="preserve">, escrito que contiene el </w:t>
      </w:r>
      <w:r>
        <w:rPr>
          <w:rFonts w:ascii="Arial" w:hAnsi="Arial" w:cs="Arial"/>
          <w:sz w:val="24"/>
        </w:rPr>
        <w:t>Informe de</w:t>
      </w:r>
      <w:r w:rsidRPr="00117EB1">
        <w:rPr>
          <w:rFonts w:ascii="Arial" w:hAnsi="Arial" w:cs="Arial"/>
          <w:sz w:val="24"/>
        </w:rPr>
        <w:t xml:space="preserve"> Resultado</w:t>
      </w:r>
      <w:r>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Pr>
          <w:rFonts w:ascii="Arial" w:hAnsi="Arial" w:cs="Arial"/>
          <w:sz w:val="24"/>
        </w:rPr>
        <w:t xml:space="preserve"> de la </w:t>
      </w:r>
      <w:r w:rsidRPr="006E4197">
        <w:rPr>
          <w:rFonts w:ascii="Arial" w:hAnsi="Arial" w:cs="Arial"/>
          <w:b/>
          <w:sz w:val="24"/>
        </w:rPr>
        <w:t>Universidad Tecnológica Linares</w:t>
      </w:r>
      <w:r>
        <w:rPr>
          <w:rFonts w:ascii="Arial" w:hAnsi="Arial" w:cs="Arial"/>
          <w:sz w:val="24"/>
        </w:rPr>
        <w:t>, correspondiente al</w:t>
      </w:r>
      <w:r w:rsidRPr="00117EB1">
        <w:rPr>
          <w:rFonts w:ascii="Arial" w:hAnsi="Arial" w:cs="Arial"/>
          <w:sz w:val="24"/>
        </w:rPr>
        <w:t xml:space="preserve"> Ejercicio Fiscal </w:t>
      </w:r>
      <w:r w:rsidR="00CC0C96">
        <w:rPr>
          <w:rFonts w:ascii="Arial" w:hAnsi="Arial" w:cs="Arial"/>
          <w:b/>
          <w:bCs/>
          <w:sz w:val="24"/>
        </w:rPr>
        <w:t>2015</w:t>
      </w:r>
      <w:r w:rsidRPr="00117EB1">
        <w:rPr>
          <w:rFonts w:ascii="Arial" w:hAnsi="Arial" w:cs="Arial"/>
          <w:sz w:val="24"/>
        </w:rPr>
        <w:t>, bajo el expediente</w:t>
      </w:r>
      <w:r>
        <w:rPr>
          <w:rFonts w:ascii="Arial" w:hAnsi="Arial" w:cs="Arial"/>
          <w:sz w:val="24"/>
        </w:rPr>
        <w:t xml:space="preserve"> número</w:t>
      </w:r>
      <w:r w:rsidRPr="00117EB1">
        <w:rPr>
          <w:rFonts w:ascii="Arial" w:hAnsi="Arial" w:cs="Arial"/>
          <w:sz w:val="24"/>
        </w:rPr>
        <w:t xml:space="preserve"> </w:t>
      </w:r>
      <w:r w:rsidR="00AA1573">
        <w:rPr>
          <w:rFonts w:ascii="Arial" w:hAnsi="Arial" w:cs="Arial"/>
          <w:b/>
          <w:sz w:val="24"/>
        </w:rPr>
        <w:t>10462</w:t>
      </w:r>
      <w:r>
        <w:rPr>
          <w:rFonts w:ascii="Arial" w:hAnsi="Arial" w:cs="Arial"/>
          <w:b/>
          <w:bCs/>
          <w:sz w:val="24"/>
        </w:rPr>
        <w:t>/LXXIV</w:t>
      </w:r>
      <w:r w:rsidRPr="00117EB1">
        <w:rPr>
          <w:rFonts w:ascii="Arial" w:hAnsi="Arial" w:cs="Arial"/>
          <w:b/>
          <w:bCs/>
          <w:sz w:val="24"/>
        </w:rPr>
        <w:t>.</w:t>
      </w:r>
    </w:p>
    <w:p w:rsidR="002542EB" w:rsidRPr="00117EB1" w:rsidRDefault="002542EB" w:rsidP="002542EB">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2542EB" w:rsidRDefault="002542EB" w:rsidP="002542EB">
      <w:pPr>
        <w:jc w:val="both"/>
        <w:rPr>
          <w:rFonts w:ascii="Arial" w:hAnsi="Arial" w:cs="Arial"/>
          <w:b/>
          <w:bCs/>
        </w:rPr>
      </w:pPr>
      <w:r w:rsidRPr="008D1FA1">
        <w:rPr>
          <w:rFonts w:ascii="Arial" w:hAnsi="Arial" w:cs="Arial"/>
          <w:b/>
          <w:bCs/>
        </w:rPr>
        <w:t>ANTECEDENTES:</w:t>
      </w:r>
    </w:p>
    <w:p w:rsidR="002542EB" w:rsidRPr="00B67BEE" w:rsidRDefault="002542EB" w:rsidP="002542EB">
      <w:pPr>
        <w:spacing w:after="0"/>
        <w:jc w:val="both"/>
        <w:rPr>
          <w:rFonts w:ascii="Arial" w:hAnsi="Arial" w:cs="Arial"/>
          <w:sz w:val="24"/>
          <w:szCs w:val="24"/>
        </w:rPr>
      </w:pPr>
    </w:p>
    <w:p w:rsidR="002542EB" w:rsidRPr="00B67BEE" w:rsidRDefault="002542EB" w:rsidP="002542EB">
      <w:pPr>
        <w:spacing w:after="0" w:line="360" w:lineRule="auto"/>
        <w:ind w:firstLine="709"/>
        <w:jc w:val="both"/>
        <w:rPr>
          <w:rFonts w:ascii="Arial" w:hAnsi="Arial" w:cs="Arial"/>
          <w:sz w:val="24"/>
          <w:szCs w:val="24"/>
        </w:rPr>
      </w:pPr>
      <w:r w:rsidRPr="00B67BEE">
        <w:rPr>
          <w:rFonts w:ascii="Arial" w:hAnsi="Arial" w:cs="Arial"/>
          <w:sz w:val="24"/>
          <w:szCs w:val="24"/>
        </w:rPr>
        <w:t>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desc</w:t>
      </w:r>
      <w:r>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Pr>
          <w:rFonts w:ascii="Arial" w:hAnsi="Arial" w:cs="Arial"/>
          <w:sz w:val="24"/>
          <w:szCs w:val="24"/>
        </w:rPr>
        <w:t xml:space="preserve">dministración </w:t>
      </w:r>
      <w:r>
        <w:rPr>
          <w:rFonts w:ascii="Arial" w:hAnsi="Arial" w:cs="Arial"/>
          <w:sz w:val="24"/>
          <w:szCs w:val="24"/>
        </w:rPr>
        <w:lastRenderedPageBreak/>
        <w:t>pública del Estatal</w:t>
      </w:r>
      <w:r w:rsidRPr="00B67BEE">
        <w:rPr>
          <w:rFonts w:ascii="Arial" w:hAnsi="Arial" w:cs="Arial"/>
          <w:sz w:val="24"/>
          <w:szCs w:val="24"/>
        </w:rPr>
        <w:t>, los municipios y sus organismos descentralizados y desconcentrados.</w:t>
      </w:r>
    </w:p>
    <w:p w:rsidR="002542EB" w:rsidRPr="00B67BEE" w:rsidRDefault="002542EB" w:rsidP="002542EB">
      <w:pPr>
        <w:spacing w:after="0" w:line="360" w:lineRule="auto"/>
        <w:ind w:firstLine="709"/>
        <w:jc w:val="both"/>
        <w:rPr>
          <w:rFonts w:ascii="Arial" w:hAnsi="Arial" w:cs="Arial"/>
          <w:sz w:val="24"/>
          <w:szCs w:val="24"/>
        </w:rPr>
      </w:pPr>
    </w:p>
    <w:p w:rsidR="002542EB" w:rsidRPr="00B67BEE" w:rsidRDefault="002542EB" w:rsidP="002542EB">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596D08">
        <w:rPr>
          <w:rFonts w:ascii="Arial" w:hAnsi="Arial" w:cs="Arial"/>
          <w:sz w:val="24"/>
          <w:szCs w:val="24"/>
        </w:rPr>
        <w:t>uenta Pública del ejercicio 2015</w:t>
      </w:r>
      <w:r w:rsidRPr="00B67BEE">
        <w:rPr>
          <w:rFonts w:ascii="Arial" w:hAnsi="Arial" w:cs="Arial"/>
          <w:sz w:val="24"/>
          <w:szCs w:val="24"/>
        </w:rPr>
        <w:t xml:space="preserve"> </w:t>
      </w:r>
      <w:r>
        <w:rPr>
          <w:rFonts w:ascii="Arial" w:hAnsi="Arial" w:cs="Arial"/>
          <w:sz w:val="24"/>
        </w:rPr>
        <w:t xml:space="preserve">de la </w:t>
      </w:r>
      <w:r w:rsidRPr="006E4197">
        <w:rPr>
          <w:rFonts w:ascii="Arial" w:hAnsi="Arial" w:cs="Arial"/>
          <w:b/>
          <w:sz w:val="24"/>
        </w:rPr>
        <w:t>Universidad Tecnológica Linares</w:t>
      </w:r>
      <w:r w:rsidRPr="00117EB1">
        <w:rPr>
          <w:rFonts w:ascii="Arial" w:hAnsi="Arial" w:cs="Arial"/>
          <w:sz w:val="24"/>
        </w:rPr>
        <w:t>,</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2542EB" w:rsidRPr="00B67BEE" w:rsidRDefault="002542EB" w:rsidP="002542EB">
      <w:pPr>
        <w:spacing w:after="0"/>
        <w:jc w:val="both"/>
        <w:rPr>
          <w:rFonts w:ascii="Arial" w:hAnsi="Arial" w:cs="Arial"/>
          <w:sz w:val="24"/>
          <w:szCs w:val="24"/>
        </w:rPr>
      </w:pPr>
    </w:p>
    <w:p w:rsidR="002542EB" w:rsidRPr="00B67BEE" w:rsidRDefault="002542EB" w:rsidP="002542EB">
      <w:pPr>
        <w:spacing w:after="0" w:line="360" w:lineRule="auto"/>
        <w:ind w:firstLine="709"/>
        <w:jc w:val="both"/>
        <w:rPr>
          <w:rFonts w:ascii="Arial" w:hAnsi="Arial" w:cs="Arial"/>
          <w:sz w:val="24"/>
          <w:szCs w:val="24"/>
        </w:rPr>
      </w:pPr>
      <w:r>
        <w:rPr>
          <w:rFonts w:ascii="Arial" w:hAnsi="Arial" w:cs="Arial"/>
          <w:sz w:val="24"/>
          <w:szCs w:val="24"/>
        </w:rPr>
        <w:t>En ese</w:t>
      </w:r>
      <w:r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Pr="00B67BEE">
        <w:rPr>
          <w:rFonts w:ascii="Arial" w:hAnsi="Arial" w:cs="Arial"/>
          <w:sz w:val="24"/>
          <w:szCs w:val="24"/>
        </w:rPr>
        <w:t xml:space="preserve"> Aud</w:t>
      </w:r>
      <w:r>
        <w:rPr>
          <w:rFonts w:ascii="Arial" w:hAnsi="Arial" w:cs="Arial"/>
          <w:sz w:val="24"/>
          <w:szCs w:val="24"/>
        </w:rPr>
        <w:t>itoría Superior del Estado tuvo</w:t>
      </w:r>
      <w:r w:rsidRPr="00B67BEE">
        <w:rPr>
          <w:rFonts w:ascii="Arial" w:hAnsi="Arial" w:cs="Arial"/>
          <w:sz w:val="24"/>
          <w:szCs w:val="24"/>
        </w:rPr>
        <w:t xml:space="preserve"> a bien rendir el Informe del Resultado de la revisión practicada a la C</w:t>
      </w:r>
      <w:r w:rsidR="00596D08">
        <w:rPr>
          <w:rFonts w:ascii="Arial" w:hAnsi="Arial" w:cs="Arial"/>
          <w:sz w:val="24"/>
          <w:szCs w:val="24"/>
        </w:rPr>
        <w:t>uenta Pública del ejercicio 2015</w:t>
      </w:r>
      <w:r w:rsidRPr="00B67BEE">
        <w:rPr>
          <w:rFonts w:ascii="Arial" w:hAnsi="Arial" w:cs="Arial"/>
          <w:sz w:val="24"/>
          <w:szCs w:val="24"/>
        </w:rPr>
        <w:t xml:space="preserve"> </w:t>
      </w:r>
      <w:r>
        <w:rPr>
          <w:rFonts w:ascii="Arial" w:hAnsi="Arial" w:cs="Arial"/>
          <w:sz w:val="24"/>
        </w:rPr>
        <w:t xml:space="preserve">de la </w:t>
      </w:r>
      <w:r w:rsidRPr="006E4197">
        <w:rPr>
          <w:rFonts w:ascii="Arial" w:hAnsi="Arial" w:cs="Arial"/>
          <w:b/>
          <w:sz w:val="24"/>
        </w:rPr>
        <w:t>Universidad Tecnológica Linares</w:t>
      </w:r>
      <w:r w:rsidRPr="00117EB1">
        <w:rPr>
          <w:rFonts w:ascii="Arial" w:hAnsi="Arial" w:cs="Arial"/>
          <w:sz w:val="24"/>
        </w:rPr>
        <w:t>,</w:t>
      </w:r>
      <w:r>
        <w:rPr>
          <w:rFonts w:ascii="Arial" w:hAnsi="Arial" w:cs="Arial"/>
          <w:sz w:val="24"/>
          <w:szCs w:val="24"/>
        </w:rPr>
        <w:t xml:space="preserve"> a este</w:t>
      </w:r>
      <w:r w:rsidRPr="00B67BEE">
        <w:rPr>
          <w:rFonts w:ascii="Arial" w:hAnsi="Arial" w:cs="Arial"/>
          <w:sz w:val="24"/>
          <w:szCs w:val="24"/>
        </w:rPr>
        <w:t xml:space="preserve"> H. Congreso del Estado.</w:t>
      </w:r>
    </w:p>
    <w:p w:rsidR="002542EB" w:rsidRPr="00B67BEE" w:rsidRDefault="002542EB" w:rsidP="002542EB">
      <w:pPr>
        <w:spacing w:after="0" w:line="360" w:lineRule="auto"/>
        <w:jc w:val="both"/>
        <w:rPr>
          <w:rFonts w:ascii="Arial" w:hAnsi="Arial" w:cs="Arial"/>
          <w:sz w:val="24"/>
          <w:szCs w:val="24"/>
        </w:rPr>
      </w:pPr>
    </w:p>
    <w:p w:rsidR="002542EB" w:rsidRPr="00B67BEE" w:rsidRDefault="002542EB" w:rsidP="002542EB">
      <w:pPr>
        <w:spacing w:after="0" w:line="360" w:lineRule="auto"/>
        <w:ind w:firstLine="709"/>
        <w:jc w:val="both"/>
        <w:rPr>
          <w:rFonts w:ascii="Arial" w:hAnsi="Arial" w:cs="Arial"/>
          <w:sz w:val="24"/>
          <w:szCs w:val="24"/>
        </w:rPr>
      </w:pPr>
      <w:r>
        <w:rPr>
          <w:rFonts w:ascii="Arial" w:hAnsi="Arial" w:cs="Arial"/>
          <w:sz w:val="24"/>
          <w:szCs w:val="24"/>
        </w:rPr>
        <w:t>Entre los apartados del</w:t>
      </w:r>
      <w:r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2542EB" w:rsidRPr="00B67BEE" w:rsidRDefault="002542EB" w:rsidP="002542EB">
      <w:pPr>
        <w:spacing w:after="0" w:line="360" w:lineRule="auto"/>
        <w:jc w:val="both"/>
        <w:rPr>
          <w:rFonts w:ascii="Arial" w:hAnsi="Arial" w:cs="Arial"/>
          <w:sz w:val="24"/>
          <w:szCs w:val="24"/>
        </w:rPr>
      </w:pPr>
    </w:p>
    <w:p w:rsidR="002542EB" w:rsidRDefault="002542EB" w:rsidP="002542EB">
      <w:pPr>
        <w:spacing w:after="0" w:line="360" w:lineRule="auto"/>
        <w:ind w:firstLine="709"/>
        <w:jc w:val="both"/>
        <w:rPr>
          <w:rFonts w:ascii="Arial" w:hAnsi="Arial" w:cs="Arial"/>
          <w:sz w:val="24"/>
          <w:szCs w:val="24"/>
        </w:rPr>
      </w:pPr>
      <w:r w:rsidRPr="00B67BEE">
        <w:rPr>
          <w:rFonts w:ascii="Arial" w:hAnsi="Arial" w:cs="Arial"/>
          <w:sz w:val="24"/>
          <w:szCs w:val="24"/>
        </w:rPr>
        <w:t>Asimismo, se realiza una descripción de los elementos revisados y resultados obtenidos en la revisión, respecto de:</w:t>
      </w:r>
    </w:p>
    <w:p w:rsidR="002542EB" w:rsidRDefault="002542EB" w:rsidP="002542EB">
      <w:pPr>
        <w:spacing w:after="0" w:line="360" w:lineRule="auto"/>
        <w:ind w:firstLine="709"/>
        <w:jc w:val="both"/>
        <w:rPr>
          <w:rFonts w:ascii="Arial" w:hAnsi="Arial" w:cs="Arial"/>
          <w:sz w:val="24"/>
          <w:szCs w:val="24"/>
        </w:rPr>
      </w:pPr>
    </w:p>
    <w:p w:rsidR="002542EB" w:rsidRDefault="002542EB" w:rsidP="002542EB">
      <w:pPr>
        <w:spacing w:after="0" w:line="360" w:lineRule="auto"/>
        <w:ind w:firstLine="709"/>
        <w:jc w:val="both"/>
        <w:rPr>
          <w:rFonts w:ascii="Arial" w:hAnsi="Arial" w:cs="Arial"/>
          <w:sz w:val="24"/>
          <w:szCs w:val="24"/>
        </w:rPr>
      </w:pPr>
    </w:p>
    <w:p w:rsidR="002542EB" w:rsidRPr="00B67BEE" w:rsidRDefault="002542EB" w:rsidP="002542EB">
      <w:pPr>
        <w:spacing w:after="0" w:line="360" w:lineRule="auto"/>
        <w:ind w:firstLine="709"/>
        <w:jc w:val="both"/>
        <w:rPr>
          <w:rFonts w:ascii="Arial" w:hAnsi="Arial" w:cs="Arial"/>
          <w:sz w:val="24"/>
          <w:szCs w:val="24"/>
        </w:rPr>
      </w:pPr>
    </w:p>
    <w:p w:rsidR="002542EB" w:rsidRPr="00B67BEE" w:rsidRDefault="002542EB" w:rsidP="002542EB">
      <w:pPr>
        <w:spacing w:after="0" w:line="360" w:lineRule="auto"/>
        <w:jc w:val="both"/>
        <w:rPr>
          <w:rFonts w:ascii="Arial" w:hAnsi="Arial" w:cs="Arial"/>
          <w:sz w:val="24"/>
          <w:szCs w:val="24"/>
        </w:rPr>
      </w:pPr>
    </w:p>
    <w:p w:rsidR="002542EB" w:rsidRPr="00B67BEE" w:rsidRDefault="002542EB" w:rsidP="002542EB">
      <w:pPr>
        <w:numPr>
          <w:ilvl w:val="0"/>
          <w:numId w:val="1"/>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2542EB" w:rsidRPr="00594027" w:rsidRDefault="002542EB" w:rsidP="002542EB">
      <w:pPr>
        <w:numPr>
          <w:ilvl w:val="0"/>
          <w:numId w:val="1"/>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Pr>
          <w:rFonts w:ascii="Arial" w:hAnsi="Arial" w:cs="Arial"/>
          <w:sz w:val="24"/>
          <w:szCs w:val="24"/>
        </w:rPr>
        <w:t>os y normativa correspondientes;</w:t>
      </w:r>
      <w:r w:rsidRPr="00594027">
        <w:rPr>
          <w:rFonts w:ascii="Arial" w:hAnsi="Arial" w:cs="Arial"/>
          <w:sz w:val="24"/>
          <w:szCs w:val="24"/>
        </w:rPr>
        <w:t xml:space="preserve"> y </w:t>
      </w:r>
    </w:p>
    <w:p w:rsidR="00596D08" w:rsidRDefault="002542EB" w:rsidP="00596D08">
      <w:pPr>
        <w:numPr>
          <w:ilvl w:val="0"/>
          <w:numId w:val="1"/>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596D08" w:rsidRDefault="00596D08" w:rsidP="00596D08">
      <w:pPr>
        <w:spacing w:after="0" w:line="360" w:lineRule="auto"/>
        <w:ind w:left="720"/>
        <w:contextualSpacing/>
        <w:jc w:val="both"/>
        <w:rPr>
          <w:rFonts w:ascii="Arial" w:hAnsi="Arial" w:cs="Arial"/>
          <w:sz w:val="24"/>
          <w:szCs w:val="24"/>
        </w:rPr>
      </w:pPr>
    </w:p>
    <w:p w:rsidR="002542EB" w:rsidRPr="00596D08" w:rsidRDefault="002542EB" w:rsidP="00596D08">
      <w:pPr>
        <w:spacing w:after="0" w:line="360" w:lineRule="auto"/>
        <w:ind w:firstLine="720"/>
        <w:contextualSpacing/>
        <w:jc w:val="both"/>
        <w:rPr>
          <w:rFonts w:ascii="Arial" w:hAnsi="Arial" w:cs="Arial"/>
          <w:sz w:val="24"/>
          <w:szCs w:val="24"/>
        </w:rPr>
      </w:pPr>
      <w:r w:rsidRPr="00596D08">
        <w:rPr>
          <w:rFonts w:ascii="Arial" w:hAnsi="Arial" w:cs="Arial"/>
          <w:b/>
          <w:sz w:val="24"/>
        </w:rPr>
        <w:t>Entidad Objeto de la revisión</w:t>
      </w:r>
    </w:p>
    <w:p w:rsidR="002542EB" w:rsidRDefault="002542EB" w:rsidP="002542EB">
      <w:pPr>
        <w:spacing w:after="0"/>
        <w:contextualSpacing/>
        <w:rPr>
          <w:rFonts w:ascii="Arial" w:hAnsi="Arial" w:cs="Arial"/>
          <w:sz w:val="24"/>
        </w:rPr>
      </w:pPr>
    </w:p>
    <w:p w:rsidR="002542EB" w:rsidRPr="00D9086D" w:rsidRDefault="002542EB" w:rsidP="002542EB">
      <w:pPr>
        <w:tabs>
          <w:tab w:val="left" w:pos="2610"/>
        </w:tabs>
        <w:spacing w:line="360" w:lineRule="auto"/>
        <w:ind w:firstLine="709"/>
        <w:jc w:val="both"/>
        <w:rPr>
          <w:rFonts w:ascii="Arial" w:hAnsi="Arial" w:cs="Arial"/>
          <w:sz w:val="24"/>
        </w:rPr>
      </w:pPr>
      <w:r w:rsidRPr="00D9086D">
        <w:rPr>
          <w:rFonts w:ascii="Arial" w:hAnsi="Arial" w:cs="Arial"/>
          <w:sz w:val="24"/>
        </w:rPr>
        <w:t>La Universidad Tecnológica Linares es un Organismo Público Descentralizado de la Administración Pública del Estado, con personalidad jurídica y patrimonio propios, creado según Decreto 65 del Gobierno del Estado de Nuevo León publicado en el Periódico Oficial del Estado el 02 de junio de 2010, para que contribuya en el marco del Sistema Educativo del Estado y del Sistema Nacional de Universidades Tecnológicas, a la prestación de servicios educativos de nivel superior en el área de la ciencia y la tecnología</w:t>
      </w:r>
      <w:r>
        <w:rPr>
          <w:rFonts w:ascii="Arial" w:hAnsi="Arial" w:cs="Arial"/>
          <w:sz w:val="24"/>
        </w:rPr>
        <w:t>.</w:t>
      </w:r>
    </w:p>
    <w:p w:rsidR="002542EB" w:rsidRPr="00D9086D" w:rsidRDefault="002542EB" w:rsidP="002542EB">
      <w:pPr>
        <w:tabs>
          <w:tab w:val="left" w:pos="2610"/>
        </w:tabs>
        <w:spacing w:line="360" w:lineRule="auto"/>
        <w:ind w:firstLine="709"/>
        <w:jc w:val="both"/>
        <w:rPr>
          <w:rFonts w:ascii="Arial" w:hAnsi="Arial" w:cs="Arial"/>
          <w:sz w:val="24"/>
        </w:rPr>
      </w:pPr>
      <w:r w:rsidRPr="00D9086D">
        <w:rPr>
          <w:rFonts w:ascii="Arial" w:hAnsi="Arial" w:cs="Arial"/>
          <w:sz w:val="24"/>
        </w:rPr>
        <w:t>La Universidad, forma parte del Sistema Educativo Estatal y del Sistema Nacional de Universidades Tecnológicas. Operará con base en el modelo pedagógico, académico y administrativo aprobado por la SEP y se adhiere al nivel, planes y programas de estudio que apruebe la Autoridad Educativa, siempre que exista congruencia entre estos y el marco normativo del Sistema Edu</w:t>
      </w:r>
      <w:r>
        <w:rPr>
          <w:rFonts w:ascii="Arial" w:hAnsi="Arial" w:cs="Arial"/>
          <w:sz w:val="24"/>
        </w:rPr>
        <w:t>cativo Estatal, su objeto será:</w:t>
      </w:r>
    </w:p>
    <w:p w:rsidR="002542EB" w:rsidRPr="00D9086D" w:rsidRDefault="002542EB" w:rsidP="002542EB">
      <w:pPr>
        <w:tabs>
          <w:tab w:val="left" w:pos="2610"/>
        </w:tabs>
        <w:spacing w:line="360" w:lineRule="auto"/>
        <w:ind w:firstLine="709"/>
        <w:jc w:val="both"/>
        <w:rPr>
          <w:rFonts w:ascii="Arial" w:hAnsi="Arial" w:cs="Arial"/>
          <w:sz w:val="24"/>
        </w:rPr>
      </w:pPr>
      <w:r>
        <w:rPr>
          <w:rFonts w:ascii="Arial" w:hAnsi="Arial" w:cs="Arial"/>
          <w:sz w:val="24"/>
        </w:rPr>
        <w:lastRenderedPageBreak/>
        <w:t xml:space="preserve">I. </w:t>
      </w:r>
      <w:r w:rsidRPr="00D9086D">
        <w:rPr>
          <w:rFonts w:ascii="Arial" w:hAnsi="Arial" w:cs="Arial"/>
          <w:sz w:val="24"/>
        </w:rPr>
        <w:t>Ofrecer programas cortos de educación superior, de dos años, con las características de intensidad, pertinencia, flexibilidad y calidad;</w:t>
      </w:r>
    </w:p>
    <w:p w:rsidR="002542EB" w:rsidRPr="00D9086D" w:rsidRDefault="002542EB" w:rsidP="002542EB">
      <w:pPr>
        <w:tabs>
          <w:tab w:val="left" w:pos="2610"/>
        </w:tabs>
        <w:spacing w:line="360" w:lineRule="auto"/>
        <w:ind w:firstLine="709"/>
        <w:jc w:val="both"/>
        <w:rPr>
          <w:rFonts w:ascii="Arial" w:hAnsi="Arial" w:cs="Arial"/>
          <w:sz w:val="24"/>
        </w:rPr>
      </w:pPr>
      <w:r>
        <w:rPr>
          <w:rFonts w:ascii="Arial" w:hAnsi="Arial" w:cs="Arial"/>
          <w:sz w:val="24"/>
        </w:rPr>
        <w:t xml:space="preserve">II. </w:t>
      </w:r>
      <w:r w:rsidRPr="00D9086D">
        <w:rPr>
          <w:rFonts w:ascii="Arial" w:hAnsi="Arial" w:cs="Arial"/>
          <w:sz w:val="24"/>
        </w:rPr>
        <w:t>Formar, a partir de egresados del bachillerato, técnicos superiores universitarios aptos para la aplicación de conocimientos y la solución creativa de problemas con un sentido de innovación en la incorporación de los avances científicos y tecnológicos;</w:t>
      </w:r>
    </w:p>
    <w:p w:rsidR="002542EB" w:rsidRPr="00D9086D" w:rsidRDefault="002542EB" w:rsidP="002542EB">
      <w:pPr>
        <w:tabs>
          <w:tab w:val="left" w:pos="2610"/>
        </w:tabs>
        <w:spacing w:line="360" w:lineRule="auto"/>
        <w:ind w:firstLine="709"/>
        <w:jc w:val="both"/>
        <w:rPr>
          <w:rFonts w:ascii="Arial" w:hAnsi="Arial" w:cs="Arial"/>
          <w:sz w:val="24"/>
        </w:rPr>
      </w:pPr>
      <w:r>
        <w:rPr>
          <w:rFonts w:ascii="Arial" w:hAnsi="Arial" w:cs="Arial"/>
          <w:sz w:val="24"/>
        </w:rPr>
        <w:t xml:space="preserve">III. </w:t>
      </w:r>
      <w:r w:rsidRPr="00D9086D">
        <w:rPr>
          <w:rFonts w:ascii="Arial" w:hAnsi="Arial" w:cs="Arial"/>
          <w:sz w:val="24"/>
        </w:rPr>
        <w:t>Ofrecer programas de continuidad de estudios para sus egresados y para egresados del nivel técnico superior universitario o profesional asociado de otras instituciones de educación superior, que permita a los estudiantes alcanzar los niveles académicos de licenciatura;</w:t>
      </w:r>
    </w:p>
    <w:p w:rsidR="002542EB" w:rsidRPr="00D9086D" w:rsidRDefault="002542EB" w:rsidP="002542EB">
      <w:pPr>
        <w:tabs>
          <w:tab w:val="left" w:pos="2610"/>
        </w:tabs>
        <w:spacing w:line="360" w:lineRule="auto"/>
        <w:ind w:firstLine="709"/>
        <w:jc w:val="both"/>
        <w:rPr>
          <w:rFonts w:ascii="Arial" w:hAnsi="Arial" w:cs="Arial"/>
          <w:sz w:val="24"/>
        </w:rPr>
      </w:pPr>
      <w:r>
        <w:rPr>
          <w:rFonts w:ascii="Arial" w:hAnsi="Arial" w:cs="Arial"/>
          <w:sz w:val="24"/>
        </w:rPr>
        <w:t xml:space="preserve">IV. </w:t>
      </w:r>
      <w:r w:rsidRPr="00D9086D">
        <w:rPr>
          <w:rFonts w:ascii="Arial" w:hAnsi="Arial" w:cs="Arial"/>
          <w:sz w:val="24"/>
        </w:rPr>
        <w:t>Desarrollar estudios o proyectos en las áreas de su competencia, que se traduzcan en aportaciones concretas que contribuyan al mejoramiento y mayor eficiencia de la producción de bienes y servicios y a la elevación de la calidad de vida de la comunidad;</w:t>
      </w:r>
    </w:p>
    <w:p w:rsidR="002542EB" w:rsidRPr="00D9086D" w:rsidRDefault="002542EB" w:rsidP="002542EB">
      <w:pPr>
        <w:tabs>
          <w:tab w:val="left" w:pos="2610"/>
        </w:tabs>
        <w:spacing w:line="360" w:lineRule="auto"/>
        <w:ind w:firstLine="709"/>
        <w:jc w:val="both"/>
        <w:rPr>
          <w:rFonts w:ascii="Arial" w:hAnsi="Arial" w:cs="Arial"/>
          <w:sz w:val="24"/>
        </w:rPr>
      </w:pPr>
      <w:r>
        <w:rPr>
          <w:rFonts w:ascii="Arial" w:hAnsi="Arial" w:cs="Arial"/>
          <w:sz w:val="24"/>
        </w:rPr>
        <w:t xml:space="preserve">V. </w:t>
      </w:r>
      <w:r w:rsidRPr="00D9086D">
        <w:rPr>
          <w:rFonts w:ascii="Arial" w:hAnsi="Arial" w:cs="Arial"/>
          <w:sz w:val="24"/>
        </w:rPr>
        <w:t>Desarrollar programas de apoyo técnico en beneficio de la comunidad;</w:t>
      </w:r>
    </w:p>
    <w:p w:rsidR="002542EB" w:rsidRPr="00D9086D" w:rsidRDefault="002542EB" w:rsidP="002542EB">
      <w:pPr>
        <w:tabs>
          <w:tab w:val="left" w:pos="2610"/>
        </w:tabs>
        <w:spacing w:line="360" w:lineRule="auto"/>
        <w:ind w:firstLine="709"/>
        <w:jc w:val="both"/>
        <w:rPr>
          <w:rFonts w:ascii="Arial" w:hAnsi="Arial" w:cs="Arial"/>
          <w:sz w:val="24"/>
        </w:rPr>
      </w:pPr>
      <w:r>
        <w:rPr>
          <w:rFonts w:ascii="Arial" w:hAnsi="Arial" w:cs="Arial"/>
          <w:sz w:val="24"/>
        </w:rPr>
        <w:t xml:space="preserve">VI. </w:t>
      </w:r>
      <w:r w:rsidRPr="00D9086D">
        <w:rPr>
          <w:rFonts w:ascii="Arial" w:hAnsi="Arial" w:cs="Arial"/>
          <w:sz w:val="24"/>
        </w:rPr>
        <w:t>Promover la cultura científica y tecnológica en el Estado mediante la investigación aplicada y el intercambio académico con otras instituciones educativas nacionales o extranjeras;</w:t>
      </w:r>
    </w:p>
    <w:p w:rsidR="002542EB" w:rsidRPr="00D9086D" w:rsidRDefault="002542EB" w:rsidP="002542EB">
      <w:pPr>
        <w:tabs>
          <w:tab w:val="left" w:pos="2610"/>
        </w:tabs>
        <w:spacing w:line="360" w:lineRule="auto"/>
        <w:ind w:firstLine="709"/>
        <w:jc w:val="both"/>
        <w:rPr>
          <w:rFonts w:ascii="Arial" w:hAnsi="Arial" w:cs="Arial"/>
          <w:sz w:val="24"/>
        </w:rPr>
      </w:pPr>
      <w:r>
        <w:rPr>
          <w:rFonts w:ascii="Arial" w:hAnsi="Arial" w:cs="Arial"/>
          <w:sz w:val="24"/>
        </w:rPr>
        <w:t xml:space="preserve">VII. </w:t>
      </w:r>
      <w:r w:rsidRPr="00D9086D">
        <w:rPr>
          <w:rFonts w:ascii="Arial" w:hAnsi="Arial" w:cs="Arial"/>
          <w:sz w:val="24"/>
        </w:rPr>
        <w:t>Desarrollar programas de vinculación con los sectores públicos, privado y social para contribuir con el desarrollo tecnológico, económico y social de la comunidad, y</w:t>
      </w:r>
    </w:p>
    <w:p w:rsidR="002542EB" w:rsidRDefault="002542EB" w:rsidP="002542EB">
      <w:pPr>
        <w:tabs>
          <w:tab w:val="left" w:pos="2610"/>
        </w:tabs>
        <w:spacing w:line="360" w:lineRule="auto"/>
        <w:ind w:firstLine="709"/>
        <w:jc w:val="both"/>
        <w:rPr>
          <w:rFonts w:ascii="Arial" w:hAnsi="Arial" w:cs="Arial"/>
          <w:sz w:val="24"/>
        </w:rPr>
      </w:pPr>
      <w:r>
        <w:rPr>
          <w:rFonts w:ascii="Arial" w:hAnsi="Arial" w:cs="Arial"/>
          <w:sz w:val="24"/>
        </w:rPr>
        <w:lastRenderedPageBreak/>
        <w:t xml:space="preserve">VIII. </w:t>
      </w:r>
      <w:r w:rsidRPr="00D9086D">
        <w:rPr>
          <w:rFonts w:ascii="Arial" w:hAnsi="Arial" w:cs="Arial"/>
          <w:sz w:val="24"/>
        </w:rPr>
        <w:t>Realizar todo género de actividades académicas, por sí o en coordinación con otras instituciones públicas o privadas.</w:t>
      </w:r>
    </w:p>
    <w:p w:rsidR="00596D08" w:rsidRDefault="00596D08" w:rsidP="00596D08">
      <w:pPr>
        <w:pStyle w:val="Prrafodelista"/>
        <w:spacing w:after="0"/>
        <w:ind w:left="426"/>
        <w:contextualSpacing/>
        <w:jc w:val="both"/>
        <w:rPr>
          <w:rFonts w:ascii="Arial" w:hAnsi="Arial" w:cs="Arial"/>
          <w:sz w:val="24"/>
        </w:rPr>
      </w:pPr>
    </w:p>
    <w:p w:rsidR="002542EB" w:rsidRPr="00B67BEE" w:rsidRDefault="002542EB" w:rsidP="00596D08">
      <w:pPr>
        <w:pStyle w:val="Prrafodelista"/>
        <w:spacing w:after="0"/>
        <w:ind w:left="426"/>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2542EB" w:rsidRDefault="002542EB" w:rsidP="002542EB">
      <w:pPr>
        <w:pStyle w:val="Prrafodelista"/>
        <w:spacing w:after="0"/>
        <w:ind w:left="426"/>
        <w:rPr>
          <w:rFonts w:ascii="Arial" w:hAnsi="Arial" w:cs="Arial"/>
          <w:b/>
          <w:sz w:val="24"/>
        </w:rPr>
      </w:pPr>
    </w:p>
    <w:p w:rsidR="002542EB" w:rsidRDefault="002542EB" w:rsidP="002542EB">
      <w:pPr>
        <w:pStyle w:val="Prrafodelista"/>
        <w:spacing w:after="0"/>
        <w:ind w:left="426"/>
        <w:rPr>
          <w:rFonts w:ascii="Arial" w:hAnsi="Arial" w:cs="Arial"/>
          <w:b/>
          <w:sz w:val="24"/>
        </w:rPr>
      </w:pPr>
    </w:p>
    <w:p w:rsidR="002542EB" w:rsidRPr="0077749F" w:rsidRDefault="002542EB" w:rsidP="002542EB">
      <w:pPr>
        <w:spacing w:after="0"/>
        <w:jc w:val="both"/>
        <w:rPr>
          <w:rFonts w:ascii="Arial" w:eastAsia="Times New Roman" w:hAnsi="Arial" w:cs="Arial"/>
          <w:sz w:val="24"/>
          <w:lang w:eastAsia="es-ES"/>
        </w:rPr>
      </w:pPr>
      <w:r w:rsidRPr="0077749F">
        <w:rPr>
          <w:rFonts w:ascii="Arial" w:eastAsia="Times New Roman" w:hAnsi="Arial" w:cs="Arial"/>
          <w:b/>
          <w:sz w:val="24"/>
          <w:lang w:eastAsia="es-ES"/>
        </w:rPr>
        <w:t>Auditorías programadas por tipo o materia</w:t>
      </w:r>
    </w:p>
    <w:p w:rsidR="002542EB" w:rsidRPr="0077749F" w:rsidRDefault="002542EB" w:rsidP="002542EB">
      <w:pPr>
        <w:spacing w:after="0"/>
        <w:jc w:val="both"/>
        <w:rPr>
          <w:rFonts w:ascii="Arial" w:eastAsia="Times New Roman" w:hAnsi="Arial" w:cs="Arial"/>
          <w:sz w:val="24"/>
          <w:lang w:eastAsia="es-ES"/>
        </w:rPr>
      </w:pPr>
    </w:p>
    <w:p w:rsidR="002542EB" w:rsidRDefault="002542EB" w:rsidP="002542EB">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Pr>
          <w:rFonts w:ascii="Arial" w:eastAsia="Times New Roman" w:hAnsi="Arial" w:cs="Arial"/>
          <w:sz w:val="24"/>
          <w:lang w:eastAsia="es-ES"/>
        </w:rPr>
        <w:t xml:space="preserve">rograma Anual de </w:t>
      </w:r>
      <w:r w:rsidR="00596D08">
        <w:rPr>
          <w:rFonts w:ascii="Arial" w:eastAsia="Times New Roman" w:hAnsi="Arial" w:cs="Arial"/>
          <w:sz w:val="24"/>
          <w:lang w:eastAsia="es-ES"/>
        </w:rPr>
        <w:t>Auditorías 2016</w:t>
      </w:r>
      <w:r w:rsidRPr="0077749F">
        <w:rPr>
          <w:rFonts w:ascii="Arial" w:eastAsia="Times New Roman" w:hAnsi="Arial" w:cs="Arial"/>
          <w:sz w:val="24"/>
          <w:lang w:eastAsia="es-ES"/>
        </w:rPr>
        <w:t xml:space="preserve"> para la Fiscalización de las Cuentas Públicas co</w:t>
      </w:r>
      <w:r w:rsidR="00596D08">
        <w:rPr>
          <w:rFonts w:ascii="Arial" w:eastAsia="Times New Roman" w:hAnsi="Arial" w:cs="Arial"/>
          <w:sz w:val="24"/>
          <w:lang w:eastAsia="es-ES"/>
        </w:rPr>
        <w:t>rrespondientes al ejercicio 2015</w:t>
      </w:r>
      <w:r>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596D08">
        <w:rPr>
          <w:rFonts w:ascii="Arial" w:eastAsia="Times New Roman" w:hAnsi="Arial" w:cs="Arial"/>
          <w:sz w:val="24"/>
          <w:lang w:eastAsia="es-ES"/>
        </w:rPr>
        <w:t>isión de Vigilancia, en fecha 14 de junio del 2016</w:t>
      </w:r>
      <w:r>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p w:rsidR="00596D08" w:rsidRDefault="00596D08" w:rsidP="002542EB">
      <w:pPr>
        <w:spacing w:after="0" w:line="360" w:lineRule="auto"/>
        <w:ind w:firstLine="567"/>
        <w:jc w:val="both"/>
        <w:rPr>
          <w:rFonts w:ascii="Arial" w:eastAsia="Times New Roman" w:hAnsi="Arial" w:cs="Arial"/>
          <w:sz w:val="24"/>
          <w:lang w:eastAsia="es-ES"/>
        </w:rPr>
      </w:pPr>
    </w:p>
    <w:tbl>
      <w:tblPr>
        <w:tblW w:w="5000" w:type="pct"/>
        <w:jc w:val="center"/>
        <w:tblLayout w:type="fixed"/>
        <w:tblCellMar>
          <w:left w:w="70" w:type="dxa"/>
          <w:right w:w="70" w:type="dxa"/>
        </w:tblCellMar>
        <w:tblLook w:val="04A0" w:firstRow="1" w:lastRow="0" w:firstColumn="1" w:lastColumn="0" w:noHBand="0" w:noVBand="1"/>
      </w:tblPr>
      <w:tblGrid>
        <w:gridCol w:w="1855"/>
        <w:gridCol w:w="921"/>
        <w:gridCol w:w="908"/>
        <w:gridCol w:w="778"/>
        <w:gridCol w:w="908"/>
        <w:gridCol w:w="1417"/>
        <w:gridCol w:w="908"/>
        <w:gridCol w:w="602"/>
      </w:tblGrid>
      <w:tr w:rsidR="00596D08" w:rsidRPr="00596D08" w:rsidTr="00596D08">
        <w:trPr>
          <w:trHeight w:val="300"/>
          <w:tblHeader/>
          <w:jc w:val="center"/>
        </w:trPr>
        <w:tc>
          <w:tcPr>
            <w:tcW w:w="1118" w:type="pct"/>
            <w:vMerge w:val="restart"/>
            <w:tcBorders>
              <w:top w:val="single" w:sz="12" w:space="0" w:color="auto"/>
              <w:left w:val="single" w:sz="12" w:space="0" w:color="auto"/>
              <w:bottom w:val="single" w:sz="12" w:space="0" w:color="auto"/>
              <w:right w:val="single" w:sz="12" w:space="0" w:color="auto"/>
            </w:tcBorders>
            <w:shd w:val="clear" w:color="auto" w:fill="C9C9C9" w:themeFill="accent3" w:themeFillTint="99"/>
            <w:noWrap/>
            <w:vAlign w:val="center"/>
            <w:hideMark/>
          </w:tcPr>
          <w:p w:rsidR="00596D08" w:rsidRPr="00596D08" w:rsidRDefault="00596D08" w:rsidP="005C7DA2">
            <w:pPr>
              <w:ind w:hanging="284"/>
              <w:jc w:val="center"/>
              <w:rPr>
                <w:rFonts w:ascii="Arial" w:hAnsi="Arial" w:cs="Arial"/>
                <w:b/>
                <w:bCs/>
                <w:color w:val="000000"/>
                <w:sz w:val="14"/>
                <w:szCs w:val="14"/>
                <w:lang w:eastAsia="es-MX"/>
              </w:rPr>
            </w:pPr>
            <w:r w:rsidRPr="00596D08">
              <w:rPr>
                <w:rFonts w:ascii="Arial" w:hAnsi="Arial" w:cs="Arial"/>
                <w:b/>
                <w:sz w:val="14"/>
                <w:szCs w:val="14"/>
              </w:rPr>
              <w:br w:type="page"/>
            </w:r>
            <w:r w:rsidRPr="00596D08">
              <w:rPr>
                <w:rFonts w:ascii="Arial" w:hAnsi="Arial" w:cs="Arial"/>
                <w:b/>
                <w:bCs/>
                <w:color w:val="000000"/>
                <w:sz w:val="14"/>
                <w:szCs w:val="14"/>
                <w:lang w:eastAsia="es-MX"/>
              </w:rPr>
              <w:t>Entidad</w:t>
            </w:r>
          </w:p>
        </w:tc>
        <w:tc>
          <w:tcPr>
            <w:tcW w:w="3882" w:type="pct"/>
            <w:gridSpan w:val="7"/>
            <w:tcBorders>
              <w:top w:val="single" w:sz="12" w:space="0" w:color="auto"/>
              <w:left w:val="single" w:sz="12" w:space="0" w:color="auto"/>
              <w:bottom w:val="single" w:sz="12" w:space="0" w:color="auto"/>
              <w:right w:val="single" w:sz="12" w:space="0" w:color="auto"/>
            </w:tcBorders>
            <w:shd w:val="clear" w:color="auto" w:fill="C9C9C9" w:themeFill="accent3" w:themeFillTint="99"/>
            <w:noWrap/>
            <w:vAlign w:val="center"/>
            <w:hideMark/>
          </w:tcPr>
          <w:p w:rsidR="00596D08" w:rsidRPr="00596D08" w:rsidRDefault="00596D08" w:rsidP="005C7DA2">
            <w:pPr>
              <w:jc w:val="center"/>
              <w:rPr>
                <w:rFonts w:ascii="Arial" w:hAnsi="Arial" w:cs="Arial"/>
                <w:b/>
                <w:bCs/>
                <w:color w:val="000000"/>
                <w:sz w:val="14"/>
                <w:szCs w:val="14"/>
                <w:lang w:eastAsia="es-MX"/>
              </w:rPr>
            </w:pPr>
            <w:r w:rsidRPr="00596D08">
              <w:rPr>
                <w:rFonts w:ascii="Arial" w:hAnsi="Arial" w:cs="Arial"/>
                <w:b/>
                <w:bCs/>
                <w:color w:val="000000"/>
                <w:sz w:val="14"/>
                <w:szCs w:val="14"/>
                <w:lang w:eastAsia="es-MX"/>
              </w:rPr>
              <w:t>Tipos de auditoría a Cuenta Pública 2015</w:t>
            </w:r>
          </w:p>
        </w:tc>
      </w:tr>
      <w:tr w:rsidR="00374B6D" w:rsidRPr="00596D08" w:rsidTr="00596D08">
        <w:trPr>
          <w:trHeight w:val="375"/>
          <w:tblHeader/>
          <w:jc w:val="center"/>
        </w:trPr>
        <w:tc>
          <w:tcPr>
            <w:tcW w:w="1118" w:type="pct"/>
            <w:vMerge/>
            <w:tcBorders>
              <w:left w:val="single" w:sz="12" w:space="0" w:color="auto"/>
              <w:bottom w:val="single" w:sz="12" w:space="0" w:color="auto"/>
              <w:right w:val="single" w:sz="12" w:space="0" w:color="auto"/>
            </w:tcBorders>
            <w:shd w:val="clear" w:color="auto" w:fill="C9C9C9" w:themeFill="accent3" w:themeFillTint="99"/>
            <w:noWrap/>
            <w:vAlign w:val="center"/>
            <w:hideMark/>
          </w:tcPr>
          <w:p w:rsidR="00596D08" w:rsidRPr="00596D08" w:rsidRDefault="00596D08" w:rsidP="005C7DA2">
            <w:pPr>
              <w:jc w:val="center"/>
              <w:rPr>
                <w:rFonts w:ascii="Arial" w:hAnsi="Arial" w:cs="Arial"/>
                <w:b/>
                <w:bCs/>
                <w:color w:val="000000"/>
                <w:sz w:val="14"/>
                <w:szCs w:val="14"/>
                <w:lang w:eastAsia="es-MX"/>
              </w:rPr>
            </w:pPr>
          </w:p>
        </w:tc>
        <w:tc>
          <w:tcPr>
            <w:tcW w:w="555"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596D08" w:rsidRPr="00596D08" w:rsidRDefault="00596D08" w:rsidP="005C7DA2">
            <w:pPr>
              <w:jc w:val="center"/>
              <w:rPr>
                <w:rFonts w:ascii="Arial" w:hAnsi="Arial" w:cs="Arial"/>
                <w:b/>
                <w:bCs/>
                <w:color w:val="000000"/>
                <w:sz w:val="14"/>
                <w:szCs w:val="14"/>
                <w:vertAlign w:val="superscript"/>
                <w:lang w:eastAsia="es-MX"/>
              </w:rPr>
            </w:pPr>
            <w:r w:rsidRPr="00596D08">
              <w:rPr>
                <w:rFonts w:ascii="Arial" w:hAnsi="Arial" w:cs="Arial"/>
                <w:b/>
                <w:bCs/>
                <w:color w:val="000000"/>
                <w:sz w:val="14"/>
                <w:szCs w:val="14"/>
                <w:lang w:eastAsia="es-MX"/>
              </w:rPr>
              <w:t>Auditoría Financiera</w:t>
            </w:r>
          </w:p>
        </w:tc>
        <w:tc>
          <w:tcPr>
            <w:tcW w:w="547"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596D08" w:rsidRPr="00596D08" w:rsidRDefault="00596D08" w:rsidP="005C7DA2">
            <w:pPr>
              <w:jc w:val="center"/>
              <w:rPr>
                <w:rFonts w:ascii="Arial" w:hAnsi="Arial" w:cs="Arial"/>
                <w:b/>
                <w:bCs/>
                <w:color w:val="000000"/>
                <w:sz w:val="14"/>
                <w:szCs w:val="14"/>
                <w:vertAlign w:val="superscript"/>
                <w:lang w:eastAsia="es-MX"/>
              </w:rPr>
            </w:pPr>
            <w:r w:rsidRPr="00596D08">
              <w:rPr>
                <w:rFonts w:ascii="Arial" w:hAnsi="Arial" w:cs="Arial"/>
                <w:b/>
                <w:bCs/>
                <w:color w:val="000000"/>
                <w:sz w:val="14"/>
                <w:szCs w:val="14"/>
                <w:lang w:eastAsia="es-MX"/>
              </w:rPr>
              <w:t>Auditoría Técnica a la Obra Pública</w:t>
            </w:r>
          </w:p>
        </w:tc>
        <w:tc>
          <w:tcPr>
            <w:tcW w:w="469"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596D08" w:rsidRPr="00596D08" w:rsidRDefault="00596D08" w:rsidP="005C7DA2">
            <w:pPr>
              <w:jc w:val="center"/>
              <w:rPr>
                <w:rFonts w:ascii="Arial" w:hAnsi="Arial" w:cs="Arial"/>
                <w:b/>
                <w:bCs/>
                <w:color w:val="000000"/>
                <w:sz w:val="14"/>
                <w:szCs w:val="14"/>
                <w:vertAlign w:val="superscript"/>
                <w:lang w:eastAsia="es-MX"/>
              </w:rPr>
            </w:pPr>
            <w:r w:rsidRPr="00596D08">
              <w:rPr>
                <w:rFonts w:ascii="Arial" w:hAnsi="Arial" w:cs="Arial"/>
                <w:b/>
                <w:bCs/>
                <w:color w:val="000000"/>
                <w:sz w:val="14"/>
                <w:szCs w:val="14"/>
                <w:lang w:eastAsia="es-MX"/>
              </w:rPr>
              <w:t>Auditoría en Desarrollo Urbano</w:t>
            </w:r>
          </w:p>
        </w:tc>
        <w:tc>
          <w:tcPr>
            <w:tcW w:w="547"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596D08" w:rsidRPr="00596D08" w:rsidRDefault="00596D08" w:rsidP="005C7DA2">
            <w:pPr>
              <w:jc w:val="center"/>
              <w:rPr>
                <w:rFonts w:ascii="Arial" w:hAnsi="Arial" w:cs="Arial"/>
                <w:b/>
                <w:bCs/>
                <w:color w:val="000000"/>
                <w:sz w:val="14"/>
                <w:szCs w:val="14"/>
                <w:vertAlign w:val="superscript"/>
                <w:lang w:eastAsia="es-MX"/>
              </w:rPr>
            </w:pPr>
            <w:r w:rsidRPr="00596D08">
              <w:rPr>
                <w:rFonts w:ascii="Arial" w:hAnsi="Arial" w:cs="Arial"/>
                <w:b/>
                <w:bCs/>
                <w:color w:val="000000"/>
                <w:sz w:val="14"/>
                <w:szCs w:val="14"/>
                <w:lang w:eastAsia="es-MX"/>
              </w:rPr>
              <w:t>Laboratorio de Obra Pública</w:t>
            </w:r>
          </w:p>
        </w:tc>
        <w:tc>
          <w:tcPr>
            <w:tcW w:w="854"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596D08" w:rsidRPr="00596D08" w:rsidRDefault="00596D08" w:rsidP="005C7DA2">
            <w:pPr>
              <w:jc w:val="center"/>
              <w:rPr>
                <w:rFonts w:ascii="Arial" w:hAnsi="Arial" w:cs="Arial"/>
                <w:b/>
                <w:bCs/>
                <w:color w:val="000000"/>
                <w:sz w:val="14"/>
                <w:szCs w:val="14"/>
                <w:vertAlign w:val="superscript"/>
                <w:lang w:eastAsia="es-MX"/>
              </w:rPr>
            </w:pPr>
            <w:r w:rsidRPr="00596D08">
              <w:rPr>
                <w:rFonts w:ascii="Arial" w:hAnsi="Arial" w:cs="Arial"/>
                <w:b/>
                <w:bCs/>
                <w:color w:val="000000"/>
                <w:sz w:val="14"/>
                <w:szCs w:val="14"/>
                <w:lang w:eastAsia="es-MX"/>
              </w:rPr>
              <w:t>Auditoría de Evaluación al Desempeño</w:t>
            </w:r>
          </w:p>
        </w:tc>
        <w:tc>
          <w:tcPr>
            <w:tcW w:w="547"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596D08" w:rsidRPr="00596D08" w:rsidRDefault="00596D08" w:rsidP="005C7DA2">
            <w:pPr>
              <w:jc w:val="center"/>
              <w:rPr>
                <w:rFonts w:ascii="Arial" w:hAnsi="Arial" w:cs="Arial"/>
                <w:b/>
                <w:bCs/>
                <w:color w:val="000000"/>
                <w:sz w:val="14"/>
                <w:szCs w:val="14"/>
                <w:vertAlign w:val="superscript"/>
                <w:lang w:eastAsia="es-MX"/>
              </w:rPr>
            </w:pPr>
            <w:r w:rsidRPr="00596D08">
              <w:rPr>
                <w:rFonts w:ascii="Arial" w:hAnsi="Arial" w:cs="Arial"/>
                <w:b/>
                <w:bCs/>
                <w:color w:val="000000"/>
                <w:sz w:val="14"/>
                <w:szCs w:val="14"/>
                <w:lang w:eastAsia="es-MX"/>
              </w:rPr>
              <w:t>Auditoría a Recursos Federales</w:t>
            </w:r>
          </w:p>
        </w:tc>
        <w:tc>
          <w:tcPr>
            <w:tcW w:w="362"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596D08" w:rsidRPr="00596D08" w:rsidRDefault="00596D08" w:rsidP="005C7DA2">
            <w:pPr>
              <w:jc w:val="center"/>
              <w:rPr>
                <w:rFonts w:ascii="Arial" w:hAnsi="Arial" w:cs="Arial"/>
                <w:b/>
                <w:bCs/>
                <w:color w:val="000000"/>
                <w:sz w:val="14"/>
                <w:szCs w:val="14"/>
                <w:lang w:eastAsia="es-MX"/>
              </w:rPr>
            </w:pPr>
            <w:r w:rsidRPr="00596D08">
              <w:rPr>
                <w:rFonts w:ascii="Arial" w:hAnsi="Arial" w:cs="Arial"/>
                <w:b/>
                <w:bCs/>
                <w:color w:val="000000"/>
                <w:sz w:val="14"/>
                <w:szCs w:val="14"/>
                <w:lang w:eastAsia="es-MX"/>
              </w:rPr>
              <w:t>Total</w:t>
            </w:r>
          </w:p>
        </w:tc>
      </w:tr>
      <w:tr w:rsidR="00596D08" w:rsidRPr="00596D08" w:rsidTr="00596D08">
        <w:trPr>
          <w:cantSplit/>
          <w:trHeight w:val="315"/>
          <w:jc w:val="center"/>
        </w:trPr>
        <w:tc>
          <w:tcPr>
            <w:tcW w:w="1118"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96D08" w:rsidRPr="00596D08" w:rsidRDefault="00596D08" w:rsidP="005C7DA2">
            <w:pPr>
              <w:jc w:val="center"/>
              <w:rPr>
                <w:rFonts w:ascii="Arial" w:hAnsi="Arial" w:cs="Arial"/>
                <w:b/>
                <w:bCs/>
                <w:sz w:val="14"/>
                <w:szCs w:val="14"/>
                <w:lang w:eastAsia="es-MX"/>
              </w:rPr>
            </w:pPr>
            <w:r w:rsidRPr="00596D08">
              <w:rPr>
                <w:rFonts w:ascii="Arial" w:hAnsi="Arial" w:cs="Arial"/>
                <w:sz w:val="14"/>
                <w:szCs w:val="14"/>
              </w:rPr>
              <w:t>Universidad Tecnológica Linares</w:t>
            </w:r>
          </w:p>
        </w:tc>
        <w:tc>
          <w:tcPr>
            <w:tcW w:w="55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96D08" w:rsidRPr="00596D08" w:rsidRDefault="00596D08" w:rsidP="005C7DA2">
            <w:pPr>
              <w:jc w:val="center"/>
              <w:rPr>
                <w:rFonts w:ascii="Arial" w:hAnsi="Arial" w:cs="Arial"/>
                <w:b/>
                <w:bCs/>
                <w:sz w:val="14"/>
                <w:szCs w:val="14"/>
                <w:lang w:eastAsia="es-MX"/>
              </w:rPr>
            </w:pPr>
            <w:r w:rsidRPr="00596D08">
              <w:rPr>
                <w:rFonts w:ascii="Arial" w:hAnsi="Arial" w:cs="Arial"/>
                <w:b/>
                <w:bCs/>
                <w:sz w:val="14"/>
                <w:szCs w:val="14"/>
                <w:lang w:eastAsia="es-MX"/>
              </w:rPr>
              <w:t>1</w:t>
            </w:r>
          </w:p>
        </w:tc>
        <w:tc>
          <w:tcPr>
            <w:tcW w:w="54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96D08" w:rsidRPr="00596D08" w:rsidRDefault="00596D08" w:rsidP="005C7DA2">
            <w:pPr>
              <w:jc w:val="center"/>
              <w:rPr>
                <w:rFonts w:ascii="Arial" w:hAnsi="Arial" w:cs="Arial"/>
                <w:b/>
                <w:bCs/>
                <w:sz w:val="14"/>
                <w:szCs w:val="14"/>
                <w:lang w:eastAsia="es-MX"/>
              </w:rPr>
            </w:pPr>
            <w:r w:rsidRPr="00596D08">
              <w:rPr>
                <w:rFonts w:ascii="Arial" w:hAnsi="Arial" w:cs="Arial"/>
                <w:b/>
                <w:bCs/>
                <w:sz w:val="14"/>
                <w:szCs w:val="14"/>
                <w:lang w:eastAsia="es-MX"/>
              </w:rPr>
              <w:t>-</w:t>
            </w:r>
          </w:p>
        </w:tc>
        <w:tc>
          <w:tcPr>
            <w:tcW w:w="469"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96D08" w:rsidRPr="00596D08" w:rsidRDefault="00596D08" w:rsidP="005C7DA2">
            <w:pPr>
              <w:jc w:val="center"/>
              <w:rPr>
                <w:rFonts w:ascii="Arial" w:hAnsi="Arial" w:cs="Arial"/>
                <w:b/>
                <w:bCs/>
                <w:sz w:val="14"/>
                <w:szCs w:val="14"/>
                <w:lang w:eastAsia="es-MX"/>
              </w:rPr>
            </w:pPr>
            <w:r w:rsidRPr="00596D08">
              <w:rPr>
                <w:rFonts w:ascii="Arial" w:hAnsi="Arial" w:cs="Arial"/>
                <w:b/>
                <w:bCs/>
                <w:sz w:val="14"/>
                <w:szCs w:val="14"/>
                <w:lang w:eastAsia="es-MX"/>
              </w:rPr>
              <w:t>-</w:t>
            </w:r>
          </w:p>
        </w:tc>
        <w:tc>
          <w:tcPr>
            <w:tcW w:w="54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96D08" w:rsidRPr="00596D08" w:rsidRDefault="00596D08" w:rsidP="005C7DA2">
            <w:pPr>
              <w:jc w:val="center"/>
              <w:rPr>
                <w:rFonts w:ascii="Arial" w:hAnsi="Arial" w:cs="Arial"/>
                <w:b/>
                <w:bCs/>
                <w:sz w:val="14"/>
                <w:szCs w:val="14"/>
                <w:lang w:eastAsia="es-MX"/>
              </w:rPr>
            </w:pPr>
            <w:r w:rsidRPr="00596D08">
              <w:rPr>
                <w:rFonts w:ascii="Arial" w:hAnsi="Arial" w:cs="Arial"/>
                <w:b/>
                <w:bCs/>
                <w:sz w:val="14"/>
                <w:szCs w:val="14"/>
                <w:lang w:eastAsia="es-MX"/>
              </w:rPr>
              <w:t>-</w:t>
            </w:r>
          </w:p>
        </w:tc>
        <w:tc>
          <w:tcPr>
            <w:tcW w:w="854"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96D08" w:rsidRPr="00596D08" w:rsidRDefault="00596D08" w:rsidP="005C7DA2">
            <w:pPr>
              <w:jc w:val="center"/>
              <w:rPr>
                <w:rFonts w:ascii="Arial" w:hAnsi="Arial" w:cs="Arial"/>
                <w:b/>
                <w:bCs/>
                <w:sz w:val="14"/>
                <w:szCs w:val="14"/>
                <w:lang w:eastAsia="es-MX"/>
              </w:rPr>
            </w:pPr>
            <w:r w:rsidRPr="00596D08">
              <w:rPr>
                <w:rFonts w:ascii="Arial" w:hAnsi="Arial" w:cs="Arial"/>
                <w:b/>
                <w:bCs/>
                <w:sz w:val="14"/>
                <w:szCs w:val="14"/>
                <w:lang w:eastAsia="es-MX"/>
              </w:rPr>
              <w:t>-</w:t>
            </w:r>
          </w:p>
        </w:tc>
        <w:tc>
          <w:tcPr>
            <w:tcW w:w="54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96D08" w:rsidRPr="00596D08" w:rsidRDefault="00596D08" w:rsidP="005C7DA2">
            <w:pPr>
              <w:jc w:val="center"/>
              <w:rPr>
                <w:rFonts w:ascii="Arial" w:hAnsi="Arial" w:cs="Arial"/>
                <w:b/>
                <w:bCs/>
                <w:sz w:val="14"/>
                <w:szCs w:val="14"/>
                <w:lang w:eastAsia="es-MX"/>
              </w:rPr>
            </w:pPr>
            <w:r w:rsidRPr="00596D08">
              <w:rPr>
                <w:rFonts w:ascii="Arial" w:hAnsi="Arial" w:cs="Arial"/>
                <w:b/>
                <w:bCs/>
                <w:sz w:val="14"/>
                <w:szCs w:val="14"/>
                <w:lang w:eastAsia="es-MX"/>
              </w:rPr>
              <w:t>-</w:t>
            </w:r>
          </w:p>
        </w:tc>
        <w:tc>
          <w:tcPr>
            <w:tcW w:w="362"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596D08" w:rsidRPr="00596D08" w:rsidRDefault="00596D08" w:rsidP="005C7DA2">
            <w:pPr>
              <w:jc w:val="center"/>
              <w:rPr>
                <w:rFonts w:ascii="Arial" w:hAnsi="Arial" w:cs="Arial"/>
                <w:b/>
                <w:bCs/>
                <w:sz w:val="14"/>
                <w:szCs w:val="14"/>
                <w:lang w:eastAsia="es-MX"/>
              </w:rPr>
            </w:pPr>
            <w:r w:rsidRPr="00596D08">
              <w:rPr>
                <w:rFonts w:ascii="Arial" w:hAnsi="Arial" w:cs="Arial"/>
                <w:b/>
                <w:bCs/>
                <w:sz w:val="14"/>
                <w:szCs w:val="14"/>
                <w:lang w:eastAsia="es-MX"/>
              </w:rPr>
              <w:t>1</w:t>
            </w:r>
          </w:p>
        </w:tc>
      </w:tr>
    </w:tbl>
    <w:p w:rsidR="00596D08" w:rsidRDefault="00596D08" w:rsidP="002542EB">
      <w:pPr>
        <w:spacing w:after="0" w:line="360" w:lineRule="auto"/>
        <w:ind w:firstLine="567"/>
        <w:jc w:val="both"/>
        <w:rPr>
          <w:rFonts w:ascii="Arial" w:eastAsia="Times New Roman" w:hAnsi="Arial" w:cs="Arial"/>
          <w:sz w:val="24"/>
          <w:lang w:eastAsia="es-ES"/>
        </w:rPr>
      </w:pPr>
    </w:p>
    <w:p w:rsidR="00596D08" w:rsidRDefault="00596D08" w:rsidP="002542EB">
      <w:pPr>
        <w:spacing w:after="0"/>
        <w:ind w:firstLine="567"/>
        <w:jc w:val="center"/>
        <w:rPr>
          <w:rFonts w:ascii="Arial" w:eastAsia="Arial" w:hAnsi="Arial" w:cs="Arial"/>
          <w:bCs/>
          <w:smallCaps/>
          <w:sz w:val="16"/>
        </w:rPr>
      </w:pPr>
    </w:p>
    <w:p w:rsidR="00596D08" w:rsidRDefault="00596D08" w:rsidP="002542EB">
      <w:pPr>
        <w:spacing w:after="0"/>
        <w:ind w:firstLine="567"/>
        <w:jc w:val="center"/>
        <w:rPr>
          <w:rFonts w:ascii="Arial" w:eastAsia="Times New Roman" w:hAnsi="Arial" w:cs="Arial"/>
          <w:sz w:val="24"/>
          <w:lang w:eastAsia="es-ES"/>
        </w:rPr>
      </w:pPr>
    </w:p>
    <w:p w:rsidR="002542EB" w:rsidRPr="0077749F" w:rsidRDefault="002542EB" w:rsidP="002542EB">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lastRenderedPageBreak/>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2542EB" w:rsidRPr="0077749F" w:rsidRDefault="002542EB" w:rsidP="002542EB">
      <w:pPr>
        <w:spacing w:after="0"/>
        <w:ind w:firstLine="567"/>
        <w:jc w:val="both"/>
        <w:rPr>
          <w:rFonts w:ascii="Arial" w:eastAsia="Times New Roman" w:hAnsi="Arial" w:cs="Arial"/>
          <w:sz w:val="24"/>
          <w:lang w:eastAsia="es-ES"/>
        </w:rPr>
      </w:pPr>
    </w:p>
    <w:p w:rsidR="002542EB" w:rsidRPr="0077749F" w:rsidRDefault="002542EB" w:rsidP="002542EB">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436130">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436130">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2542EB" w:rsidRPr="0077749F" w:rsidRDefault="002542EB" w:rsidP="002542EB">
      <w:pPr>
        <w:spacing w:after="0"/>
        <w:ind w:firstLine="567"/>
        <w:jc w:val="both"/>
        <w:rPr>
          <w:rFonts w:ascii="Arial" w:eastAsia="Times New Roman" w:hAnsi="Arial" w:cs="Arial"/>
          <w:sz w:val="24"/>
          <w:lang w:eastAsia="es-ES"/>
        </w:rPr>
      </w:pPr>
    </w:p>
    <w:p w:rsidR="002542EB" w:rsidRPr="0077749F" w:rsidRDefault="002542EB" w:rsidP="002542EB">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2542EB" w:rsidRPr="00B67BEE" w:rsidRDefault="002542EB" w:rsidP="002542EB">
      <w:pPr>
        <w:spacing w:after="0"/>
        <w:jc w:val="both"/>
        <w:rPr>
          <w:rFonts w:ascii="Arial" w:eastAsia="Times New Roman" w:hAnsi="Arial" w:cs="Arial"/>
          <w:sz w:val="24"/>
          <w:lang w:eastAsia="es-ES"/>
        </w:rPr>
      </w:pPr>
    </w:p>
    <w:p w:rsidR="002542EB" w:rsidRPr="00B67BEE" w:rsidRDefault="002542EB" w:rsidP="002542EB">
      <w:pPr>
        <w:numPr>
          <w:ilvl w:val="0"/>
          <w:numId w:val="5"/>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2542EB" w:rsidRPr="00B67BEE" w:rsidRDefault="002542EB" w:rsidP="002542EB">
      <w:pPr>
        <w:spacing w:after="0"/>
        <w:ind w:left="993" w:hanging="284"/>
        <w:jc w:val="both"/>
        <w:rPr>
          <w:rFonts w:ascii="Arial" w:eastAsia="Times New Roman" w:hAnsi="Arial" w:cs="Arial"/>
          <w:sz w:val="24"/>
          <w:szCs w:val="24"/>
          <w:lang w:eastAsia="es-ES"/>
        </w:rPr>
      </w:pPr>
    </w:p>
    <w:p w:rsidR="002542EB" w:rsidRPr="00B67BEE" w:rsidRDefault="002542EB" w:rsidP="002542EB">
      <w:pPr>
        <w:numPr>
          <w:ilvl w:val="1"/>
          <w:numId w:val="4"/>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2542EB" w:rsidRPr="00B67BEE" w:rsidRDefault="002542EB" w:rsidP="002542EB">
      <w:pPr>
        <w:spacing w:after="0"/>
        <w:ind w:left="993" w:hanging="284"/>
        <w:jc w:val="both"/>
        <w:rPr>
          <w:rFonts w:ascii="Arial" w:eastAsia="Times New Roman" w:hAnsi="Arial" w:cs="Arial"/>
          <w:sz w:val="24"/>
          <w:szCs w:val="24"/>
          <w:lang w:eastAsia="es-ES"/>
        </w:rPr>
      </w:pPr>
    </w:p>
    <w:p w:rsidR="002542EB" w:rsidRPr="00B67BEE" w:rsidRDefault="002542EB" w:rsidP="002542EB">
      <w:pPr>
        <w:numPr>
          <w:ilvl w:val="1"/>
          <w:numId w:val="4"/>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 xml:space="preserve">Si la captación, recaudación, administración, custodia, manejo, ejercicio y aplicación de recursos, incluyendo subsidios, transferencias y donativos, y si los actos, contratos, convenios, mandatos, fondos, fideicomisos, prestación de servicios públicos, operaciones o cualquier </w:t>
      </w:r>
      <w:r w:rsidRPr="00B67BEE">
        <w:rPr>
          <w:rFonts w:ascii="Arial" w:eastAsia="Times New Roman" w:hAnsi="Arial" w:cs="Arial"/>
          <w:sz w:val="24"/>
          <w:szCs w:val="24"/>
          <w:lang w:eastAsia="es-ES"/>
        </w:rPr>
        <w:lastRenderedPageBreak/>
        <w:t>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2542EB" w:rsidRPr="00B67BEE" w:rsidRDefault="002542EB" w:rsidP="002542EB">
      <w:pPr>
        <w:spacing w:after="0"/>
        <w:ind w:left="993" w:hanging="284"/>
        <w:jc w:val="both"/>
        <w:rPr>
          <w:rFonts w:ascii="Arial" w:eastAsia="Times New Roman" w:hAnsi="Arial" w:cs="Arial"/>
          <w:sz w:val="24"/>
          <w:szCs w:val="24"/>
          <w:lang w:eastAsia="es-ES"/>
        </w:rPr>
      </w:pPr>
    </w:p>
    <w:p w:rsidR="002542EB" w:rsidRPr="00B67BEE" w:rsidRDefault="002542EB" w:rsidP="002542EB">
      <w:pPr>
        <w:numPr>
          <w:ilvl w:val="0"/>
          <w:numId w:val="5"/>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2542EB" w:rsidRPr="00B67BEE" w:rsidRDefault="002542EB" w:rsidP="002542EB">
      <w:pPr>
        <w:spacing w:after="0"/>
        <w:ind w:left="993" w:hanging="284"/>
        <w:jc w:val="both"/>
        <w:rPr>
          <w:rFonts w:ascii="Arial" w:eastAsia="Times New Roman" w:hAnsi="Arial" w:cs="Arial"/>
          <w:sz w:val="24"/>
          <w:szCs w:val="24"/>
          <w:lang w:eastAsia="es-ES"/>
        </w:rPr>
      </w:pPr>
    </w:p>
    <w:p w:rsidR="002542EB" w:rsidRPr="00B67BEE" w:rsidRDefault="002542EB" w:rsidP="002542EB">
      <w:pPr>
        <w:numPr>
          <w:ilvl w:val="0"/>
          <w:numId w:val="6"/>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2542EB" w:rsidRPr="00B67BEE" w:rsidRDefault="002542EB" w:rsidP="002542EB">
      <w:pPr>
        <w:spacing w:after="0" w:line="360" w:lineRule="auto"/>
        <w:ind w:left="993" w:hanging="284"/>
        <w:jc w:val="both"/>
        <w:rPr>
          <w:rFonts w:ascii="Arial" w:eastAsia="Times New Roman" w:hAnsi="Arial" w:cs="Arial"/>
          <w:sz w:val="24"/>
          <w:szCs w:val="24"/>
          <w:lang w:eastAsia="es-ES"/>
        </w:rPr>
      </w:pPr>
    </w:p>
    <w:p w:rsidR="002542EB" w:rsidRPr="00B67BEE" w:rsidRDefault="002542EB" w:rsidP="002542EB">
      <w:pPr>
        <w:numPr>
          <w:ilvl w:val="0"/>
          <w:numId w:val="6"/>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2542EB" w:rsidRPr="00B67BEE" w:rsidRDefault="002542EB" w:rsidP="002542EB">
      <w:pPr>
        <w:spacing w:after="0" w:line="360" w:lineRule="auto"/>
        <w:ind w:left="993" w:hanging="284"/>
        <w:jc w:val="both"/>
        <w:rPr>
          <w:rFonts w:ascii="Arial" w:eastAsia="Times New Roman" w:hAnsi="Arial" w:cs="Arial"/>
          <w:sz w:val="24"/>
          <w:szCs w:val="24"/>
          <w:lang w:eastAsia="es-ES"/>
        </w:rPr>
      </w:pPr>
    </w:p>
    <w:p w:rsidR="002542EB" w:rsidRPr="00B67BEE" w:rsidRDefault="002542EB" w:rsidP="002542EB">
      <w:pPr>
        <w:numPr>
          <w:ilvl w:val="0"/>
          <w:numId w:val="6"/>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2542EB" w:rsidRPr="00B67BEE" w:rsidRDefault="002542EB" w:rsidP="002542EB">
      <w:pPr>
        <w:spacing w:after="0"/>
        <w:ind w:left="993" w:hanging="284"/>
        <w:jc w:val="both"/>
        <w:rPr>
          <w:rFonts w:ascii="Arial" w:eastAsia="Times New Roman" w:hAnsi="Arial" w:cs="Arial"/>
          <w:sz w:val="24"/>
          <w:szCs w:val="24"/>
          <w:lang w:eastAsia="es-ES"/>
        </w:rPr>
      </w:pPr>
    </w:p>
    <w:p w:rsidR="002542EB" w:rsidRPr="0077749F" w:rsidRDefault="002542EB" w:rsidP="002542EB">
      <w:pPr>
        <w:numPr>
          <w:ilvl w:val="0"/>
          <w:numId w:val="5"/>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Pr>
          <w:rFonts w:ascii="Arial" w:eastAsia="Times New Roman" w:hAnsi="Arial" w:cs="Arial"/>
          <w:sz w:val="24"/>
          <w:szCs w:val="24"/>
          <w:lang w:eastAsia="es-ES"/>
        </w:rPr>
        <w:t>teria de la gestión financiera,</w:t>
      </w:r>
      <w:r w:rsidRPr="0077749F">
        <w:t xml:space="preserve"> </w:t>
      </w:r>
      <w:r w:rsidRPr="0077749F">
        <w:rPr>
          <w:rFonts w:ascii="Arial" w:eastAsia="Times New Roman" w:hAnsi="Arial" w:cs="Arial"/>
          <w:sz w:val="24"/>
          <w:szCs w:val="24"/>
          <w:lang w:eastAsia="es-ES"/>
        </w:rPr>
        <w:t>así como de los planes de desarrollo y lo</w:t>
      </w:r>
      <w:r>
        <w:rPr>
          <w:rFonts w:ascii="Arial" w:eastAsia="Times New Roman" w:hAnsi="Arial" w:cs="Arial"/>
          <w:sz w:val="24"/>
          <w:szCs w:val="24"/>
          <w:lang w:eastAsia="es-ES"/>
        </w:rPr>
        <w:t>s programas operativos anuales.</w:t>
      </w:r>
      <w:r w:rsidRPr="0077749F">
        <w:rPr>
          <w:rFonts w:ascii="Arial" w:eastAsia="Times New Roman" w:hAnsi="Arial" w:cs="Arial"/>
          <w:sz w:val="24"/>
          <w:szCs w:val="24"/>
          <w:lang w:eastAsia="es-ES"/>
        </w:rPr>
        <w:t xml:space="preserve"> </w:t>
      </w:r>
    </w:p>
    <w:p w:rsidR="002542EB" w:rsidRDefault="002542EB" w:rsidP="002542EB">
      <w:pPr>
        <w:spacing w:after="0" w:line="360" w:lineRule="auto"/>
        <w:jc w:val="both"/>
        <w:rPr>
          <w:rFonts w:ascii="Arial" w:eastAsia="Times New Roman" w:hAnsi="Arial" w:cs="Arial"/>
          <w:sz w:val="24"/>
          <w:szCs w:val="24"/>
          <w:lang w:eastAsia="es-ES"/>
        </w:rPr>
      </w:pPr>
    </w:p>
    <w:p w:rsidR="002542EB" w:rsidRPr="00276558" w:rsidRDefault="002542EB" w:rsidP="002542EB">
      <w:pPr>
        <w:pStyle w:val="Prrafodelista"/>
        <w:numPr>
          <w:ilvl w:val="0"/>
          <w:numId w:val="5"/>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lastRenderedPageBreak/>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2542EB" w:rsidRPr="00276558" w:rsidRDefault="002542EB" w:rsidP="002542EB">
      <w:pPr>
        <w:pStyle w:val="Prrafodelista"/>
        <w:autoSpaceDE w:val="0"/>
        <w:autoSpaceDN w:val="0"/>
        <w:adjustRightInd w:val="0"/>
        <w:spacing w:after="0" w:line="360" w:lineRule="auto"/>
        <w:jc w:val="both"/>
        <w:rPr>
          <w:rFonts w:ascii="Arial" w:hAnsi="Arial" w:cs="Arial"/>
          <w:b/>
          <w:sz w:val="24"/>
          <w:szCs w:val="24"/>
          <w:lang w:val="es-MX" w:eastAsia="es-ES"/>
        </w:rPr>
      </w:pPr>
    </w:p>
    <w:p w:rsidR="002542EB" w:rsidRDefault="002542EB" w:rsidP="002542EB">
      <w:pPr>
        <w:autoSpaceDE w:val="0"/>
        <w:autoSpaceDN w:val="0"/>
        <w:adjustRightInd w:val="0"/>
        <w:spacing w:after="0" w:line="360" w:lineRule="auto"/>
        <w:ind w:left="360"/>
        <w:rPr>
          <w:rFonts w:ascii="Arial" w:hAnsi="Arial" w:cs="Arial"/>
          <w:b/>
          <w:sz w:val="24"/>
          <w:szCs w:val="24"/>
          <w:lang w:val="es-MX" w:eastAsia="es-ES"/>
        </w:rPr>
      </w:pPr>
      <w:r>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2542EB" w:rsidRDefault="002542EB" w:rsidP="002542EB">
      <w:pPr>
        <w:spacing w:after="0"/>
        <w:jc w:val="both"/>
        <w:rPr>
          <w:rFonts w:ascii="Arial" w:hAnsi="Arial" w:cs="Arial"/>
          <w:bCs/>
          <w:iCs/>
          <w:sz w:val="24"/>
        </w:rPr>
      </w:pPr>
    </w:p>
    <w:p w:rsidR="002542EB" w:rsidRPr="0077749F" w:rsidRDefault="002542EB" w:rsidP="002542EB">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Las auditorías practicadas se seleccionaron con base en los criterios establecidos para la planeación específica utilizada en la integración del P</w:t>
      </w:r>
      <w:r w:rsidR="00D70D8C">
        <w:rPr>
          <w:rFonts w:ascii="Arial" w:hAnsi="Arial" w:cs="Arial"/>
          <w:bCs/>
          <w:iCs/>
          <w:sz w:val="24"/>
        </w:rPr>
        <w:t>rograma Anual de Auditorías 2016</w:t>
      </w:r>
      <w:r w:rsidRPr="0077749F">
        <w:rPr>
          <w:rFonts w:ascii="Arial" w:hAnsi="Arial" w:cs="Arial"/>
          <w:bCs/>
          <w:iCs/>
          <w:sz w:val="24"/>
        </w:rPr>
        <w:t xml:space="preserve"> para la fiscalización de las Cuentas Públicas co</w:t>
      </w:r>
      <w:r w:rsidR="00D70D8C">
        <w:rPr>
          <w:rFonts w:ascii="Arial" w:hAnsi="Arial" w:cs="Arial"/>
          <w:bCs/>
          <w:iCs/>
          <w:sz w:val="24"/>
        </w:rPr>
        <w:t>rrespondientes al ejercicio 2015</w:t>
      </w:r>
      <w:r w:rsidRPr="0077749F">
        <w:rPr>
          <w:rFonts w:ascii="Arial" w:hAnsi="Arial" w:cs="Arial"/>
          <w:bCs/>
          <w:iCs/>
          <w:sz w:val="24"/>
        </w:rPr>
        <w:t>, considerando la importancia, pertinencia y factibilidad de su realización.</w:t>
      </w:r>
    </w:p>
    <w:p w:rsidR="002542EB" w:rsidRPr="0077749F" w:rsidRDefault="002542EB" w:rsidP="002542EB">
      <w:pPr>
        <w:spacing w:after="0" w:line="360" w:lineRule="auto"/>
        <w:jc w:val="both"/>
        <w:rPr>
          <w:rFonts w:ascii="Arial" w:hAnsi="Arial" w:cs="Arial"/>
          <w:bCs/>
          <w:iCs/>
          <w:sz w:val="24"/>
        </w:rPr>
      </w:pPr>
    </w:p>
    <w:p w:rsidR="002542EB" w:rsidRPr="0077749F" w:rsidRDefault="002542EB" w:rsidP="002542EB">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2542EB" w:rsidRPr="0077749F" w:rsidRDefault="002542EB" w:rsidP="002542EB">
      <w:pPr>
        <w:spacing w:after="0" w:line="360" w:lineRule="auto"/>
        <w:jc w:val="both"/>
        <w:rPr>
          <w:rFonts w:ascii="Arial" w:hAnsi="Arial" w:cs="Arial"/>
          <w:bCs/>
          <w:iCs/>
          <w:sz w:val="24"/>
        </w:rPr>
      </w:pPr>
    </w:p>
    <w:p w:rsidR="002542EB" w:rsidRPr="0077749F" w:rsidRDefault="002542EB" w:rsidP="002542EB">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 xml:space="preserve">La muestra auditada consistió en las operaciones, registros o movimientos fiscalizados a través de procedimientos o pruebas de auditoría, cuyos resultados permitieron la emisión, debidamente soportada y </w:t>
      </w:r>
      <w:r w:rsidRPr="0077749F">
        <w:rPr>
          <w:rFonts w:ascii="Arial" w:hAnsi="Arial" w:cs="Arial"/>
          <w:bCs/>
          <w:iCs/>
          <w:sz w:val="24"/>
        </w:rPr>
        <w:lastRenderedPageBreak/>
        <w:t>fundamentada del dictamen de la revisión. Asimismo, las áreas revisadas, fueron esencialmente las unidades administrativas de la entidad fiscalizada responsables de la ejecución de las operaciones, actividades o programas objeto de la revisión.</w:t>
      </w:r>
    </w:p>
    <w:p w:rsidR="002542EB" w:rsidRPr="0077749F" w:rsidRDefault="002542EB" w:rsidP="002542EB">
      <w:pPr>
        <w:spacing w:after="0" w:line="360" w:lineRule="auto"/>
        <w:jc w:val="both"/>
        <w:rPr>
          <w:rFonts w:ascii="Arial" w:hAnsi="Arial" w:cs="Arial"/>
          <w:bCs/>
          <w:iCs/>
          <w:sz w:val="24"/>
        </w:rPr>
      </w:pPr>
    </w:p>
    <w:p w:rsidR="00D70D8C" w:rsidRDefault="002542EB" w:rsidP="00D70D8C">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D70D8C" w:rsidRDefault="00D70D8C" w:rsidP="00D70D8C">
      <w:pPr>
        <w:spacing w:after="0" w:line="360" w:lineRule="auto"/>
        <w:jc w:val="both"/>
        <w:rPr>
          <w:rFonts w:ascii="Arial" w:hAnsi="Arial" w:cs="Arial"/>
          <w:bCs/>
          <w:iCs/>
          <w:sz w:val="24"/>
        </w:rPr>
      </w:pPr>
    </w:p>
    <w:p w:rsidR="002542EB" w:rsidRPr="00D70D8C" w:rsidRDefault="002542EB" w:rsidP="00D70D8C">
      <w:pPr>
        <w:spacing w:after="0" w:line="360" w:lineRule="auto"/>
        <w:jc w:val="both"/>
        <w:rPr>
          <w:rFonts w:ascii="Arial" w:hAnsi="Arial" w:cs="Arial"/>
          <w:bCs/>
          <w:iCs/>
          <w:sz w:val="24"/>
        </w:rPr>
      </w:pPr>
      <w:r w:rsidRPr="00B67BEE">
        <w:rPr>
          <w:rFonts w:ascii="Arial" w:hAnsi="Arial" w:cs="Arial"/>
          <w:b/>
          <w:bCs/>
          <w:sz w:val="24"/>
        </w:rPr>
        <w:t>Descripción de los elementos revisados y resultados obtenidos en la revisión</w:t>
      </w:r>
    </w:p>
    <w:p w:rsidR="002542EB" w:rsidRPr="009A7A82" w:rsidRDefault="002542EB" w:rsidP="002542EB">
      <w:pPr>
        <w:pStyle w:val="Prrafodelista"/>
        <w:ind w:left="426"/>
        <w:contextualSpacing/>
        <w:jc w:val="both"/>
        <w:rPr>
          <w:rFonts w:ascii="Arial" w:hAnsi="Arial" w:cs="Arial"/>
          <w:b/>
          <w:sz w:val="24"/>
        </w:rPr>
      </w:pPr>
    </w:p>
    <w:p w:rsidR="002542EB" w:rsidRDefault="002542EB" w:rsidP="002542EB">
      <w:pPr>
        <w:pStyle w:val="Prrafodelista"/>
        <w:numPr>
          <w:ilvl w:val="0"/>
          <w:numId w:val="3"/>
        </w:numPr>
        <w:contextualSpacing/>
        <w:rPr>
          <w:rFonts w:ascii="Arial" w:hAnsi="Arial" w:cs="Arial"/>
          <w:b/>
          <w:bCs/>
          <w:sz w:val="24"/>
        </w:rPr>
      </w:pPr>
      <w:r w:rsidRPr="000A4374">
        <w:rPr>
          <w:rFonts w:ascii="Arial" w:hAnsi="Arial" w:cs="Arial"/>
          <w:b/>
          <w:bCs/>
          <w:sz w:val="24"/>
        </w:rPr>
        <w:t>La evaluación  de la gestión financiera y del gasto público</w:t>
      </w:r>
    </w:p>
    <w:p w:rsidR="002542EB" w:rsidRPr="009A7A82" w:rsidRDefault="002542EB" w:rsidP="002542EB">
      <w:pPr>
        <w:pStyle w:val="Prrafodelista"/>
        <w:contextualSpacing/>
        <w:rPr>
          <w:rFonts w:ascii="Arial" w:hAnsi="Arial" w:cs="Arial"/>
          <w:b/>
          <w:bCs/>
          <w:sz w:val="24"/>
        </w:rPr>
      </w:pPr>
    </w:p>
    <w:p w:rsidR="002542EB" w:rsidRPr="00B67BEE" w:rsidRDefault="002542EB" w:rsidP="002542EB">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Pr>
          <w:rFonts w:ascii="Arial" w:hAnsi="Arial" w:cs="Arial"/>
          <w:sz w:val="24"/>
          <w:szCs w:val="24"/>
        </w:rPr>
        <w:t>enero al 31 de diciembre de</w:t>
      </w:r>
      <w:r w:rsidR="00D70D8C">
        <w:rPr>
          <w:rFonts w:ascii="Arial" w:hAnsi="Arial" w:cs="Arial"/>
          <w:sz w:val="24"/>
          <w:szCs w:val="24"/>
        </w:rPr>
        <w:t>l 2015</w:t>
      </w:r>
      <w:r>
        <w:rPr>
          <w:rFonts w:ascii="Arial" w:hAnsi="Arial" w:cs="Arial"/>
          <w:sz w:val="24"/>
          <w:szCs w:val="24"/>
        </w:rPr>
        <w:t>, que la Universidad Tecnológica Linares</w:t>
      </w:r>
      <w:r w:rsidRPr="00B67BEE">
        <w:rPr>
          <w:rFonts w:ascii="Arial" w:hAnsi="Arial" w:cs="Arial"/>
          <w:sz w:val="24"/>
          <w:szCs w:val="24"/>
        </w:rPr>
        <w:t xml:space="preserve"> presentó como parte de la información que integra la Cuenta Pública.</w:t>
      </w:r>
    </w:p>
    <w:p w:rsidR="002542EB" w:rsidRPr="00B67BEE" w:rsidRDefault="002542EB" w:rsidP="002542EB">
      <w:pPr>
        <w:pStyle w:val="Prrafodelista"/>
        <w:spacing w:after="0" w:line="360" w:lineRule="auto"/>
        <w:jc w:val="both"/>
        <w:rPr>
          <w:rFonts w:ascii="Arial" w:hAnsi="Arial" w:cs="Arial"/>
          <w:b/>
          <w:sz w:val="24"/>
          <w:szCs w:val="24"/>
          <w:u w:val="single"/>
        </w:rPr>
      </w:pPr>
    </w:p>
    <w:p w:rsidR="002542EB" w:rsidRDefault="002542EB" w:rsidP="002542EB">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A continuación se presenta</w:t>
      </w:r>
      <w:r>
        <w:rPr>
          <w:rFonts w:ascii="Arial" w:hAnsi="Arial" w:cs="Arial"/>
          <w:sz w:val="24"/>
          <w:szCs w:val="24"/>
        </w:rPr>
        <w:t>n</w:t>
      </w:r>
      <w:r w:rsidRPr="00B67BEE">
        <w:rPr>
          <w:rFonts w:ascii="Arial" w:hAnsi="Arial" w:cs="Arial"/>
          <w:sz w:val="24"/>
          <w:szCs w:val="24"/>
        </w:rPr>
        <w:t xml:space="preserve"> </w:t>
      </w:r>
      <w:r>
        <w:rPr>
          <w:rFonts w:ascii="Arial" w:hAnsi="Arial" w:cs="Arial"/>
          <w:sz w:val="24"/>
          <w:szCs w:val="24"/>
        </w:rPr>
        <w:t>los datos más sobresalientes de los Estados Financieros</w:t>
      </w:r>
      <w:r w:rsidR="00D70D8C">
        <w:rPr>
          <w:rFonts w:ascii="Arial" w:hAnsi="Arial" w:cs="Arial"/>
          <w:sz w:val="24"/>
          <w:szCs w:val="24"/>
        </w:rPr>
        <w:t xml:space="preserve"> al 31 de Diciembre del 2015</w:t>
      </w:r>
      <w:r>
        <w:rPr>
          <w:rFonts w:ascii="Arial" w:hAnsi="Arial" w:cs="Arial"/>
          <w:sz w:val="24"/>
          <w:szCs w:val="24"/>
        </w:rPr>
        <w:t xml:space="preserve"> de la Universidad Tecnológica Linares:</w:t>
      </w:r>
    </w:p>
    <w:p w:rsidR="00374B6D" w:rsidRDefault="00374B6D" w:rsidP="002542EB">
      <w:pPr>
        <w:pStyle w:val="Prrafodelista"/>
        <w:spacing w:after="0" w:line="360" w:lineRule="auto"/>
        <w:ind w:left="0" w:firstLine="709"/>
        <w:jc w:val="both"/>
        <w:rPr>
          <w:rFonts w:ascii="Arial" w:hAnsi="Arial" w:cs="Arial"/>
          <w:sz w:val="24"/>
          <w:szCs w:val="24"/>
        </w:rPr>
      </w:pPr>
    </w:p>
    <w:p w:rsidR="00374B6D" w:rsidRDefault="00374B6D" w:rsidP="00374B6D">
      <w:pPr>
        <w:pStyle w:val="Prrafodelista"/>
        <w:spacing w:after="0" w:line="360" w:lineRule="auto"/>
        <w:ind w:left="0" w:firstLine="709"/>
        <w:jc w:val="center"/>
        <w:rPr>
          <w:rFonts w:ascii="Arial" w:hAnsi="Arial" w:cs="Arial"/>
          <w:sz w:val="24"/>
          <w:szCs w:val="24"/>
        </w:rPr>
      </w:pPr>
      <w:r w:rsidRPr="00374B6D">
        <w:rPr>
          <w:rFonts w:ascii="Arial" w:hAnsi="Arial" w:cs="Arial"/>
          <w:noProof/>
          <w:sz w:val="24"/>
          <w:szCs w:val="24"/>
          <w:lang w:val="es-MX" w:eastAsia="es-MX"/>
        </w:rPr>
        <w:lastRenderedPageBreak/>
        <w:drawing>
          <wp:inline distT="0" distB="0" distL="0" distR="0">
            <wp:extent cx="2752725" cy="9239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923925"/>
                    </a:xfrm>
                    <a:prstGeom prst="rect">
                      <a:avLst/>
                    </a:prstGeom>
                    <a:noFill/>
                    <a:ln>
                      <a:noFill/>
                    </a:ln>
                  </pic:spPr>
                </pic:pic>
              </a:graphicData>
            </a:graphic>
          </wp:inline>
        </w:drawing>
      </w:r>
    </w:p>
    <w:p w:rsidR="002542EB" w:rsidRDefault="00374B6D" w:rsidP="00374B6D">
      <w:pPr>
        <w:pStyle w:val="Prrafodelista"/>
        <w:spacing w:after="0" w:line="360" w:lineRule="auto"/>
        <w:ind w:left="0" w:firstLine="709"/>
        <w:jc w:val="center"/>
        <w:rPr>
          <w:rFonts w:ascii="Arial" w:hAnsi="Arial" w:cs="Arial"/>
          <w:sz w:val="24"/>
          <w:szCs w:val="24"/>
        </w:rPr>
      </w:pPr>
      <w:r w:rsidRPr="00374B6D">
        <w:rPr>
          <w:rFonts w:ascii="Arial" w:hAnsi="Arial" w:cs="Arial"/>
          <w:noProof/>
          <w:sz w:val="24"/>
          <w:szCs w:val="24"/>
          <w:lang w:val="es-MX" w:eastAsia="es-MX"/>
        </w:rPr>
        <w:lastRenderedPageBreak/>
        <w:drawing>
          <wp:inline distT="0" distB="0" distL="0" distR="0">
            <wp:extent cx="4695825" cy="576072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880" cy="5760788"/>
                    </a:xfrm>
                    <a:prstGeom prst="rect">
                      <a:avLst/>
                    </a:prstGeom>
                    <a:noFill/>
                    <a:ln>
                      <a:noFill/>
                    </a:ln>
                  </pic:spPr>
                </pic:pic>
              </a:graphicData>
            </a:graphic>
          </wp:inline>
        </w:drawing>
      </w:r>
    </w:p>
    <w:p w:rsidR="002542EB" w:rsidRDefault="002542EB" w:rsidP="002542EB">
      <w:pPr>
        <w:pStyle w:val="Prrafodelista"/>
        <w:spacing w:after="0" w:line="360" w:lineRule="auto"/>
        <w:ind w:left="0"/>
        <w:jc w:val="both"/>
        <w:rPr>
          <w:rFonts w:ascii="Arial" w:hAnsi="Arial" w:cs="Arial"/>
          <w:sz w:val="24"/>
          <w:szCs w:val="24"/>
        </w:rPr>
      </w:pPr>
    </w:p>
    <w:p w:rsidR="002542EB" w:rsidRDefault="002542EB" w:rsidP="002542EB">
      <w:pPr>
        <w:pStyle w:val="Prrafodelista"/>
        <w:spacing w:after="0" w:line="360" w:lineRule="auto"/>
        <w:ind w:left="0" w:firstLine="709"/>
        <w:jc w:val="both"/>
        <w:rPr>
          <w:rFonts w:ascii="Arial" w:hAnsi="Arial" w:cs="Arial"/>
          <w:sz w:val="24"/>
          <w:szCs w:val="24"/>
        </w:rPr>
      </w:pPr>
    </w:p>
    <w:p w:rsidR="002542EB" w:rsidRDefault="002542EB" w:rsidP="002542EB">
      <w:pPr>
        <w:pStyle w:val="Prrafodelista"/>
        <w:spacing w:after="0" w:line="360" w:lineRule="auto"/>
        <w:ind w:left="0" w:firstLine="709"/>
        <w:jc w:val="both"/>
        <w:rPr>
          <w:rFonts w:ascii="Arial" w:hAnsi="Arial" w:cs="Arial"/>
          <w:b/>
          <w:sz w:val="24"/>
          <w:szCs w:val="24"/>
        </w:rPr>
      </w:pPr>
    </w:p>
    <w:p w:rsidR="002542EB" w:rsidRDefault="00374B6D" w:rsidP="002542EB">
      <w:pPr>
        <w:pStyle w:val="Prrafodelista"/>
        <w:spacing w:after="0" w:line="360" w:lineRule="auto"/>
        <w:ind w:left="0" w:firstLine="709"/>
        <w:jc w:val="both"/>
        <w:rPr>
          <w:rFonts w:ascii="Arial" w:hAnsi="Arial" w:cs="Arial"/>
          <w:b/>
          <w:sz w:val="24"/>
          <w:szCs w:val="24"/>
        </w:rPr>
      </w:pPr>
      <w:r w:rsidRPr="00374B6D">
        <w:rPr>
          <w:rFonts w:ascii="Arial" w:hAnsi="Arial" w:cs="Arial"/>
          <w:b/>
          <w:noProof/>
          <w:sz w:val="24"/>
          <w:szCs w:val="24"/>
          <w:lang w:val="es-MX" w:eastAsia="es-MX"/>
        </w:rPr>
        <w:lastRenderedPageBreak/>
        <w:drawing>
          <wp:inline distT="0" distB="0" distL="0" distR="0">
            <wp:extent cx="4600575" cy="5551805"/>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1096" cy="5552434"/>
                    </a:xfrm>
                    <a:prstGeom prst="rect">
                      <a:avLst/>
                    </a:prstGeom>
                    <a:noFill/>
                    <a:ln>
                      <a:noFill/>
                    </a:ln>
                  </pic:spPr>
                </pic:pic>
              </a:graphicData>
            </a:graphic>
          </wp:inline>
        </w:drawing>
      </w:r>
    </w:p>
    <w:p w:rsidR="002542EB" w:rsidRDefault="002542EB" w:rsidP="002542EB">
      <w:pPr>
        <w:pStyle w:val="Prrafodelista"/>
        <w:spacing w:after="0" w:line="360" w:lineRule="auto"/>
        <w:ind w:left="0" w:firstLine="709"/>
        <w:jc w:val="both"/>
        <w:rPr>
          <w:rFonts w:ascii="Arial" w:hAnsi="Arial" w:cs="Arial"/>
          <w:sz w:val="24"/>
          <w:szCs w:val="24"/>
        </w:rPr>
      </w:pPr>
    </w:p>
    <w:p w:rsidR="002542EB" w:rsidRDefault="002542EB" w:rsidP="002542EB">
      <w:pPr>
        <w:spacing w:after="0"/>
        <w:contextualSpacing/>
        <w:jc w:val="both"/>
        <w:rPr>
          <w:rFonts w:ascii="Arial" w:hAnsi="Arial" w:cs="Arial"/>
          <w:b/>
          <w:sz w:val="24"/>
        </w:rPr>
      </w:pPr>
    </w:p>
    <w:p w:rsidR="002542EB" w:rsidRDefault="002542EB" w:rsidP="002542EB">
      <w:pPr>
        <w:spacing w:after="0"/>
        <w:contextualSpacing/>
        <w:jc w:val="both"/>
        <w:rPr>
          <w:rFonts w:ascii="Arial" w:hAnsi="Arial" w:cs="Arial"/>
          <w:b/>
          <w:sz w:val="24"/>
        </w:rPr>
      </w:pPr>
    </w:p>
    <w:p w:rsidR="002542EB" w:rsidRDefault="002542EB" w:rsidP="002542EB">
      <w:pPr>
        <w:spacing w:after="0"/>
        <w:contextualSpacing/>
        <w:jc w:val="both"/>
        <w:rPr>
          <w:rFonts w:ascii="Arial" w:hAnsi="Arial" w:cs="Arial"/>
          <w:b/>
          <w:sz w:val="24"/>
        </w:rPr>
      </w:pPr>
    </w:p>
    <w:p w:rsidR="002542EB" w:rsidRDefault="002542EB" w:rsidP="002542EB">
      <w:pPr>
        <w:spacing w:after="0"/>
        <w:contextualSpacing/>
        <w:jc w:val="both"/>
        <w:rPr>
          <w:rFonts w:ascii="Arial" w:hAnsi="Arial" w:cs="Arial"/>
          <w:b/>
          <w:sz w:val="24"/>
        </w:rPr>
      </w:pPr>
    </w:p>
    <w:p w:rsidR="002542EB" w:rsidRDefault="002542EB" w:rsidP="002542EB">
      <w:pPr>
        <w:spacing w:after="0"/>
        <w:contextualSpacing/>
        <w:jc w:val="center"/>
        <w:rPr>
          <w:rFonts w:ascii="Arial" w:hAnsi="Arial" w:cs="Arial"/>
          <w:b/>
          <w:noProof/>
          <w:sz w:val="24"/>
          <w:lang w:val="es-MX" w:eastAsia="es-MX"/>
        </w:rPr>
      </w:pPr>
    </w:p>
    <w:p w:rsidR="00D70D8C" w:rsidRDefault="00D70D8C" w:rsidP="002542EB">
      <w:pPr>
        <w:spacing w:after="0"/>
        <w:contextualSpacing/>
        <w:jc w:val="center"/>
        <w:rPr>
          <w:rFonts w:ascii="Arial" w:hAnsi="Arial" w:cs="Arial"/>
          <w:b/>
          <w:noProof/>
          <w:sz w:val="24"/>
          <w:lang w:val="es-MX" w:eastAsia="es-MX"/>
        </w:rPr>
      </w:pPr>
    </w:p>
    <w:p w:rsidR="00D70D8C" w:rsidRDefault="00D70D8C" w:rsidP="002542EB">
      <w:pPr>
        <w:spacing w:after="0"/>
        <w:contextualSpacing/>
        <w:jc w:val="center"/>
        <w:rPr>
          <w:rFonts w:ascii="Arial" w:hAnsi="Arial" w:cs="Arial"/>
          <w:b/>
          <w:noProof/>
          <w:sz w:val="24"/>
          <w:lang w:val="es-MX" w:eastAsia="es-MX"/>
        </w:rPr>
      </w:pPr>
    </w:p>
    <w:p w:rsidR="002542EB" w:rsidRDefault="002542EB" w:rsidP="002542EB">
      <w:pPr>
        <w:spacing w:after="0"/>
        <w:contextualSpacing/>
        <w:jc w:val="both"/>
        <w:rPr>
          <w:rFonts w:ascii="Arial" w:hAnsi="Arial" w:cs="Arial"/>
          <w:b/>
          <w:sz w:val="24"/>
        </w:rPr>
      </w:pPr>
    </w:p>
    <w:p w:rsidR="002542EB" w:rsidRDefault="002542EB" w:rsidP="002542EB">
      <w:pPr>
        <w:spacing w:after="0"/>
        <w:contextualSpacing/>
        <w:jc w:val="both"/>
        <w:rPr>
          <w:rFonts w:ascii="Arial" w:hAnsi="Arial" w:cs="Arial"/>
          <w:b/>
          <w:sz w:val="24"/>
        </w:rPr>
      </w:pPr>
    </w:p>
    <w:p w:rsidR="002542EB" w:rsidRPr="0072204F" w:rsidRDefault="002542EB" w:rsidP="002542EB">
      <w:pPr>
        <w:pStyle w:val="Prrafodelista"/>
        <w:numPr>
          <w:ilvl w:val="0"/>
          <w:numId w:val="3"/>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Pr="0072204F">
        <w:rPr>
          <w:rFonts w:ascii="Arial" w:hAnsi="Arial" w:cs="Arial"/>
          <w:b/>
          <w:sz w:val="24"/>
        </w:rPr>
        <w:t xml:space="preserve"> e</w:t>
      </w:r>
      <w:r>
        <w:rPr>
          <w:rFonts w:ascii="Arial" w:hAnsi="Arial" w:cs="Arial"/>
          <w:b/>
          <w:sz w:val="24"/>
        </w:rPr>
        <w:t>n los ordenamientos y normativa</w:t>
      </w:r>
      <w:r w:rsidRPr="0072204F">
        <w:rPr>
          <w:rFonts w:ascii="Arial" w:hAnsi="Arial" w:cs="Arial"/>
          <w:b/>
          <w:sz w:val="24"/>
        </w:rPr>
        <w:t xml:space="preserve"> correspondientes.</w:t>
      </w:r>
    </w:p>
    <w:p w:rsidR="002542EB" w:rsidRPr="00381115" w:rsidRDefault="002542EB" w:rsidP="002542EB">
      <w:pPr>
        <w:pStyle w:val="Prrafodelista"/>
        <w:spacing w:after="0"/>
        <w:contextualSpacing/>
        <w:jc w:val="both"/>
        <w:rPr>
          <w:rFonts w:ascii="Arial" w:hAnsi="Arial" w:cs="Arial"/>
          <w:sz w:val="24"/>
        </w:rPr>
      </w:pPr>
    </w:p>
    <w:p w:rsidR="002542EB" w:rsidRDefault="002542EB" w:rsidP="002542EB">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Pr>
          <w:rFonts w:ascii="Arial" w:hAnsi="Arial" w:cs="Arial"/>
          <w:sz w:val="24"/>
        </w:rPr>
        <w:t>n la Cuenta Pública, se concluyó</w:t>
      </w:r>
      <w:r w:rsidRPr="00381115">
        <w:rPr>
          <w:rFonts w:ascii="Arial" w:hAnsi="Arial" w:cs="Arial"/>
          <w:sz w:val="24"/>
        </w:rPr>
        <w:t xml:space="preserve"> que su pres</w:t>
      </w:r>
      <w:r>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2542EB" w:rsidRDefault="002542EB" w:rsidP="002542EB">
      <w:pPr>
        <w:spacing w:after="0" w:line="360" w:lineRule="auto"/>
        <w:ind w:firstLine="709"/>
        <w:contextualSpacing/>
        <w:jc w:val="both"/>
        <w:rPr>
          <w:rFonts w:ascii="Arial" w:hAnsi="Arial" w:cs="Arial"/>
          <w:sz w:val="24"/>
        </w:rPr>
      </w:pPr>
    </w:p>
    <w:p w:rsidR="002542EB" w:rsidRDefault="002542EB" w:rsidP="002542EB">
      <w:pPr>
        <w:pStyle w:val="Prrafodelista"/>
        <w:numPr>
          <w:ilvl w:val="0"/>
          <w:numId w:val="3"/>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2542EB" w:rsidRDefault="002542EB" w:rsidP="002542EB">
      <w:pPr>
        <w:pStyle w:val="Prrafodelista"/>
        <w:spacing w:after="0" w:line="240" w:lineRule="auto"/>
        <w:contextualSpacing/>
        <w:jc w:val="both"/>
        <w:rPr>
          <w:rFonts w:ascii="Arial" w:hAnsi="Arial" w:cs="Arial"/>
          <w:b/>
          <w:sz w:val="24"/>
        </w:rPr>
      </w:pPr>
    </w:p>
    <w:p w:rsidR="00374B6D" w:rsidRDefault="002542EB" w:rsidP="00374B6D">
      <w:pPr>
        <w:pStyle w:val="Textoindependiente"/>
        <w:spacing w:line="360" w:lineRule="auto"/>
        <w:rPr>
          <w:rFonts w:ascii="Arial" w:hAnsi="Arial" w:cs="Arial"/>
          <w:sz w:val="24"/>
          <w:szCs w:val="24"/>
          <w:lang w:val="es-MX"/>
        </w:rPr>
      </w:pPr>
      <w:r w:rsidRPr="00B1053E">
        <w:rPr>
          <w:rFonts w:ascii="Arial" w:hAnsi="Arial" w:cs="Arial"/>
          <w:sz w:val="24"/>
          <w:szCs w:val="24"/>
          <w:lang w:val="es-MX"/>
        </w:rPr>
        <w:t>Los indicadores de gestión determinados por l</w:t>
      </w:r>
      <w:r>
        <w:rPr>
          <w:rFonts w:ascii="Arial" w:hAnsi="Arial" w:cs="Arial"/>
          <w:sz w:val="24"/>
          <w:szCs w:val="24"/>
          <w:lang w:val="es-MX"/>
        </w:rPr>
        <w:t>a administración de la Universidad Tecnológica Linares son los siguientes:</w:t>
      </w:r>
    </w:p>
    <w:p w:rsidR="00374B6D" w:rsidRDefault="00374B6D" w:rsidP="00374B6D">
      <w:pPr>
        <w:pStyle w:val="Textoindependiente"/>
        <w:spacing w:line="360" w:lineRule="auto"/>
        <w:rPr>
          <w:rFonts w:ascii="Arial" w:hAnsi="Arial" w:cs="Arial"/>
          <w:sz w:val="24"/>
          <w:szCs w:val="24"/>
          <w:lang w:val="es-MX"/>
        </w:rPr>
      </w:pPr>
    </w:p>
    <w:p w:rsidR="00374B6D" w:rsidRDefault="00374B6D" w:rsidP="00374B6D">
      <w:pPr>
        <w:pStyle w:val="Textoindependiente"/>
        <w:spacing w:line="360" w:lineRule="auto"/>
        <w:rPr>
          <w:rFonts w:ascii="Arial" w:hAnsi="Arial" w:cs="Arial"/>
          <w:sz w:val="24"/>
          <w:szCs w:val="24"/>
          <w:lang w:val="es-MX"/>
        </w:rPr>
      </w:pPr>
      <w:r w:rsidRPr="00374B6D">
        <w:rPr>
          <w:rFonts w:ascii="Arial" w:hAnsi="Arial" w:cs="Arial"/>
          <w:noProof/>
          <w:sz w:val="24"/>
          <w:szCs w:val="24"/>
          <w:lang w:val="es-MX" w:eastAsia="es-MX"/>
        </w:rPr>
        <w:lastRenderedPageBreak/>
        <w:drawing>
          <wp:inline distT="0" distB="0" distL="0" distR="0">
            <wp:extent cx="4943475" cy="32480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3475" cy="3248025"/>
                    </a:xfrm>
                    <a:prstGeom prst="rect">
                      <a:avLst/>
                    </a:prstGeom>
                    <a:noFill/>
                    <a:ln>
                      <a:noFill/>
                    </a:ln>
                  </pic:spPr>
                </pic:pic>
              </a:graphicData>
            </a:graphic>
          </wp:inline>
        </w:drawing>
      </w:r>
    </w:p>
    <w:p w:rsidR="00374B6D" w:rsidRDefault="00374B6D" w:rsidP="00374B6D">
      <w:pPr>
        <w:pStyle w:val="Textoindependiente"/>
        <w:spacing w:line="360" w:lineRule="auto"/>
        <w:rPr>
          <w:rFonts w:ascii="Arial" w:hAnsi="Arial" w:cs="Arial"/>
          <w:sz w:val="24"/>
          <w:szCs w:val="24"/>
          <w:lang w:val="es-MX"/>
        </w:rPr>
      </w:pPr>
      <w:r w:rsidRPr="00374B6D">
        <w:rPr>
          <w:rFonts w:ascii="Arial" w:hAnsi="Arial" w:cs="Arial"/>
          <w:noProof/>
          <w:sz w:val="24"/>
          <w:szCs w:val="24"/>
          <w:lang w:val="es-MX" w:eastAsia="es-MX"/>
        </w:rPr>
        <w:drawing>
          <wp:inline distT="0" distB="0" distL="0" distR="0">
            <wp:extent cx="4943475" cy="26384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2638425"/>
                    </a:xfrm>
                    <a:prstGeom prst="rect">
                      <a:avLst/>
                    </a:prstGeom>
                    <a:noFill/>
                    <a:ln>
                      <a:noFill/>
                    </a:ln>
                  </pic:spPr>
                </pic:pic>
              </a:graphicData>
            </a:graphic>
          </wp:inline>
        </w:drawing>
      </w:r>
    </w:p>
    <w:p w:rsidR="002542EB" w:rsidRPr="00374B6D" w:rsidRDefault="002542EB" w:rsidP="00374B6D">
      <w:pPr>
        <w:pStyle w:val="Textoindependiente"/>
        <w:spacing w:line="360" w:lineRule="auto"/>
        <w:rPr>
          <w:rFonts w:ascii="Arial" w:hAnsi="Arial" w:cs="Arial"/>
          <w:sz w:val="24"/>
          <w:szCs w:val="24"/>
          <w:lang w:val="es-MX"/>
        </w:rPr>
      </w:pPr>
      <w:r w:rsidRPr="00401C23">
        <w:rPr>
          <w:rFonts w:ascii="Arial" w:hAnsi="Arial" w:cs="Arial"/>
          <w:b/>
          <w:bCs/>
          <w:sz w:val="24"/>
        </w:rPr>
        <w:lastRenderedPageBreak/>
        <w:t xml:space="preserve">Principales Observaciones derivadas de la revisión practicada por la Auditoría Superior </w:t>
      </w:r>
      <w:r>
        <w:rPr>
          <w:rFonts w:ascii="Arial" w:hAnsi="Arial" w:cs="Arial"/>
          <w:b/>
          <w:bCs/>
          <w:sz w:val="24"/>
        </w:rPr>
        <w:t>del Estado, incluyendo las acciones que se ejercerán y recomendaciones que se formularán.</w:t>
      </w:r>
    </w:p>
    <w:p w:rsidR="002542EB" w:rsidRDefault="002542EB" w:rsidP="002542EB">
      <w:pPr>
        <w:spacing w:after="0"/>
        <w:contextualSpacing/>
        <w:jc w:val="both"/>
        <w:rPr>
          <w:rFonts w:ascii="Arial" w:hAnsi="Arial" w:cs="Arial"/>
          <w:sz w:val="24"/>
        </w:rPr>
      </w:pPr>
    </w:p>
    <w:p w:rsidR="002542EB" w:rsidRDefault="002542EB" w:rsidP="002542EB">
      <w:pPr>
        <w:spacing w:after="0"/>
        <w:contextualSpacing/>
        <w:jc w:val="both"/>
        <w:rPr>
          <w:rFonts w:ascii="Arial" w:hAnsi="Arial" w:cs="Arial"/>
          <w:b/>
          <w:sz w:val="24"/>
        </w:rPr>
      </w:pPr>
      <w:r>
        <w:rPr>
          <w:rFonts w:ascii="Arial" w:hAnsi="Arial" w:cs="Arial"/>
          <w:b/>
          <w:sz w:val="24"/>
        </w:rPr>
        <w:t xml:space="preserve">GESTIÓN FINANCIERA </w:t>
      </w:r>
    </w:p>
    <w:p w:rsidR="002542EB" w:rsidRDefault="002542EB" w:rsidP="002542EB">
      <w:pPr>
        <w:spacing w:after="0"/>
        <w:contextualSpacing/>
        <w:jc w:val="both"/>
        <w:rPr>
          <w:rFonts w:ascii="Arial" w:hAnsi="Arial" w:cs="Arial"/>
          <w:b/>
          <w:sz w:val="24"/>
          <w:u w:val="single"/>
        </w:rPr>
      </w:pPr>
    </w:p>
    <w:p w:rsidR="002542EB" w:rsidRDefault="002542EB" w:rsidP="002542EB">
      <w:pPr>
        <w:spacing w:after="0"/>
        <w:contextualSpacing/>
        <w:jc w:val="both"/>
        <w:rPr>
          <w:rFonts w:ascii="Arial" w:hAnsi="Arial" w:cs="Arial"/>
          <w:b/>
          <w:sz w:val="24"/>
          <w:u w:val="single"/>
        </w:rPr>
      </w:pPr>
      <w:r w:rsidRPr="00412005">
        <w:rPr>
          <w:rFonts w:ascii="Arial" w:hAnsi="Arial" w:cs="Arial"/>
          <w:b/>
          <w:sz w:val="24"/>
          <w:u w:val="single"/>
        </w:rPr>
        <w:t>LEY GENERAL DE CONTABILIDAD GUBERNAMENTAL</w:t>
      </w:r>
    </w:p>
    <w:p w:rsidR="00374B6D" w:rsidRDefault="00374B6D" w:rsidP="00374B6D">
      <w:pPr>
        <w:spacing w:after="0" w:line="360" w:lineRule="auto"/>
        <w:contextualSpacing/>
        <w:jc w:val="both"/>
        <w:rPr>
          <w:rFonts w:ascii="Arial" w:hAnsi="Arial" w:cs="Arial"/>
          <w:b/>
          <w:sz w:val="24"/>
          <w:u w:val="single"/>
        </w:rPr>
      </w:pPr>
    </w:p>
    <w:p w:rsidR="00374B6D" w:rsidRPr="00374B6D" w:rsidRDefault="00374B6D" w:rsidP="00374B6D">
      <w:pPr>
        <w:spacing w:after="0" w:line="360" w:lineRule="auto"/>
        <w:contextualSpacing/>
        <w:jc w:val="both"/>
        <w:rPr>
          <w:rFonts w:ascii="Arial" w:hAnsi="Arial" w:cs="Arial"/>
          <w:sz w:val="24"/>
        </w:rPr>
      </w:pPr>
      <w:r>
        <w:rPr>
          <w:rFonts w:ascii="Arial" w:hAnsi="Arial" w:cs="Arial"/>
          <w:sz w:val="24"/>
        </w:rPr>
        <w:t xml:space="preserve">1. </w:t>
      </w:r>
      <w:r w:rsidRPr="00374B6D">
        <w:rPr>
          <w:rFonts w:ascii="Arial" w:hAnsi="Arial" w:cs="Arial"/>
          <w:sz w:val="24"/>
        </w:rPr>
        <w:t>Se revisó la observancia de la Ley General de Contabilidad Gubernamental (LGCG) y la normatividad emitida por el Consejo Nacional de Armonización Contable (</w:t>
      </w:r>
      <w:proofErr w:type="spellStart"/>
      <w:r w:rsidRPr="00374B6D">
        <w:rPr>
          <w:rFonts w:ascii="Arial" w:hAnsi="Arial" w:cs="Arial"/>
          <w:sz w:val="24"/>
        </w:rPr>
        <w:t>Conac</w:t>
      </w:r>
      <w:proofErr w:type="spellEnd"/>
      <w:r w:rsidRPr="00374B6D">
        <w:rPr>
          <w:rFonts w:ascii="Arial" w:hAnsi="Arial" w:cs="Arial"/>
          <w:sz w:val="24"/>
        </w:rPr>
        <w:t>), advirtiéndose incumplimientos por parte del Ente Público, a las obligaciones que diversos preceptos de la referida Ley le imponen, acorde con lo que se enuncia a continuación:</w:t>
      </w:r>
    </w:p>
    <w:p w:rsid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sidRPr="00374B6D">
        <w:rPr>
          <w:rFonts w:ascii="Arial" w:hAnsi="Arial" w:cs="Arial"/>
          <w:sz w:val="24"/>
        </w:rPr>
        <w:t>I.</w:t>
      </w:r>
      <w:r>
        <w:rPr>
          <w:rFonts w:ascii="Arial" w:hAnsi="Arial" w:cs="Arial"/>
          <w:sz w:val="24"/>
        </w:rPr>
        <w:t xml:space="preserve"> </w:t>
      </w:r>
      <w:r w:rsidRPr="00374B6D">
        <w:rPr>
          <w:rFonts w:ascii="Arial" w:hAnsi="Arial" w:cs="Arial"/>
          <w:sz w:val="24"/>
        </w:rPr>
        <w:t>Registros contables</w:t>
      </w:r>
    </w:p>
    <w:p w:rsid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Pr>
          <w:rFonts w:ascii="Arial" w:hAnsi="Arial" w:cs="Arial"/>
          <w:sz w:val="24"/>
        </w:rPr>
        <w:t xml:space="preserve">a) </w:t>
      </w:r>
      <w:r w:rsidRPr="00374B6D">
        <w:rPr>
          <w:rFonts w:ascii="Arial" w:hAnsi="Arial" w:cs="Arial"/>
          <w:sz w:val="24"/>
        </w:rPr>
        <w:t xml:space="preserve">Establecer una lista de cuentas alineadas al plan de cuentas emitido por el </w:t>
      </w:r>
      <w:proofErr w:type="spellStart"/>
      <w:r w:rsidRPr="00374B6D">
        <w:rPr>
          <w:rFonts w:ascii="Arial" w:hAnsi="Arial" w:cs="Arial"/>
          <w:sz w:val="24"/>
        </w:rPr>
        <w:t>Conac</w:t>
      </w:r>
      <w:proofErr w:type="spellEnd"/>
      <w:r w:rsidRPr="00374B6D">
        <w:rPr>
          <w:rFonts w:ascii="Arial" w:hAnsi="Arial" w:cs="Arial"/>
          <w:sz w:val="24"/>
        </w:rPr>
        <w:t xml:space="preserve"> (artículo 37).</w:t>
      </w:r>
    </w:p>
    <w:p w:rsidR="00374B6D" w:rsidRP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Pr>
          <w:rFonts w:ascii="Arial" w:hAnsi="Arial" w:cs="Arial"/>
          <w:sz w:val="24"/>
        </w:rPr>
        <w:t xml:space="preserve">b) </w:t>
      </w:r>
      <w:r w:rsidRPr="00374B6D">
        <w:rPr>
          <w:rFonts w:ascii="Arial" w:hAnsi="Arial" w:cs="Arial"/>
          <w:sz w:val="24"/>
        </w:rPr>
        <w:t>Contar con manuales de contabilidad (artículo 20).</w:t>
      </w:r>
    </w:p>
    <w:p w:rsidR="00374B6D" w:rsidRP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Pr>
          <w:rFonts w:ascii="Arial" w:hAnsi="Arial" w:cs="Arial"/>
          <w:sz w:val="24"/>
        </w:rPr>
        <w:t xml:space="preserve">c) </w:t>
      </w:r>
      <w:r w:rsidRPr="00374B6D">
        <w:rPr>
          <w:rFonts w:ascii="Arial" w:hAnsi="Arial" w:cs="Arial"/>
          <w:sz w:val="24"/>
        </w:rPr>
        <w:t>Realizar los registros contables con base acumulativa, el gasto conforme a su fecha de realización y el ingreso cuando exista jurídicamente el derecho de cobro (artículo 34, conforme a Normas y metodología para la determinación de los momentos contables de los ingresos y Normas y metodología para la determinación de los momentos contables de los egresos).</w:t>
      </w:r>
    </w:p>
    <w:p w:rsidR="00374B6D" w:rsidRP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Pr>
          <w:rFonts w:ascii="Arial" w:hAnsi="Arial" w:cs="Arial"/>
          <w:sz w:val="24"/>
        </w:rPr>
        <w:t xml:space="preserve">d) </w:t>
      </w:r>
      <w:r w:rsidRPr="00374B6D">
        <w:rPr>
          <w:rFonts w:ascii="Arial" w:hAnsi="Arial" w:cs="Arial"/>
          <w:sz w:val="24"/>
        </w:rPr>
        <w:t>Mantener un registro histórico de sus operaciones en los libros diario, mayor e inventarios y balances (artículo 35 y cuarto transitorio del decreto por el que se expide la LGCG publicado en el Diario Oficial de la Federación el 31 de diciembre de 2008, conforme a los Lineamientos mínimos relativos al diseño e integración del registro en los libros diario, mayor e inventarios y balances, registro electrónico).</w:t>
      </w:r>
    </w:p>
    <w:p w:rsidR="00374B6D" w:rsidRP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Pr>
          <w:rFonts w:ascii="Arial" w:hAnsi="Arial" w:cs="Arial"/>
          <w:sz w:val="24"/>
        </w:rPr>
        <w:t xml:space="preserve">e) </w:t>
      </w:r>
      <w:r w:rsidRPr="00374B6D">
        <w:rPr>
          <w:rFonts w:ascii="Arial" w:hAnsi="Arial" w:cs="Arial"/>
          <w:sz w:val="24"/>
        </w:rPr>
        <w:t>Constituir provisiones, revisarlas y ajustarlas periódicamente para mantener su vigencia (artículo 39).</w:t>
      </w:r>
    </w:p>
    <w:p w:rsidR="00374B6D" w:rsidRP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Pr>
          <w:rFonts w:ascii="Arial" w:hAnsi="Arial" w:cs="Arial"/>
          <w:sz w:val="24"/>
        </w:rPr>
        <w:t xml:space="preserve">f) </w:t>
      </w:r>
      <w:r w:rsidRPr="00374B6D">
        <w:rPr>
          <w:rFonts w:ascii="Arial" w:hAnsi="Arial" w:cs="Arial"/>
          <w:sz w:val="24"/>
        </w:rPr>
        <w:t>Disponer de las matrices de conversión con las características señaladas en los artículos 40 y 41, (artículo cuarto transitorio del decreto por el que se expide la LGCG publicado en el Diario Oficial de la Federación el 31 de diciembre de 2008).</w:t>
      </w:r>
    </w:p>
    <w:p w:rsidR="00374B6D" w:rsidRP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sidRPr="00374B6D">
        <w:rPr>
          <w:rFonts w:ascii="Arial" w:hAnsi="Arial" w:cs="Arial"/>
          <w:sz w:val="24"/>
        </w:rPr>
        <w:t>II.</w:t>
      </w:r>
      <w:r>
        <w:rPr>
          <w:rFonts w:ascii="Arial" w:hAnsi="Arial" w:cs="Arial"/>
          <w:sz w:val="24"/>
        </w:rPr>
        <w:t xml:space="preserve"> </w:t>
      </w:r>
      <w:r w:rsidRPr="00374B6D">
        <w:rPr>
          <w:rFonts w:ascii="Arial" w:hAnsi="Arial" w:cs="Arial"/>
          <w:sz w:val="24"/>
        </w:rPr>
        <w:t>Registros presupuestarios</w:t>
      </w:r>
    </w:p>
    <w:p w:rsid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Pr>
          <w:rFonts w:ascii="Arial" w:hAnsi="Arial" w:cs="Arial"/>
          <w:sz w:val="24"/>
        </w:rPr>
        <w:t xml:space="preserve">a) </w:t>
      </w:r>
      <w:r w:rsidRPr="00374B6D">
        <w:rPr>
          <w:rFonts w:ascii="Arial" w:hAnsi="Arial" w:cs="Arial"/>
          <w:sz w:val="24"/>
        </w:rPr>
        <w:t>Disponer de clasificadores presupuestarios armonizados, que permitan su interrelación automática (artículo 41, conforme a los clasificadores).</w:t>
      </w:r>
    </w:p>
    <w:p w:rsidR="00374B6D" w:rsidRP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sidRPr="00374B6D">
        <w:rPr>
          <w:rFonts w:ascii="Arial" w:hAnsi="Arial" w:cs="Arial"/>
          <w:sz w:val="24"/>
        </w:rPr>
        <w:t>a.1. Clasificador por rubro de ingresos.</w:t>
      </w:r>
    </w:p>
    <w:p w:rsidR="00374B6D" w:rsidRPr="00374B6D" w:rsidRDefault="00374B6D" w:rsidP="00374B6D">
      <w:pPr>
        <w:spacing w:after="0" w:line="360" w:lineRule="auto"/>
        <w:contextualSpacing/>
        <w:jc w:val="both"/>
        <w:rPr>
          <w:rFonts w:ascii="Arial" w:hAnsi="Arial" w:cs="Arial"/>
          <w:sz w:val="24"/>
        </w:rPr>
      </w:pPr>
      <w:r w:rsidRPr="00374B6D">
        <w:rPr>
          <w:rFonts w:ascii="Arial" w:hAnsi="Arial" w:cs="Arial"/>
          <w:sz w:val="24"/>
        </w:rPr>
        <w:t>a.2. Clasificador por objeto del gasto.</w:t>
      </w:r>
    </w:p>
    <w:p w:rsidR="00374B6D" w:rsidRPr="00374B6D" w:rsidRDefault="00374B6D" w:rsidP="00374B6D">
      <w:pPr>
        <w:spacing w:after="0" w:line="360" w:lineRule="auto"/>
        <w:contextualSpacing/>
        <w:jc w:val="both"/>
        <w:rPr>
          <w:rFonts w:ascii="Arial" w:hAnsi="Arial" w:cs="Arial"/>
          <w:sz w:val="24"/>
        </w:rPr>
      </w:pPr>
      <w:r w:rsidRPr="00374B6D">
        <w:rPr>
          <w:rFonts w:ascii="Arial" w:hAnsi="Arial" w:cs="Arial"/>
          <w:sz w:val="24"/>
        </w:rPr>
        <w:t>a.3. Clasificador por tipo del gasto.</w:t>
      </w:r>
    </w:p>
    <w:p w:rsidR="00374B6D" w:rsidRPr="00374B6D" w:rsidRDefault="00374B6D" w:rsidP="00374B6D">
      <w:pPr>
        <w:spacing w:after="0" w:line="360" w:lineRule="auto"/>
        <w:contextualSpacing/>
        <w:jc w:val="both"/>
        <w:rPr>
          <w:rFonts w:ascii="Arial" w:hAnsi="Arial" w:cs="Arial"/>
          <w:sz w:val="24"/>
        </w:rPr>
      </w:pPr>
      <w:r w:rsidRPr="00374B6D">
        <w:rPr>
          <w:rFonts w:ascii="Arial" w:hAnsi="Arial" w:cs="Arial"/>
          <w:sz w:val="24"/>
        </w:rPr>
        <w:t>a.4. Clasificación funcional del gasto.</w:t>
      </w:r>
    </w:p>
    <w:p w:rsidR="00374B6D" w:rsidRPr="00374B6D" w:rsidRDefault="00374B6D" w:rsidP="00374B6D">
      <w:pPr>
        <w:spacing w:after="0" w:line="360" w:lineRule="auto"/>
        <w:contextualSpacing/>
        <w:jc w:val="both"/>
        <w:rPr>
          <w:rFonts w:ascii="Arial" w:hAnsi="Arial" w:cs="Arial"/>
          <w:sz w:val="24"/>
        </w:rPr>
      </w:pPr>
      <w:r w:rsidRPr="00374B6D">
        <w:rPr>
          <w:rFonts w:ascii="Arial" w:hAnsi="Arial" w:cs="Arial"/>
          <w:sz w:val="24"/>
        </w:rPr>
        <w:lastRenderedPageBreak/>
        <w:t>a.5. Clasificación programática.</w:t>
      </w:r>
    </w:p>
    <w:p w:rsidR="00374B6D" w:rsidRPr="00374B6D" w:rsidRDefault="00374B6D" w:rsidP="00374B6D">
      <w:pPr>
        <w:spacing w:after="0" w:line="360" w:lineRule="auto"/>
        <w:contextualSpacing/>
        <w:jc w:val="both"/>
        <w:rPr>
          <w:rFonts w:ascii="Arial" w:hAnsi="Arial" w:cs="Arial"/>
          <w:sz w:val="24"/>
        </w:rPr>
      </w:pPr>
      <w:r w:rsidRPr="00374B6D">
        <w:rPr>
          <w:rFonts w:ascii="Arial" w:hAnsi="Arial" w:cs="Arial"/>
          <w:sz w:val="24"/>
        </w:rPr>
        <w:t>a.6. Clasificación administrativa.</w:t>
      </w:r>
    </w:p>
    <w:p w:rsidR="00374B6D" w:rsidRPr="00374B6D" w:rsidRDefault="00374B6D" w:rsidP="00374B6D">
      <w:pPr>
        <w:spacing w:after="0" w:line="360" w:lineRule="auto"/>
        <w:contextualSpacing/>
        <w:jc w:val="both"/>
        <w:rPr>
          <w:rFonts w:ascii="Arial" w:hAnsi="Arial" w:cs="Arial"/>
          <w:sz w:val="24"/>
        </w:rPr>
      </w:pPr>
      <w:r w:rsidRPr="00374B6D">
        <w:rPr>
          <w:rFonts w:ascii="Arial" w:hAnsi="Arial" w:cs="Arial"/>
          <w:sz w:val="24"/>
        </w:rPr>
        <w:t>a.7. Clasificador por fuente de financiamiento.</w:t>
      </w:r>
    </w:p>
    <w:p w:rsid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Pr>
          <w:rFonts w:ascii="Arial" w:hAnsi="Arial" w:cs="Arial"/>
          <w:sz w:val="24"/>
        </w:rPr>
        <w:t xml:space="preserve">b) </w:t>
      </w:r>
      <w:r w:rsidRPr="00374B6D">
        <w:rPr>
          <w:rFonts w:ascii="Arial" w:hAnsi="Arial" w:cs="Arial"/>
          <w:sz w:val="24"/>
        </w:rPr>
        <w:t>Realizar los registros en las etapas del presupuesto de egresos en aprobado, modificado, comprometido, devengado, ejercido y pagado y del ingreso en estimado, modificado, devengado y recaudado (artículo 38, conforme a Normas y metodología para la determinación de los momentos contables de los ingresos y Normas y metodología para la determinación de los momentos contables de los egresos).</w:t>
      </w:r>
    </w:p>
    <w:p w:rsidR="00374B6D" w:rsidRP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Pr>
          <w:rFonts w:ascii="Arial" w:hAnsi="Arial" w:cs="Arial"/>
          <w:sz w:val="24"/>
        </w:rPr>
        <w:t xml:space="preserve">c) </w:t>
      </w:r>
      <w:r w:rsidRPr="00374B6D">
        <w:rPr>
          <w:rFonts w:ascii="Arial" w:hAnsi="Arial" w:cs="Arial"/>
          <w:sz w:val="24"/>
        </w:rPr>
        <w:t>Exhibir en los registros auxiliares los avances presupuestarios y contables (artículo 36).</w:t>
      </w:r>
    </w:p>
    <w:p w:rsidR="00374B6D" w:rsidRP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Pr>
          <w:rFonts w:ascii="Arial" w:hAnsi="Arial" w:cs="Arial"/>
          <w:sz w:val="24"/>
        </w:rPr>
        <w:t xml:space="preserve">d) </w:t>
      </w:r>
      <w:r w:rsidRPr="00374B6D">
        <w:rPr>
          <w:rFonts w:ascii="Arial" w:hAnsi="Arial" w:cs="Arial"/>
          <w:sz w:val="24"/>
        </w:rPr>
        <w:t>Generar registros automáticos y por única vez en los momentos contables correspondientes de los procesos administrativos de los Entes Públicos que impliquen transacciones presupuestarias y contables (artículos 16 y 40, conforme al Acuerdo por el que se determina la norma de información financiera para precisar los alcances del Acuerdo 1 aprobado por el Consejo Nacional de Armonización Contable, en reunión del 3 de mayo de 2013 y publicado el 16 de mayo de 2013).</w:t>
      </w:r>
    </w:p>
    <w:p w:rsidR="00374B6D" w:rsidRP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Pr>
          <w:rFonts w:ascii="Arial" w:hAnsi="Arial" w:cs="Arial"/>
          <w:sz w:val="24"/>
        </w:rPr>
        <w:t xml:space="preserve">e) </w:t>
      </w:r>
      <w:r w:rsidRPr="00374B6D">
        <w:rPr>
          <w:rFonts w:ascii="Arial" w:hAnsi="Arial" w:cs="Arial"/>
          <w:sz w:val="24"/>
        </w:rPr>
        <w:t xml:space="preserve">El sistema interrelaciona de manera automática los clasificadores presupuestarios y lista de cuenta (artículos 19, fracción III y IV y 41, conforme al Acuerdo por el que se determina la norma de información financiera para </w:t>
      </w:r>
      <w:r w:rsidRPr="00374B6D">
        <w:rPr>
          <w:rFonts w:ascii="Arial" w:hAnsi="Arial" w:cs="Arial"/>
          <w:sz w:val="24"/>
        </w:rPr>
        <w:lastRenderedPageBreak/>
        <w:t>precisar los alcances del Acuerdo 1 aprobado por el Consejo Nacional de Armonización Contable, en reunión del 3 de mayo de 2013 y publicado el 16 de mayo de 2013).</w:t>
      </w:r>
    </w:p>
    <w:p w:rsidR="00374B6D" w:rsidRP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Pr>
          <w:rFonts w:ascii="Arial" w:hAnsi="Arial" w:cs="Arial"/>
          <w:sz w:val="24"/>
        </w:rPr>
        <w:t xml:space="preserve">f) </w:t>
      </w:r>
      <w:r w:rsidRPr="00374B6D">
        <w:rPr>
          <w:rFonts w:ascii="Arial" w:hAnsi="Arial" w:cs="Arial"/>
          <w:sz w:val="24"/>
        </w:rPr>
        <w:t>Generar estados financieros en tiempo real (artículo 19, fracción V, VI y Sexto transitorio, conforme al Acuerdo por el que se determina la norma de información financiera para precisar los alcances del Acuerdo 1 aprobado por el Consejo Nacional de Armonización Contable, en reunión del 3 de mayo de 2013 y publicado el 16 de mayo de 2013).</w:t>
      </w:r>
    </w:p>
    <w:p w:rsidR="00374B6D" w:rsidRP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sidRPr="00374B6D">
        <w:rPr>
          <w:rFonts w:ascii="Arial" w:hAnsi="Arial" w:cs="Arial"/>
          <w:sz w:val="24"/>
        </w:rPr>
        <w:t>III.</w:t>
      </w:r>
      <w:r>
        <w:rPr>
          <w:rFonts w:ascii="Arial" w:hAnsi="Arial" w:cs="Arial"/>
          <w:sz w:val="24"/>
        </w:rPr>
        <w:t xml:space="preserve"> </w:t>
      </w:r>
      <w:r w:rsidRPr="00374B6D">
        <w:rPr>
          <w:rFonts w:ascii="Arial" w:hAnsi="Arial" w:cs="Arial"/>
          <w:sz w:val="24"/>
        </w:rPr>
        <w:t>Registros administrativos</w:t>
      </w:r>
    </w:p>
    <w:p w:rsid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Pr>
          <w:rFonts w:ascii="Arial" w:hAnsi="Arial" w:cs="Arial"/>
          <w:sz w:val="24"/>
        </w:rPr>
        <w:t xml:space="preserve">a) </w:t>
      </w:r>
      <w:r w:rsidRPr="00374B6D">
        <w:rPr>
          <w:rFonts w:ascii="Arial" w:hAnsi="Arial" w:cs="Arial"/>
          <w:sz w:val="24"/>
        </w:rPr>
        <w:t>Llevar a cabo el levantamiento físico del inventario de los bienes muebles e inmuebles, conciliarlo con el registro contable, además registrar en un plazo de 30 días hábiles los bienes que se adquieran (artículos 23 y 27, conforme a las Reglas específicas de registro y valoración del patrimonio).</w:t>
      </w:r>
    </w:p>
    <w:p w:rsidR="00374B6D" w:rsidRP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Pr>
          <w:rFonts w:ascii="Arial" w:hAnsi="Arial" w:cs="Arial"/>
          <w:sz w:val="24"/>
        </w:rPr>
        <w:t xml:space="preserve">b) </w:t>
      </w:r>
      <w:r w:rsidRPr="00374B6D">
        <w:rPr>
          <w:rFonts w:ascii="Arial" w:hAnsi="Arial" w:cs="Arial"/>
          <w:sz w:val="24"/>
        </w:rPr>
        <w:t>Respaldar la contabilización de las operaciones presupuestarias y contables con la documentación original que compruebe y justifique los registros que se efectúen (artículo 42).</w:t>
      </w:r>
    </w:p>
    <w:p w:rsidR="00374B6D" w:rsidRP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Pr>
          <w:rFonts w:ascii="Arial" w:hAnsi="Arial" w:cs="Arial"/>
          <w:sz w:val="24"/>
        </w:rPr>
        <w:t xml:space="preserve">c) </w:t>
      </w:r>
      <w:r w:rsidRPr="00374B6D">
        <w:rPr>
          <w:rFonts w:ascii="Arial" w:hAnsi="Arial" w:cs="Arial"/>
          <w:sz w:val="24"/>
        </w:rPr>
        <w:t xml:space="preserve">Disponer de catálogos de bienes (artículo 41, conforme a los Lineamientos para la elaboración del catálogo de bienes que permita la interrelación automática con el clasificador por objeto del gasto y la lista de cuentas y Lineamientos para la elaboración del catálogo de bienes inmuebles que </w:t>
      </w:r>
      <w:r w:rsidRPr="00374B6D">
        <w:rPr>
          <w:rFonts w:ascii="Arial" w:hAnsi="Arial" w:cs="Arial"/>
          <w:sz w:val="24"/>
        </w:rPr>
        <w:lastRenderedPageBreak/>
        <w:t>permita la interrelación automática con el clasificador por objeto del gasto y la lista de cuentas).</w:t>
      </w:r>
    </w:p>
    <w:p w:rsidR="00374B6D" w:rsidRP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Pr>
          <w:rFonts w:ascii="Arial" w:hAnsi="Arial" w:cs="Arial"/>
          <w:sz w:val="24"/>
        </w:rPr>
        <w:t xml:space="preserve">d) </w:t>
      </w:r>
      <w:r w:rsidRPr="00374B6D">
        <w:rPr>
          <w:rFonts w:ascii="Arial" w:hAnsi="Arial" w:cs="Arial"/>
          <w:sz w:val="24"/>
        </w:rPr>
        <w:t>Realizar los pagos directamente en forma electrónica, mediante abono en cuenta del beneficiario (artículo 67, párrafo segundo).</w:t>
      </w:r>
    </w:p>
    <w:p w:rsidR="00374B6D" w:rsidRP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Pr>
          <w:rFonts w:ascii="Arial" w:hAnsi="Arial" w:cs="Arial"/>
          <w:sz w:val="24"/>
        </w:rPr>
        <w:t xml:space="preserve">e) </w:t>
      </w:r>
      <w:r w:rsidRPr="00374B6D">
        <w:rPr>
          <w:rFonts w:ascii="Arial" w:hAnsi="Arial" w:cs="Arial"/>
          <w:sz w:val="24"/>
        </w:rPr>
        <w:t>Contar con indicadores para medir los avances físico-financieros relacionados con los recursos federales (cuarto transitorio del decreto por el que se expide la LGCG publicado en el Diario Oficial de la Federación el 31 de diciembre de 2008, conforme a los Lineamientos sobre los Indicadores para medir los avances físicos y financieros relacionados con los recursos públicos federales y los Lineamientos para la construcción y diseño de indicadores de desempeño mediante la metodología de marco lógico).</w:t>
      </w:r>
    </w:p>
    <w:p w:rsidR="00374B6D" w:rsidRP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sidRPr="00374B6D">
        <w:rPr>
          <w:rFonts w:ascii="Arial" w:hAnsi="Arial" w:cs="Arial"/>
          <w:sz w:val="24"/>
        </w:rPr>
        <w:t>IV.</w:t>
      </w:r>
      <w:r>
        <w:rPr>
          <w:rFonts w:ascii="Arial" w:hAnsi="Arial" w:cs="Arial"/>
          <w:sz w:val="24"/>
        </w:rPr>
        <w:t xml:space="preserve"> </w:t>
      </w:r>
      <w:r w:rsidRPr="00374B6D">
        <w:rPr>
          <w:rFonts w:ascii="Arial" w:hAnsi="Arial" w:cs="Arial"/>
          <w:sz w:val="24"/>
        </w:rPr>
        <w:t>Cuenta Pública</w:t>
      </w:r>
    </w:p>
    <w:p w:rsid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sidRPr="00374B6D">
        <w:rPr>
          <w:rFonts w:ascii="Arial" w:hAnsi="Arial" w:cs="Arial"/>
          <w:sz w:val="24"/>
        </w:rPr>
        <w:t>Generar cuenta pública conforme a los artículos 52 y 53 con relación a los artículos 46 y 47, así como al acuerdo por el que se armoniza la estructura de las cuentas públicas, las Normas y metodología para la emisión de información financiera y estructura de los estados financieros básicos del ente público y características de sus notas y el Manual de contabilidad gubernamental, la cual debe contener:</w:t>
      </w:r>
    </w:p>
    <w:p w:rsid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Pr>
          <w:rFonts w:ascii="Arial" w:hAnsi="Arial" w:cs="Arial"/>
          <w:sz w:val="24"/>
        </w:rPr>
        <w:t xml:space="preserve">a) </w:t>
      </w:r>
      <w:r w:rsidRPr="00374B6D">
        <w:rPr>
          <w:rFonts w:ascii="Arial" w:hAnsi="Arial" w:cs="Arial"/>
          <w:sz w:val="24"/>
        </w:rPr>
        <w:t>Información contable</w:t>
      </w:r>
    </w:p>
    <w:p w:rsidR="00374B6D" w:rsidRP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sidRPr="00374B6D">
        <w:rPr>
          <w:rFonts w:ascii="Arial" w:hAnsi="Arial" w:cs="Arial"/>
          <w:sz w:val="24"/>
        </w:rPr>
        <w:lastRenderedPageBreak/>
        <w:t>a.1. Informe sobre pasivos contingentes.</w:t>
      </w:r>
    </w:p>
    <w:p w:rsidR="00374B6D" w:rsidRP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sidRPr="00374B6D">
        <w:rPr>
          <w:rFonts w:ascii="Arial" w:hAnsi="Arial" w:cs="Arial"/>
          <w:sz w:val="24"/>
        </w:rPr>
        <w:t>V.</w:t>
      </w:r>
      <w:r>
        <w:rPr>
          <w:rFonts w:ascii="Arial" w:hAnsi="Arial" w:cs="Arial"/>
          <w:sz w:val="24"/>
        </w:rPr>
        <w:t xml:space="preserve"> </w:t>
      </w:r>
      <w:r w:rsidRPr="00374B6D">
        <w:rPr>
          <w:rFonts w:ascii="Arial" w:hAnsi="Arial" w:cs="Arial"/>
          <w:sz w:val="24"/>
        </w:rPr>
        <w:t>Transparencia</w:t>
      </w:r>
    </w:p>
    <w:p w:rsid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Pr>
          <w:rFonts w:ascii="Arial" w:hAnsi="Arial" w:cs="Arial"/>
          <w:sz w:val="24"/>
        </w:rPr>
        <w:t xml:space="preserve">a) </w:t>
      </w:r>
      <w:r w:rsidRPr="00374B6D">
        <w:rPr>
          <w:rFonts w:ascii="Arial" w:hAnsi="Arial" w:cs="Arial"/>
          <w:sz w:val="24"/>
        </w:rPr>
        <w:t>Publicar el inventario de los bienes (artículo 27, conforme al Acuerdo por el que se determina la norma para establecer la estructura del formato de la relación de bienes que componen el patrimonio del ente público).</w:t>
      </w:r>
    </w:p>
    <w:p w:rsidR="00374B6D" w:rsidRP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sz w:val="24"/>
        </w:rPr>
      </w:pPr>
      <w:r>
        <w:rPr>
          <w:rFonts w:ascii="Arial" w:hAnsi="Arial" w:cs="Arial"/>
          <w:sz w:val="24"/>
        </w:rPr>
        <w:t xml:space="preserve">b) </w:t>
      </w:r>
      <w:r w:rsidRPr="00374B6D">
        <w:rPr>
          <w:rFonts w:ascii="Arial" w:hAnsi="Arial" w:cs="Arial"/>
          <w:sz w:val="24"/>
        </w:rPr>
        <w:t>Publicar la información a que se refiere la Norma para establecer la estructura de información de montos pagados por ayudas y subsidios (Artículo 67).</w:t>
      </w:r>
    </w:p>
    <w:p w:rsidR="00374B6D" w:rsidRDefault="00374B6D" w:rsidP="00374B6D">
      <w:pPr>
        <w:spacing w:after="0" w:line="360" w:lineRule="auto"/>
        <w:contextualSpacing/>
        <w:jc w:val="both"/>
        <w:rPr>
          <w:rFonts w:ascii="Arial" w:hAnsi="Arial" w:cs="Arial"/>
          <w:sz w:val="24"/>
        </w:rPr>
      </w:pPr>
    </w:p>
    <w:p w:rsidR="00374B6D" w:rsidRPr="00374B6D" w:rsidRDefault="00374B6D" w:rsidP="00374B6D">
      <w:pPr>
        <w:spacing w:after="0" w:line="360" w:lineRule="auto"/>
        <w:contextualSpacing/>
        <w:jc w:val="both"/>
        <w:rPr>
          <w:rFonts w:ascii="Arial" w:hAnsi="Arial" w:cs="Arial"/>
          <w:b/>
          <w:sz w:val="24"/>
        </w:rPr>
      </w:pPr>
      <w:r w:rsidRPr="00374B6D">
        <w:rPr>
          <w:rFonts w:ascii="Arial" w:hAnsi="Arial" w:cs="Arial"/>
          <w:b/>
          <w:sz w:val="24"/>
        </w:rPr>
        <w:t>Análisis de la Auditoría Superior del Estado</w:t>
      </w:r>
    </w:p>
    <w:p w:rsidR="00374B6D" w:rsidRDefault="00374B6D" w:rsidP="00374B6D">
      <w:pPr>
        <w:spacing w:after="0" w:line="360" w:lineRule="auto"/>
        <w:contextualSpacing/>
        <w:jc w:val="both"/>
        <w:rPr>
          <w:rFonts w:ascii="Arial" w:hAnsi="Arial" w:cs="Arial"/>
          <w:sz w:val="24"/>
        </w:rPr>
      </w:pPr>
    </w:p>
    <w:p w:rsidR="00374B6D" w:rsidRDefault="00374B6D" w:rsidP="00374B6D">
      <w:pPr>
        <w:spacing w:after="0" w:line="360" w:lineRule="auto"/>
        <w:contextualSpacing/>
        <w:jc w:val="both"/>
        <w:rPr>
          <w:rFonts w:ascii="Arial" w:hAnsi="Arial" w:cs="Arial"/>
          <w:sz w:val="24"/>
        </w:rPr>
      </w:pPr>
      <w:r>
        <w:rPr>
          <w:rFonts w:ascii="Arial" w:hAnsi="Arial" w:cs="Arial"/>
          <w:sz w:val="24"/>
        </w:rPr>
        <w:t>La Auditoría</w:t>
      </w:r>
      <w:r w:rsidRPr="00374B6D">
        <w:rPr>
          <w:rFonts w:ascii="Arial" w:hAnsi="Arial" w:cs="Arial"/>
          <w:sz w:val="24"/>
        </w:rPr>
        <w:t xml:space="preserve"> analizó la respuesta y documentación presentada por el Titular y Extitular del Ente Público,</w:t>
      </w:r>
      <w:r>
        <w:rPr>
          <w:rFonts w:ascii="Arial" w:hAnsi="Arial" w:cs="Arial"/>
          <w:sz w:val="24"/>
        </w:rPr>
        <w:t xml:space="preserve"> y determinó que esta observación se solventó</w:t>
      </w:r>
      <w:r w:rsidRPr="00374B6D">
        <w:rPr>
          <w:rFonts w:ascii="Arial" w:hAnsi="Arial" w:cs="Arial"/>
          <w:sz w:val="24"/>
        </w:rPr>
        <w:t xml:space="preserve"> parcialmente, toda vez que</w:t>
      </w:r>
      <w:r w:rsidR="00DD216E">
        <w:rPr>
          <w:rFonts w:ascii="Arial" w:hAnsi="Arial" w:cs="Arial"/>
          <w:sz w:val="24"/>
        </w:rPr>
        <w:t xml:space="preserve"> el Ente</w:t>
      </w:r>
      <w:r w:rsidRPr="00374B6D">
        <w:rPr>
          <w:rFonts w:ascii="Arial" w:hAnsi="Arial" w:cs="Arial"/>
          <w:sz w:val="24"/>
        </w:rPr>
        <w:t xml:space="preserve"> se </w:t>
      </w:r>
      <w:r w:rsidR="00DD216E" w:rsidRPr="00374B6D">
        <w:rPr>
          <w:rFonts w:ascii="Arial" w:hAnsi="Arial" w:cs="Arial"/>
          <w:sz w:val="24"/>
        </w:rPr>
        <w:t>encontrab</w:t>
      </w:r>
      <w:r w:rsidR="00DD216E">
        <w:rPr>
          <w:rFonts w:ascii="Arial" w:hAnsi="Arial" w:cs="Arial"/>
          <w:sz w:val="24"/>
        </w:rPr>
        <w:t>a</w:t>
      </w:r>
      <w:r w:rsidRPr="00374B6D">
        <w:rPr>
          <w:rFonts w:ascii="Arial" w:hAnsi="Arial" w:cs="Arial"/>
          <w:sz w:val="24"/>
        </w:rPr>
        <w:t xml:space="preserve"> en proceso de implem</w:t>
      </w:r>
      <w:r w:rsidR="00DD216E">
        <w:rPr>
          <w:rFonts w:ascii="Arial" w:hAnsi="Arial" w:cs="Arial"/>
          <w:sz w:val="24"/>
        </w:rPr>
        <w:t>entación de medidas correctivas</w:t>
      </w:r>
      <w:r w:rsidRPr="00374B6D">
        <w:rPr>
          <w:rFonts w:ascii="Arial" w:hAnsi="Arial" w:cs="Arial"/>
          <w:sz w:val="24"/>
        </w:rPr>
        <w:t xml:space="preserve"> sin embargo, no ha</w:t>
      </w:r>
      <w:r w:rsidR="00DD216E">
        <w:rPr>
          <w:rFonts w:ascii="Arial" w:hAnsi="Arial" w:cs="Arial"/>
          <w:sz w:val="24"/>
        </w:rPr>
        <w:t>bía</w:t>
      </w:r>
      <w:r w:rsidRPr="00374B6D">
        <w:rPr>
          <w:rFonts w:ascii="Arial" w:hAnsi="Arial" w:cs="Arial"/>
          <w:sz w:val="24"/>
        </w:rPr>
        <w:t xml:space="preserve"> cumplido con la totalidad de las disposiciones señaladas en la Ley General de Contabilidad Gubernamental y la normativa emitida por el Consejo Nac</w:t>
      </w:r>
      <w:r w:rsidR="00DD216E">
        <w:rPr>
          <w:rFonts w:ascii="Arial" w:hAnsi="Arial" w:cs="Arial"/>
          <w:sz w:val="24"/>
        </w:rPr>
        <w:t>ional de Armonización Contable.</w:t>
      </w:r>
    </w:p>
    <w:p w:rsidR="00DD216E" w:rsidRDefault="00DD216E" w:rsidP="00374B6D">
      <w:pPr>
        <w:spacing w:after="0" w:line="360" w:lineRule="auto"/>
        <w:contextualSpacing/>
        <w:jc w:val="both"/>
        <w:rPr>
          <w:rFonts w:ascii="Arial" w:hAnsi="Arial" w:cs="Arial"/>
          <w:sz w:val="24"/>
        </w:rPr>
      </w:pPr>
    </w:p>
    <w:p w:rsidR="00374B6D" w:rsidRPr="00DD216E" w:rsidRDefault="00374B6D" w:rsidP="00374B6D">
      <w:pPr>
        <w:spacing w:after="0" w:line="360" w:lineRule="auto"/>
        <w:contextualSpacing/>
        <w:jc w:val="both"/>
        <w:rPr>
          <w:rFonts w:ascii="Arial" w:hAnsi="Arial" w:cs="Arial"/>
          <w:b/>
          <w:sz w:val="24"/>
        </w:rPr>
      </w:pPr>
      <w:r w:rsidRPr="00DD216E">
        <w:rPr>
          <w:rFonts w:ascii="Arial" w:hAnsi="Arial" w:cs="Arial"/>
          <w:b/>
          <w:sz w:val="24"/>
        </w:rPr>
        <w:t>Acción(es) o recomendación(es) emitida(s)</w:t>
      </w:r>
    </w:p>
    <w:p w:rsidR="00374B6D" w:rsidRPr="00DD216E" w:rsidRDefault="00374B6D" w:rsidP="00374B6D">
      <w:pPr>
        <w:spacing w:after="0" w:line="360" w:lineRule="auto"/>
        <w:contextualSpacing/>
        <w:jc w:val="both"/>
        <w:rPr>
          <w:rFonts w:ascii="Arial" w:hAnsi="Arial" w:cs="Arial"/>
          <w:i/>
          <w:sz w:val="24"/>
        </w:rPr>
      </w:pPr>
      <w:r w:rsidRPr="00DD216E">
        <w:rPr>
          <w:rFonts w:ascii="Arial" w:hAnsi="Arial" w:cs="Arial"/>
          <w:i/>
          <w:sz w:val="24"/>
        </w:rPr>
        <w:t>Promoción de Fincamiento de Responsabilidad Administrativa.</w:t>
      </w:r>
    </w:p>
    <w:p w:rsidR="00374B6D" w:rsidRDefault="00374B6D" w:rsidP="00374B6D">
      <w:pPr>
        <w:spacing w:after="0" w:line="360" w:lineRule="auto"/>
        <w:contextualSpacing/>
        <w:jc w:val="both"/>
        <w:rPr>
          <w:rFonts w:ascii="Arial" w:hAnsi="Arial" w:cs="Arial"/>
          <w:sz w:val="24"/>
        </w:rPr>
      </w:pPr>
    </w:p>
    <w:p w:rsidR="00DD216E" w:rsidRPr="00DD216E" w:rsidRDefault="00DD216E" w:rsidP="00374B6D">
      <w:pPr>
        <w:spacing w:after="0" w:line="360" w:lineRule="auto"/>
        <w:contextualSpacing/>
        <w:jc w:val="both"/>
        <w:rPr>
          <w:rFonts w:ascii="Arial" w:hAnsi="Arial" w:cs="Arial"/>
          <w:b/>
          <w:sz w:val="24"/>
          <w:u w:val="single"/>
        </w:rPr>
      </w:pPr>
      <w:r w:rsidRPr="00DD216E">
        <w:rPr>
          <w:rFonts w:ascii="Arial" w:hAnsi="Arial" w:cs="Arial"/>
          <w:b/>
          <w:sz w:val="24"/>
          <w:u w:val="single"/>
        </w:rPr>
        <w:lastRenderedPageBreak/>
        <w:t>Estados financieros</w:t>
      </w:r>
    </w:p>
    <w:p w:rsidR="00374B6D" w:rsidRDefault="00374B6D" w:rsidP="00374B6D">
      <w:pPr>
        <w:spacing w:after="0" w:line="360" w:lineRule="auto"/>
        <w:contextualSpacing/>
        <w:jc w:val="both"/>
        <w:rPr>
          <w:rFonts w:ascii="Arial" w:hAnsi="Arial" w:cs="Arial"/>
          <w:b/>
          <w:sz w:val="24"/>
          <w:u w:val="single"/>
        </w:rPr>
      </w:pPr>
    </w:p>
    <w:p w:rsidR="00374B6D" w:rsidRDefault="00DD216E" w:rsidP="00374B6D">
      <w:pPr>
        <w:spacing w:after="0" w:line="360" w:lineRule="auto"/>
        <w:contextualSpacing/>
        <w:jc w:val="both"/>
        <w:rPr>
          <w:rFonts w:ascii="Arial" w:hAnsi="Arial" w:cs="Arial"/>
          <w:sz w:val="24"/>
        </w:rPr>
      </w:pPr>
      <w:r>
        <w:rPr>
          <w:rFonts w:ascii="Arial" w:hAnsi="Arial" w:cs="Arial"/>
          <w:sz w:val="24"/>
        </w:rPr>
        <w:t xml:space="preserve">2. </w:t>
      </w:r>
      <w:r w:rsidRPr="00DD216E">
        <w:rPr>
          <w:rFonts w:ascii="Arial" w:hAnsi="Arial" w:cs="Arial"/>
          <w:sz w:val="24"/>
        </w:rPr>
        <w:t>Al revisar el presupuesto de egresos del ejercicio 2015 del Ente Público, se observó que no fue aprobado por el Consejo Directivo u órgano equivalente de la Universidad Tecnológica Linares a más tardar dentro del primer mes del ejercicio, incumpliendo con lo establecido en artículo 154 párrafo segundo de la Ley de Administración Financiera para el Estado de Nuevo León.</w:t>
      </w:r>
    </w:p>
    <w:p w:rsidR="00DD216E" w:rsidRDefault="00DD216E" w:rsidP="00374B6D">
      <w:pPr>
        <w:spacing w:after="0" w:line="360" w:lineRule="auto"/>
        <w:contextualSpacing/>
        <w:jc w:val="both"/>
        <w:rPr>
          <w:rFonts w:ascii="Arial" w:hAnsi="Arial" w:cs="Arial"/>
          <w:sz w:val="24"/>
        </w:rPr>
      </w:pPr>
    </w:p>
    <w:p w:rsidR="00DD216E" w:rsidRPr="00DD216E" w:rsidRDefault="00DD216E" w:rsidP="00374B6D">
      <w:pPr>
        <w:spacing w:after="0" w:line="360" w:lineRule="auto"/>
        <w:contextualSpacing/>
        <w:jc w:val="both"/>
        <w:rPr>
          <w:rFonts w:ascii="Arial" w:hAnsi="Arial" w:cs="Arial"/>
          <w:sz w:val="24"/>
        </w:rPr>
      </w:pPr>
    </w:p>
    <w:p w:rsidR="00DD216E" w:rsidRPr="00DD216E" w:rsidRDefault="00DD216E" w:rsidP="00DD216E">
      <w:pPr>
        <w:spacing w:after="0" w:line="360" w:lineRule="auto"/>
        <w:contextualSpacing/>
        <w:jc w:val="both"/>
        <w:rPr>
          <w:rFonts w:ascii="Arial" w:hAnsi="Arial" w:cs="Arial"/>
          <w:b/>
          <w:sz w:val="24"/>
        </w:rPr>
      </w:pPr>
      <w:r w:rsidRPr="00DD216E">
        <w:rPr>
          <w:rFonts w:ascii="Arial" w:hAnsi="Arial" w:cs="Arial"/>
          <w:b/>
          <w:sz w:val="24"/>
        </w:rPr>
        <w:t>Acción(es) o recomendación(es) emitida(s)</w:t>
      </w:r>
    </w:p>
    <w:p w:rsidR="00374B6D" w:rsidRPr="00DD216E" w:rsidRDefault="00DD216E" w:rsidP="00DD216E">
      <w:pPr>
        <w:spacing w:after="0" w:line="360" w:lineRule="auto"/>
        <w:contextualSpacing/>
        <w:jc w:val="both"/>
        <w:rPr>
          <w:rFonts w:ascii="Arial" w:hAnsi="Arial" w:cs="Arial"/>
          <w:i/>
          <w:sz w:val="24"/>
        </w:rPr>
      </w:pPr>
      <w:r w:rsidRPr="00DD216E">
        <w:rPr>
          <w:rFonts w:ascii="Arial" w:hAnsi="Arial" w:cs="Arial"/>
          <w:i/>
          <w:sz w:val="24"/>
        </w:rPr>
        <w:t>Promoción de Fincamiento de Responsabilidad Administrativa.</w:t>
      </w:r>
    </w:p>
    <w:p w:rsidR="00374B6D" w:rsidRDefault="00374B6D" w:rsidP="00374B6D">
      <w:pPr>
        <w:spacing w:after="0" w:line="360" w:lineRule="auto"/>
        <w:contextualSpacing/>
        <w:jc w:val="both"/>
        <w:rPr>
          <w:rFonts w:ascii="Arial" w:hAnsi="Arial" w:cs="Arial"/>
          <w:b/>
          <w:sz w:val="24"/>
          <w:u w:val="single"/>
        </w:rPr>
      </w:pPr>
    </w:p>
    <w:p w:rsidR="00DD216E" w:rsidRDefault="00DD216E" w:rsidP="00DD216E">
      <w:pPr>
        <w:jc w:val="both"/>
        <w:rPr>
          <w:rFonts w:ascii="Arial" w:hAnsi="Arial" w:cs="Arial"/>
          <w:sz w:val="24"/>
        </w:rPr>
      </w:pPr>
      <w:r>
        <w:rPr>
          <w:rFonts w:ascii="Arial" w:hAnsi="Arial" w:cs="Arial"/>
          <w:sz w:val="24"/>
        </w:rPr>
        <w:t xml:space="preserve">3. </w:t>
      </w:r>
      <w:r w:rsidRPr="00DD216E">
        <w:rPr>
          <w:rFonts w:ascii="Arial" w:hAnsi="Arial" w:cs="Arial"/>
          <w:sz w:val="24"/>
        </w:rPr>
        <w:t>El Ente Público presentó en los Estados Financieros de la Cuenta Pública 2015, saldos en rubros que no corresponden, incumpliendo con lo señalado en el Plan de Cuentas del Manual de Contabilidad Gubernamental, estableciendo su observancia obligatoria, de conformidad con el artículo 7 de la Ley General de Contabilidad Gubernamental, debiendo ser presentados como sigue:</w:t>
      </w:r>
    </w:p>
    <w:p w:rsidR="00DD216E" w:rsidRDefault="00DD216E" w:rsidP="00DD216E">
      <w:pPr>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37"/>
        <w:gridCol w:w="1932"/>
        <w:gridCol w:w="158"/>
        <w:gridCol w:w="703"/>
        <w:gridCol w:w="119"/>
        <w:gridCol w:w="2236"/>
      </w:tblGrid>
      <w:tr w:rsidR="00DD216E" w:rsidRPr="00DD216E" w:rsidTr="00A92F01">
        <w:trPr>
          <w:tblCellSpacing w:w="15" w:type="dxa"/>
          <w:jc w:val="center"/>
        </w:trPr>
        <w:tc>
          <w:tcPr>
            <w:tcW w:w="0" w:type="auto"/>
            <w:shd w:val="clear" w:color="auto" w:fill="BFBFBF" w:themeFill="background1" w:themeFillShade="BF"/>
            <w:vAlign w:val="center"/>
            <w:hideMark/>
          </w:tcPr>
          <w:p w:rsidR="00DD216E" w:rsidRPr="00DD216E" w:rsidRDefault="00DD216E" w:rsidP="00DD216E">
            <w:pPr>
              <w:jc w:val="center"/>
              <w:rPr>
                <w:rFonts w:ascii="Arial" w:hAnsi="Arial" w:cs="Arial"/>
                <w:b/>
                <w:sz w:val="14"/>
                <w:szCs w:val="14"/>
                <w:u w:val="single"/>
                <w:lang w:val="es-MX" w:eastAsia="es-MX"/>
              </w:rPr>
            </w:pPr>
            <w:r w:rsidRPr="00DD216E">
              <w:rPr>
                <w:rFonts w:ascii="Arial" w:hAnsi="Arial" w:cs="Arial"/>
                <w:b/>
                <w:sz w:val="14"/>
                <w:szCs w:val="14"/>
                <w:u w:val="single"/>
                <w:lang w:val="es-MX" w:eastAsia="es-MX"/>
              </w:rPr>
              <w:t>Según contabilidad</w:t>
            </w:r>
          </w:p>
        </w:tc>
        <w:tc>
          <w:tcPr>
            <w:tcW w:w="0" w:type="auto"/>
            <w:shd w:val="clear" w:color="auto" w:fill="BFBFBF" w:themeFill="background1" w:themeFillShade="BF"/>
            <w:vAlign w:val="center"/>
            <w:hideMark/>
          </w:tcPr>
          <w:p w:rsidR="00DD216E" w:rsidRPr="00DD216E" w:rsidRDefault="00DD216E" w:rsidP="00DD216E">
            <w:pPr>
              <w:jc w:val="center"/>
              <w:rPr>
                <w:rFonts w:ascii="Arial" w:hAnsi="Arial" w:cs="Arial"/>
                <w:b/>
                <w:sz w:val="14"/>
                <w:szCs w:val="14"/>
                <w:u w:val="single"/>
                <w:lang w:val="es-MX" w:eastAsia="es-MX"/>
              </w:rPr>
            </w:pPr>
            <w:r w:rsidRPr="00DD216E">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DD216E" w:rsidRPr="00DD216E" w:rsidRDefault="00DD216E" w:rsidP="00DD216E">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DD216E" w:rsidRPr="00DD216E" w:rsidRDefault="00DD216E" w:rsidP="00DD216E">
            <w:pPr>
              <w:jc w:val="center"/>
              <w:rPr>
                <w:rFonts w:ascii="Arial" w:hAnsi="Arial" w:cs="Arial"/>
                <w:b/>
                <w:sz w:val="14"/>
                <w:szCs w:val="14"/>
                <w:u w:val="single"/>
                <w:lang w:val="es-MX" w:eastAsia="es-MX"/>
              </w:rPr>
            </w:pPr>
            <w:r w:rsidRPr="00DD216E">
              <w:rPr>
                <w:rFonts w:ascii="Arial" w:hAnsi="Arial" w:cs="Arial"/>
                <w:b/>
                <w:sz w:val="14"/>
                <w:szCs w:val="14"/>
                <w:u w:val="single"/>
                <w:lang w:val="es-MX" w:eastAsia="es-MX"/>
              </w:rPr>
              <w:t>Importe</w:t>
            </w:r>
          </w:p>
        </w:tc>
        <w:tc>
          <w:tcPr>
            <w:tcW w:w="0" w:type="auto"/>
            <w:shd w:val="clear" w:color="auto" w:fill="BFBFBF" w:themeFill="background1" w:themeFillShade="BF"/>
            <w:vAlign w:val="center"/>
            <w:hideMark/>
          </w:tcPr>
          <w:p w:rsidR="00DD216E" w:rsidRPr="00DD216E" w:rsidRDefault="00DD216E" w:rsidP="00DD216E">
            <w:pPr>
              <w:jc w:val="center"/>
              <w:rPr>
                <w:rFonts w:ascii="Arial" w:hAnsi="Arial" w:cs="Arial"/>
                <w:b/>
                <w:sz w:val="14"/>
                <w:szCs w:val="14"/>
                <w:u w:val="single"/>
                <w:lang w:val="es-MX" w:eastAsia="es-MX"/>
              </w:rPr>
            </w:pPr>
            <w:r w:rsidRPr="00DD216E">
              <w:rPr>
                <w:rFonts w:ascii="Arial" w:hAnsi="Arial" w:cs="Arial"/>
                <w:b/>
                <w:sz w:val="14"/>
                <w:szCs w:val="14"/>
                <w:u w:val="single"/>
                <w:lang w:val="es-MX" w:eastAsia="es-MX"/>
              </w:rPr>
              <w:t>.</w:t>
            </w:r>
          </w:p>
        </w:tc>
        <w:tc>
          <w:tcPr>
            <w:tcW w:w="0" w:type="auto"/>
            <w:shd w:val="clear" w:color="auto" w:fill="BFBFBF" w:themeFill="background1" w:themeFillShade="BF"/>
            <w:vAlign w:val="center"/>
            <w:hideMark/>
          </w:tcPr>
          <w:p w:rsidR="00DD216E" w:rsidRPr="00DD216E" w:rsidRDefault="00DD216E" w:rsidP="00DD216E">
            <w:pPr>
              <w:jc w:val="center"/>
              <w:rPr>
                <w:rFonts w:ascii="Arial" w:hAnsi="Arial" w:cs="Arial"/>
                <w:b/>
                <w:sz w:val="14"/>
                <w:szCs w:val="14"/>
                <w:u w:val="single"/>
                <w:lang w:val="es-MX" w:eastAsia="es-MX"/>
              </w:rPr>
            </w:pPr>
            <w:r w:rsidRPr="00DD216E">
              <w:rPr>
                <w:rFonts w:ascii="Arial" w:hAnsi="Arial" w:cs="Arial"/>
                <w:b/>
                <w:sz w:val="14"/>
                <w:szCs w:val="14"/>
                <w:u w:val="single"/>
                <w:lang w:val="es-MX" w:eastAsia="es-MX"/>
              </w:rPr>
              <w:t xml:space="preserve">Cuenta contable según </w:t>
            </w:r>
            <w:proofErr w:type="spellStart"/>
            <w:r w:rsidRPr="00DD216E">
              <w:rPr>
                <w:rFonts w:ascii="Arial" w:hAnsi="Arial" w:cs="Arial"/>
                <w:b/>
                <w:sz w:val="14"/>
                <w:szCs w:val="14"/>
                <w:u w:val="single"/>
                <w:lang w:val="es-MX" w:eastAsia="es-MX"/>
              </w:rPr>
              <w:t>Conac</w:t>
            </w:r>
            <w:proofErr w:type="spellEnd"/>
          </w:p>
        </w:tc>
      </w:tr>
      <w:tr w:rsidR="00DD216E" w:rsidRPr="00DD216E" w:rsidTr="00DD216E">
        <w:trPr>
          <w:tblCellSpacing w:w="15" w:type="dxa"/>
          <w:jc w:val="center"/>
        </w:trPr>
        <w:tc>
          <w:tcPr>
            <w:tcW w:w="0" w:type="auto"/>
            <w:vAlign w:val="center"/>
            <w:hideMark/>
          </w:tcPr>
          <w:p w:rsidR="00DD216E" w:rsidRPr="00DD216E" w:rsidRDefault="00DD216E" w:rsidP="00A92F01">
            <w:pPr>
              <w:jc w:val="center"/>
              <w:rPr>
                <w:rFonts w:ascii="Arial" w:hAnsi="Arial" w:cs="Arial"/>
                <w:sz w:val="14"/>
                <w:szCs w:val="14"/>
                <w:lang w:val="es-MX" w:eastAsia="es-MX"/>
              </w:rPr>
            </w:pPr>
            <w:r w:rsidRPr="00DD216E">
              <w:rPr>
                <w:rFonts w:ascii="Arial" w:hAnsi="Arial" w:cs="Arial"/>
                <w:sz w:val="14"/>
                <w:szCs w:val="14"/>
                <w:lang w:val="es-MX" w:eastAsia="es-MX"/>
              </w:rPr>
              <w:t>Pasivo - Pasivo circulante - Otros pasivos a corto plazo - Contribuciones por pagar</w:t>
            </w:r>
          </w:p>
        </w:tc>
        <w:tc>
          <w:tcPr>
            <w:tcW w:w="0" w:type="auto"/>
            <w:vAlign w:val="center"/>
            <w:hideMark/>
          </w:tcPr>
          <w:p w:rsidR="00DD216E" w:rsidRPr="00DD216E" w:rsidRDefault="00DD216E" w:rsidP="00A92F01">
            <w:pPr>
              <w:jc w:val="center"/>
              <w:rPr>
                <w:rFonts w:ascii="Arial" w:hAnsi="Arial" w:cs="Arial"/>
                <w:sz w:val="14"/>
                <w:szCs w:val="14"/>
                <w:lang w:val="es-MX" w:eastAsia="es-MX"/>
              </w:rPr>
            </w:pPr>
            <w:r w:rsidRPr="00DD216E">
              <w:rPr>
                <w:rFonts w:ascii="Arial" w:hAnsi="Arial" w:cs="Arial"/>
                <w:sz w:val="14"/>
                <w:szCs w:val="14"/>
                <w:lang w:val="es-MX" w:eastAsia="es-MX"/>
              </w:rPr>
              <w:t>Retenciones de impuestos</w:t>
            </w:r>
          </w:p>
        </w:tc>
        <w:tc>
          <w:tcPr>
            <w:tcW w:w="0" w:type="auto"/>
            <w:vAlign w:val="center"/>
            <w:hideMark/>
          </w:tcPr>
          <w:p w:rsidR="00DD216E" w:rsidRPr="00DD216E" w:rsidRDefault="00DD216E" w:rsidP="00A92F01">
            <w:pPr>
              <w:jc w:val="center"/>
              <w:rPr>
                <w:rFonts w:ascii="Arial" w:hAnsi="Arial" w:cs="Arial"/>
                <w:sz w:val="14"/>
                <w:szCs w:val="14"/>
                <w:lang w:val="es-MX" w:eastAsia="es-MX"/>
              </w:rPr>
            </w:pPr>
            <w:r w:rsidRPr="00DD216E">
              <w:rPr>
                <w:rFonts w:ascii="Arial" w:hAnsi="Arial" w:cs="Arial"/>
                <w:sz w:val="14"/>
                <w:szCs w:val="14"/>
                <w:lang w:val="es-MX" w:eastAsia="es-MX"/>
              </w:rPr>
              <w:t>$</w:t>
            </w:r>
          </w:p>
        </w:tc>
        <w:tc>
          <w:tcPr>
            <w:tcW w:w="0" w:type="auto"/>
            <w:vAlign w:val="center"/>
            <w:hideMark/>
          </w:tcPr>
          <w:p w:rsidR="00DD216E" w:rsidRPr="00DD216E" w:rsidRDefault="00DD216E" w:rsidP="00A92F01">
            <w:pPr>
              <w:jc w:val="center"/>
              <w:rPr>
                <w:rFonts w:ascii="Arial" w:hAnsi="Arial" w:cs="Arial"/>
                <w:sz w:val="14"/>
                <w:szCs w:val="14"/>
                <w:lang w:val="es-MX" w:eastAsia="es-MX"/>
              </w:rPr>
            </w:pPr>
            <w:r w:rsidRPr="00DD216E">
              <w:rPr>
                <w:rFonts w:ascii="Arial" w:hAnsi="Arial" w:cs="Arial"/>
                <w:sz w:val="14"/>
                <w:szCs w:val="14"/>
                <w:lang w:val="es-MX" w:eastAsia="es-MX"/>
              </w:rPr>
              <w:t>6,335,837</w:t>
            </w:r>
          </w:p>
        </w:tc>
        <w:tc>
          <w:tcPr>
            <w:tcW w:w="0" w:type="auto"/>
            <w:vAlign w:val="center"/>
            <w:hideMark/>
          </w:tcPr>
          <w:p w:rsidR="00DD216E" w:rsidRPr="00DD216E" w:rsidRDefault="00DD216E" w:rsidP="00A92F01">
            <w:pPr>
              <w:jc w:val="center"/>
              <w:rPr>
                <w:rFonts w:ascii="Arial" w:hAnsi="Arial" w:cs="Arial"/>
                <w:sz w:val="14"/>
                <w:szCs w:val="14"/>
                <w:lang w:val="es-MX" w:eastAsia="es-MX"/>
              </w:rPr>
            </w:pPr>
          </w:p>
        </w:tc>
        <w:tc>
          <w:tcPr>
            <w:tcW w:w="0" w:type="auto"/>
            <w:vAlign w:val="center"/>
            <w:hideMark/>
          </w:tcPr>
          <w:p w:rsidR="00DD216E" w:rsidRPr="00DD216E" w:rsidRDefault="00DD216E" w:rsidP="00A92F01">
            <w:pPr>
              <w:jc w:val="center"/>
              <w:rPr>
                <w:rFonts w:ascii="Arial" w:hAnsi="Arial" w:cs="Arial"/>
                <w:sz w:val="14"/>
                <w:szCs w:val="14"/>
                <w:lang w:val="es-MX" w:eastAsia="es-MX"/>
              </w:rPr>
            </w:pPr>
            <w:r w:rsidRPr="00DD216E">
              <w:rPr>
                <w:rFonts w:ascii="Arial" w:hAnsi="Arial" w:cs="Arial"/>
                <w:sz w:val="14"/>
                <w:szCs w:val="14"/>
                <w:lang w:val="es-MX" w:eastAsia="es-MX"/>
              </w:rPr>
              <w:t>Pasivo - Pasivo circulante - Cuentas por pagar a corto plazo - Retenciones y contribuciones por pagar a corto plazo</w:t>
            </w:r>
          </w:p>
        </w:tc>
      </w:tr>
      <w:tr w:rsidR="00DD216E" w:rsidRPr="00DD216E" w:rsidTr="00DD216E">
        <w:trPr>
          <w:tblCellSpacing w:w="15" w:type="dxa"/>
          <w:jc w:val="center"/>
        </w:trPr>
        <w:tc>
          <w:tcPr>
            <w:tcW w:w="0" w:type="auto"/>
            <w:vAlign w:val="center"/>
            <w:hideMark/>
          </w:tcPr>
          <w:p w:rsidR="00DD216E" w:rsidRPr="00DD216E" w:rsidRDefault="00DD216E" w:rsidP="00A92F01">
            <w:pPr>
              <w:jc w:val="center"/>
              <w:rPr>
                <w:rFonts w:ascii="Arial" w:hAnsi="Arial" w:cs="Arial"/>
                <w:sz w:val="14"/>
                <w:szCs w:val="14"/>
                <w:lang w:val="es-MX" w:eastAsia="es-MX"/>
              </w:rPr>
            </w:pPr>
            <w:r w:rsidRPr="00DD216E">
              <w:rPr>
                <w:rFonts w:ascii="Arial" w:hAnsi="Arial" w:cs="Arial"/>
                <w:sz w:val="14"/>
                <w:szCs w:val="14"/>
                <w:lang w:val="es-MX" w:eastAsia="es-MX"/>
              </w:rPr>
              <w:t>Gastos y otras pérdidas - Gastos de funcionamiento - Servicios generales - Servicios financieros, bancarios y comerciales</w:t>
            </w:r>
          </w:p>
        </w:tc>
        <w:tc>
          <w:tcPr>
            <w:tcW w:w="0" w:type="auto"/>
            <w:vAlign w:val="center"/>
            <w:hideMark/>
          </w:tcPr>
          <w:p w:rsidR="00DD216E" w:rsidRPr="00DD216E" w:rsidRDefault="00DD216E" w:rsidP="00A92F01">
            <w:pPr>
              <w:jc w:val="center"/>
              <w:rPr>
                <w:rFonts w:ascii="Arial" w:hAnsi="Arial" w:cs="Arial"/>
                <w:sz w:val="14"/>
                <w:szCs w:val="14"/>
                <w:lang w:val="es-MX" w:eastAsia="es-MX"/>
              </w:rPr>
            </w:pPr>
            <w:r w:rsidRPr="00DD216E">
              <w:rPr>
                <w:rFonts w:ascii="Arial" w:hAnsi="Arial" w:cs="Arial"/>
                <w:sz w:val="14"/>
                <w:szCs w:val="14"/>
                <w:lang w:val="es-MX" w:eastAsia="es-MX"/>
              </w:rPr>
              <w:t>Cancelación de factura en el mismo ejercicio. Programa de Apoyo al Desarrollo de la Educación Superior [PADES]</w:t>
            </w:r>
          </w:p>
        </w:tc>
        <w:tc>
          <w:tcPr>
            <w:tcW w:w="0" w:type="auto"/>
            <w:vAlign w:val="center"/>
            <w:hideMark/>
          </w:tcPr>
          <w:p w:rsidR="00DD216E" w:rsidRPr="00DD216E" w:rsidRDefault="00DD216E" w:rsidP="00A92F01">
            <w:pPr>
              <w:jc w:val="center"/>
              <w:rPr>
                <w:rFonts w:ascii="Arial" w:hAnsi="Arial" w:cs="Arial"/>
                <w:sz w:val="14"/>
                <w:szCs w:val="14"/>
                <w:lang w:val="es-MX" w:eastAsia="es-MX"/>
              </w:rPr>
            </w:pPr>
          </w:p>
        </w:tc>
        <w:tc>
          <w:tcPr>
            <w:tcW w:w="0" w:type="auto"/>
            <w:vAlign w:val="center"/>
            <w:hideMark/>
          </w:tcPr>
          <w:p w:rsidR="00DD216E" w:rsidRPr="00DD216E" w:rsidRDefault="00DD216E" w:rsidP="00A92F01">
            <w:pPr>
              <w:jc w:val="center"/>
              <w:rPr>
                <w:rFonts w:ascii="Arial" w:hAnsi="Arial" w:cs="Arial"/>
                <w:sz w:val="14"/>
                <w:szCs w:val="14"/>
                <w:lang w:val="es-MX" w:eastAsia="es-MX"/>
              </w:rPr>
            </w:pPr>
            <w:r w:rsidRPr="00DD216E">
              <w:rPr>
                <w:rFonts w:ascii="Arial" w:hAnsi="Arial" w:cs="Arial"/>
                <w:sz w:val="14"/>
                <w:szCs w:val="14"/>
                <w:lang w:val="es-MX" w:eastAsia="es-MX"/>
              </w:rPr>
              <w:t>590,500</w:t>
            </w:r>
          </w:p>
        </w:tc>
        <w:tc>
          <w:tcPr>
            <w:tcW w:w="0" w:type="auto"/>
            <w:vAlign w:val="center"/>
            <w:hideMark/>
          </w:tcPr>
          <w:p w:rsidR="00DD216E" w:rsidRPr="00DD216E" w:rsidRDefault="00DD216E" w:rsidP="00A92F01">
            <w:pPr>
              <w:jc w:val="center"/>
              <w:rPr>
                <w:rFonts w:ascii="Arial" w:hAnsi="Arial" w:cs="Arial"/>
                <w:sz w:val="14"/>
                <w:szCs w:val="14"/>
                <w:lang w:val="es-MX" w:eastAsia="es-MX"/>
              </w:rPr>
            </w:pPr>
          </w:p>
        </w:tc>
        <w:tc>
          <w:tcPr>
            <w:tcW w:w="0" w:type="auto"/>
            <w:vAlign w:val="center"/>
            <w:hideMark/>
          </w:tcPr>
          <w:p w:rsidR="00DD216E" w:rsidRPr="00DD216E" w:rsidRDefault="00DD216E" w:rsidP="00A92F01">
            <w:pPr>
              <w:jc w:val="center"/>
              <w:rPr>
                <w:rFonts w:ascii="Arial" w:hAnsi="Arial" w:cs="Arial"/>
                <w:sz w:val="14"/>
                <w:szCs w:val="14"/>
                <w:lang w:val="es-MX" w:eastAsia="es-MX"/>
              </w:rPr>
            </w:pPr>
            <w:r w:rsidRPr="00DD216E">
              <w:rPr>
                <w:rFonts w:ascii="Arial" w:hAnsi="Arial" w:cs="Arial"/>
                <w:sz w:val="14"/>
                <w:szCs w:val="14"/>
                <w:lang w:val="es-MX" w:eastAsia="es-MX"/>
              </w:rPr>
              <w:t>Ingresos - Otros ingresos y beneficios varios - Otros ingresos y beneficios varios</w:t>
            </w:r>
          </w:p>
        </w:tc>
      </w:tr>
      <w:tr w:rsidR="00DD216E" w:rsidRPr="00DD216E" w:rsidTr="00DD216E">
        <w:trPr>
          <w:tblCellSpacing w:w="15" w:type="dxa"/>
          <w:jc w:val="center"/>
        </w:trPr>
        <w:tc>
          <w:tcPr>
            <w:tcW w:w="0" w:type="auto"/>
            <w:vAlign w:val="center"/>
            <w:hideMark/>
          </w:tcPr>
          <w:p w:rsidR="00DD216E" w:rsidRPr="00DD216E" w:rsidRDefault="00DD216E" w:rsidP="00A92F01">
            <w:pPr>
              <w:jc w:val="center"/>
              <w:rPr>
                <w:rFonts w:ascii="Arial" w:hAnsi="Arial" w:cs="Arial"/>
                <w:sz w:val="14"/>
                <w:szCs w:val="14"/>
                <w:lang w:val="es-MX" w:eastAsia="es-MX"/>
              </w:rPr>
            </w:pPr>
            <w:r w:rsidRPr="00DD216E">
              <w:rPr>
                <w:rFonts w:ascii="Arial" w:hAnsi="Arial" w:cs="Arial"/>
                <w:sz w:val="14"/>
                <w:szCs w:val="14"/>
                <w:lang w:val="es-MX" w:eastAsia="es-MX"/>
              </w:rPr>
              <w:t xml:space="preserve">Gastos y otras pérdidas - Gastos de funcionamiento - Materiales y suministros - Materiales de </w:t>
            </w:r>
            <w:r w:rsidRPr="00DD216E">
              <w:rPr>
                <w:rFonts w:ascii="Arial" w:hAnsi="Arial" w:cs="Arial"/>
                <w:sz w:val="14"/>
                <w:szCs w:val="14"/>
                <w:lang w:val="es-MX" w:eastAsia="es-MX"/>
              </w:rPr>
              <w:lastRenderedPageBreak/>
              <w:t>administración, emisión de documentos y artículos oficiales</w:t>
            </w:r>
          </w:p>
        </w:tc>
        <w:tc>
          <w:tcPr>
            <w:tcW w:w="0" w:type="auto"/>
            <w:vAlign w:val="center"/>
            <w:hideMark/>
          </w:tcPr>
          <w:p w:rsidR="00DD216E" w:rsidRPr="00DD216E" w:rsidRDefault="00DD216E" w:rsidP="00A92F01">
            <w:pPr>
              <w:jc w:val="center"/>
              <w:rPr>
                <w:rFonts w:ascii="Arial" w:hAnsi="Arial" w:cs="Arial"/>
                <w:sz w:val="14"/>
                <w:szCs w:val="14"/>
                <w:lang w:val="es-MX" w:eastAsia="es-MX"/>
              </w:rPr>
            </w:pPr>
            <w:r w:rsidRPr="00DD216E">
              <w:rPr>
                <w:rFonts w:ascii="Arial" w:hAnsi="Arial" w:cs="Arial"/>
                <w:sz w:val="14"/>
                <w:szCs w:val="14"/>
                <w:lang w:val="es-MX" w:eastAsia="es-MX"/>
              </w:rPr>
              <w:lastRenderedPageBreak/>
              <w:t>Material para mantenimiento de inmuebles</w:t>
            </w:r>
          </w:p>
        </w:tc>
        <w:tc>
          <w:tcPr>
            <w:tcW w:w="0" w:type="auto"/>
            <w:vAlign w:val="center"/>
            <w:hideMark/>
          </w:tcPr>
          <w:p w:rsidR="00DD216E" w:rsidRPr="00DD216E" w:rsidRDefault="00DD216E" w:rsidP="00A92F01">
            <w:pPr>
              <w:jc w:val="center"/>
              <w:rPr>
                <w:rFonts w:ascii="Arial" w:hAnsi="Arial" w:cs="Arial"/>
                <w:sz w:val="14"/>
                <w:szCs w:val="14"/>
                <w:lang w:val="es-MX" w:eastAsia="es-MX"/>
              </w:rPr>
            </w:pPr>
          </w:p>
        </w:tc>
        <w:tc>
          <w:tcPr>
            <w:tcW w:w="0" w:type="auto"/>
            <w:vAlign w:val="center"/>
            <w:hideMark/>
          </w:tcPr>
          <w:p w:rsidR="00DD216E" w:rsidRPr="00DD216E" w:rsidRDefault="00DD216E" w:rsidP="00A92F01">
            <w:pPr>
              <w:jc w:val="center"/>
              <w:rPr>
                <w:rFonts w:ascii="Arial" w:hAnsi="Arial" w:cs="Arial"/>
                <w:sz w:val="14"/>
                <w:szCs w:val="14"/>
                <w:lang w:val="es-MX" w:eastAsia="es-MX"/>
              </w:rPr>
            </w:pPr>
            <w:r w:rsidRPr="00DD216E">
              <w:rPr>
                <w:rFonts w:ascii="Arial" w:hAnsi="Arial" w:cs="Arial"/>
                <w:sz w:val="14"/>
                <w:szCs w:val="14"/>
                <w:lang w:val="es-MX" w:eastAsia="es-MX"/>
              </w:rPr>
              <w:t>61,340</w:t>
            </w:r>
          </w:p>
        </w:tc>
        <w:tc>
          <w:tcPr>
            <w:tcW w:w="0" w:type="auto"/>
            <w:vAlign w:val="center"/>
            <w:hideMark/>
          </w:tcPr>
          <w:p w:rsidR="00DD216E" w:rsidRPr="00DD216E" w:rsidRDefault="00DD216E" w:rsidP="00A92F01">
            <w:pPr>
              <w:jc w:val="center"/>
              <w:rPr>
                <w:rFonts w:ascii="Arial" w:hAnsi="Arial" w:cs="Arial"/>
                <w:sz w:val="14"/>
                <w:szCs w:val="14"/>
                <w:lang w:val="es-MX" w:eastAsia="es-MX"/>
              </w:rPr>
            </w:pPr>
          </w:p>
        </w:tc>
        <w:tc>
          <w:tcPr>
            <w:tcW w:w="0" w:type="auto"/>
            <w:vAlign w:val="center"/>
            <w:hideMark/>
          </w:tcPr>
          <w:p w:rsidR="00DD216E" w:rsidRPr="00DD216E" w:rsidRDefault="00DD216E" w:rsidP="00A92F01">
            <w:pPr>
              <w:jc w:val="center"/>
              <w:rPr>
                <w:rFonts w:ascii="Arial" w:hAnsi="Arial" w:cs="Arial"/>
                <w:sz w:val="14"/>
                <w:szCs w:val="14"/>
                <w:lang w:val="es-MX" w:eastAsia="es-MX"/>
              </w:rPr>
            </w:pPr>
            <w:r w:rsidRPr="00DD216E">
              <w:rPr>
                <w:rFonts w:ascii="Arial" w:hAnsi="Arial" w:cs="Arial"/>
                <w:sz w:val="14"/>
                <w:szCs w:val="14"/>
                <w:lang w:val="es-MX" w:eastAsia="es-MX"/>
              </w:rPr>
              <w:t xml:space="preserve">Gastos y otras pérdidas - Gastos de funcionamiento - Materiales y suministros - Materiales y </w:t>
            </w:r>
            <w:r w:rsidRPr="00DD216E">
              <w:rPr>
                <w:rFonts w:ascii="Arial" w:hAnsi="Arial" w:cs="Arial"/>
                <w:sz w:val="14"/>
                <w:szCs w:val="14"/>
                <w:lang w:val="es-MX" w:eastAsia="es-MX"/>
              </w:rPr>
              <w:lastRenderedPageBreak/>
              <w:t>artículos de construcción y de reparación</w:t>
            </w:r>
          </w:p>
        </w:tc>
      </w:tr>
      <w:tr w:rsidR="00DD216E" w:rsidRPr="00DD216E" w:rsidTr="00DD216E">
        <w:trPr>
          <w:tblCellSpacing w:w="15" w:type="dxa"/>
          <w:jc w:val="center"/>
        </w:trPr>
        <w:tc>
          <w:tcPr>
            <w:tcW w:w="0" w:type="auto"/>
            <w:vAlign w:val="center"/>
            <w:hideMark/>
          </w:tcPr>
          <w:p w:rsidR="00DD216E" w:rsidRPr="00DD216E" w:rsidRDefault="00DD216E" w:rsidP="00A92F01">
            <w:pPr>
              <w:jc w:val="center"/>
              <w:rPr>
                <w:rFonts w:ascii="Arial" w:hAnsi="Arial" w:cs="Arial"/>
                <w:sz w:val="14"/>
                <w:szCs w:val="14"/>
                <w:lang w:val="es-MX" w:eastAsia="es-MX"/>
              </w:rPr>
            </w:pPr>
            <w:r w:rsidRPr="00DD216E">
              <w:rPr>
                <w:rFonts w:ascii="Arial" w:hAnsi="Arial" w:cs="Arial"/>
                <w:sz w:val="14"/>
                <w:szCs w:val="14"/>
                <w:lang w:val="es-MX" w:eastAsia="es-MX"/>
              </w:rPr>
              <w:lastRenderedPageBreak/>
              <w:t>Gastos y otras pérdidas - Gastos de funcionamiento - Servicios generales - Servicios de traslado y viáticos</w:t>
            </w:r>
          </w:p>
        </w:tc>
        <w:tc>
          <w:tcPr>
            <w:tcW w:w="0" w:type="auto"/>
            <w:vAlign w:val="center"/>
            <w:hideMark/>
          </w:tcPr>
          <w:p w:rsidR="00DD216E" w:rsidRPr="00DD216E" w:rsidRDefault="00DD216E" w:rsidP="00A92F01">
            <w:pPr>
              <w:jc w:val="center"/>
              <w:rPr>
                <w:rFonts w:ascii="Arial" w:hAnsi="Arial" w:cs="Arial"/>
                <w:sz w:val="14"/>
                <w:szCs w:val="14"/>
                <w:lang w:val="es-MX" w:eastAsia="es-MX"/>
              </w:rPr>
            </w:pPr>
            <w:r w:rsidRPr="00DD216E">
              <w:rPr>
                <w:rFonts w:ascii="Arial" w:hAnsi="Arial" w:cs="Arial"/>
                <w:sz w:val="14"/>
                <w:szCs w:val="14"/>
                <w:lang w:val="es-MX" w:eastAsia="es-MX"/>
              </w:rPr>
              <w:t>Mantenimiento de vehículos</w:t>
            </w:r>
          </w:p>
        </w:tc>
        <w:tc>
          <w:tcPr>
            <w:tcW w:w="0" w:type="auto"/>
            <w:vAlign w:val="center"/>
            <w:hideMark/>
          </w:tcPr>
          <w:p w:rsidR="00DD216E" w:rsidRPr="00DD216E" w:rsidRDefault="00DD216E" w:rsidP="00A92F01">
            <w:pPr>
              <w:jc w:val="center"/>
              <w:rPr>
                <w:rFonts w:ascii="Arial" w:hAnsi="Arial" w:cs="Arial"/>
                <w:sz w:val="14"/>
                <w:szCs w:val="14"/>
                <w:lang w:val="es-MX" w:eastAsia="es-MX"/>
              </w:rPr>
            </w:pPr>
          </w:p>
        </w:tc>
        <w:tc>
          <w:tcPr>
            <w:tcW w:w="0" w:type="auto"/>
            <w:vAlign w:val="center"/>
            <w:hideMark/>
          </w:tcPr>
          <w:p w:rsidR="00DD216E" w:rsidRPr="00DD216E" w:rsidRDefault="00DD216E" w:rsidP="00A92F01">
            <w:pPr>
              <w:jc w:val="center"/>
              <w:rPr>
                <w:rFonts w:ascii="Arial" w:hAnsi="Arial" w:cs="Arial"/>
                <w:sz w:val="14"/>
                <w:szCs w:val="14"/>
                <w:lang w:val="es-MX" w:eastAsia="es-MX"/>
              </w:rPr>
            </w:pPr>
            <w:r w:rsidRPr="00DD216E">
              <w:rPr>
                <w:rFonts w:ascii="Arial" w:hAnsi="Arial" w:cs="Arial"/>
                <w:sz w:val="14"/>
                <w:szCs w:val="14"/>
                <w:lang w:val="es-MX" w:eastAsia="es-MX"/>
              </w:rPr>
              <w:t>10,811</w:t>
            </w:r>
          </w:p>
        </w:tc>
        <w:tc>
          <w:tcPr>
            <w:tcW w:w="0" w:type="auto"/>
            <w:vAlign w:val="center"/>
            <w:hideMark/>
          </w:tcPr>
          <w:p w:rsidR="00DD216E" w:rsidRPr="00DD216E" w:rsidRDefault="00DD216E" w:rsidP="00A92F01">
            <w:pPr>
              <w:jc w:val="center"/>
              <w:rPr>
                <w:rFonts w:ascii="Arial" w:hAnsi="Arial" w:cs="Arial"/>
                <w:sz w:val="14"/>
                <w:szCs w:val="14"/>
                <w:lang w:val="es-MX" w:eastAsia="es-MX"/>
              </w:rPr>
            </w:pPr>
          </w:p>
        </w:tc>
        <w:tc>
          <w:tcPr>
            <w:tcW w:w="0" w:type="auto"/>
            <w:vAlign w:val="center"/>
            <w:hideMark/>
          </w:tcPr>
          <w:p w:rsidR="00DD216E" w:rsidRPr="00DD216E" w:rsidRDefault="00DD216E" w:rsidP="00A92F01">
            <w:pPr>
              <w:jc w:val="center"/>
              <w:rPr>
                <w:rFonts w:ascii="Arial" w:hAnsi="Arial" w:cs="Arial"/>
                <w:sz w:val="14"/>
                <w:szCs w:val="14"/>
                <w:lang w:val="es-MX" w:eastAsia="es-MX"/>
              </w:rPr>
            </w:pPr>
            <w:r w:rsidRPr="00DD216E">
              <w:rPr>
                <w:rFonts w:ascii="Arial" w:hAnsi="Arial" w:cs="Arial"/>
                <w:sz w:val="14"/>
                <w:szCs w:val="14"/>
                <w:lang w:val="es-MX" w:eastAsia="es-MX"/>
              </w:rPr>
              <w:t>Gastos y otras pérdidas - Gastos de funcionamiento - Servicios generales - Servicios de instalación, reparación, mantenimiento y conservación</w:t>
            </w:r>
          </w:p>
        </w:tc>
      </w:tr>
      <w:tr w:rsidR="00DD216E" w:rsidRPr="00DD216E" w:rsidTr="00DD216E">
        <w:trPr>
          <w:tblCellSpacing w:w="15" w:type="dxa"/>
          <w:jc w:val="center"/>
        </w:trPr>
        <w:tc>
          <w:tcPr>
            <w:tcW w:w="0" w:type="auto"/>
            <w:vAlign w:val="center"/>
            <w:hideMark/>
          </w:tcPr>
          <w:p w:rsidR="00DD216E" w:rsidRPr="00DD216E" w:rsidRDefault="00DD216E" w:rsidP="00A92F01">
            <w:pPr>
              <w:jc w:val="center"/>
              <w:rPr>
                <w:rFonts w:ascii="Arial" w:hAnsi="Arial" w:cs="Arial"/>
                <w:sz w:val="14"/>
                <w:szCs w:val="14"/>
                <w:lang w:val="es-MX" w:eastAsia="es-MX"/>
              </w:rPr>
            </w:pPr>
            <w:r w:rsidRPr="00DD216E">
              <w:rPr>
                <w:rFonts w:ascii="Arial" w:hAnsi="Arial" w:cs="Arial"/>
                <w:sz w:val="14"/>
                <w:szCs w:val="14"/>
                <w:lang w:val="es-MX" w:eastAsia="es-MX"/>
              </w:rPr>
              <w:t>Gastos y otras pérdidas - Gastos de funcionamiento - Materiales y suministros - Materiales de administración, emisión de documentos y artículos oficiales</w:t>
            </w:r>
          </w:p>
        </w:tc>
        <w:tc>
          <w:tcPr>
            <w:tcW w:w="0" w:type="auto"/>
            <w:vAlign w:val="center"/>
            <w:hideMark/>
          </w:tcPr>
          <w:p w:rsidR="00DD216E" w:rsidRPr="00DD216E" w:rsidRDefault="00DD216E" w:rsidP="00A92F01">
            <w:pPr>
              <w:jc w:val="center"/>
              <w:rPr>
                <w:rFonts w:ascii="Arial" w:hAnsi="Arial" w:cs="Arial"/>
                <w:sz w:val="14"/>
                <w:szCs w:val="14"/>
                <w:lang w:val="es-MX" w:eastAsia="es-MX"/>
              </w:rPr>
            </w:pPr>
            <w:r w:rsidRPr="00DD216E">
              <w:rPr>
                <w:rFonts w:ascii="Arial" w:hAnsi="Arial" w:cs="Arial"/>
                <w:sz w:val="14"/>
                <w:szCs w:val="14"/>
                <w:lang w:val="es-MX" w:eastAsia="es-MX"/>
              </w:rPr>
              <w:t>Bocinas amplificadas [2]</w:t>
            </w:r>
          </w:p>
        </w:tc>
        <w:tc>
          <w:tcPr>
            <w:tcW w:w="0" w:type="auto"/>
            <w:vAlign w:val="center"/>
            <w:hideMark/>
          </w:tcPr>
          <w:p w:rsidR="00DD216E" w:rsidRPr="00DD216E" w:rsidRDefault="00DD216E" w:rsidP="00A92F01">
            <w:pPr>
              <w:jc w:val="center"/>
              <w:rPr>
                <w:rFonts w:ascii="Arial" w:hAnsi="Arial" w:cs="Arial"/>
                <w:sz w:val="14"/>
                <w:szCs w:val="14"/>
                <w:lang w:val="es-MX" w:eastAsia="es-MX"/>
              </w:rPr>
            </w:pPr>
          </w:p>
        </w:tc>
        <w:tc>
          <w:tcPr>
            <w:tcW w:w="0" w:type="auto"/>
            <w:vAlign w:val="center"/>
            <w:hideMark/>
          </w:tcPr>
          <w:p w:rsidR="00DD216E" w:rsidRPr="00DD216E" w:rsidRDefault="00DD216E" w:rsidP="00A92F01">
            <w:pPr>
              <w:jc w:val="center"/>
              <w:rPr>
                <w:rFonts w:ascii="Arial" w:hAnsi="Arial" w:cs="Arial"/>
                <w:sz w:val="14"/>
                <w:szCs w:val="14"/>
                <w:lang w:val="es-MX" w:eastAsia="es-MX"/>
              </w:rPr>
            </w:pPr>
            <w:r w:rsidRPr="00DD216E">
              <w:rPr>
                <w:rFonts w:ascii="Arial" w:hAnsi="Arial" w:cs="Arial"/>
                <w:sz w:val="14"/>
                <w:szCs w:val="14"/>
                <w:lang w:val="es-MX" w:eastAsia="es-MX"/>
              </w:rPr>
              <w:t>5,980</w:t>
            </w:r>
          </w:p>
        </w:tc>
        <w:tc>
          <w:tcPr>
            <w:tcW w:w="0" w:type="auto"/>
            <w:vAlign w:val="center"/>
            <w:hideMark/>
          </w:tcPr>
          <w:p w:rsidR="00DD216E" w:rsidRPr="00DD216E" w:rsidRDefault="00DD216E" w:rsidP="00A92F01">
            <w:pPr>
              <w:jc w:val="center"/>
              <w:rPr>
                <w:rFonts w:ascii="Arial" w:hAnsi="Arial" w:cs="Arial"/>
                <w:sz w:val="14"/>
                <w:szCs w:val="14"/>
                <w:lang w:val="es-MX" w:eastAsia="es-MX"/>
              </w:rPr>
            </w:pPr>
          </w:p>
        </w:tc>
        <w:tc>
          <w:tcPr>
            <w:tcW w:w="0" w:type="auto"/>
            <w:vAlign w:val="center"/>
            <w:hideMark/>
          </w:tcPr>
          <w:p w:rsidR="00DD216E" w:rsidRPr="00DD216E" w:rsidRDefault="00DD216E" w:rsidP="00A92F01">
            <w:pPr>
              <w:jc w:val="center"/>
              <w:rPr>
                <w:rFonts w:ascii="Arial" w:hAnsi="Arial" w:cs="Arial"/>
                <w:sz w:val="14"/>
                <w:szCs w:val="14"/>
                <w:lang w:val="es-MX" w:eastAsia="es-MX"/>
              </w:rPr>
            </w:pPr>
            <w:r w:rsidRPr="00DD216E">
              <w:rPr>
                <w:rFonts w:ascii="Arial" w:hAnsi="Arial" w:cs="Arial"/>
                <w:sz w:val="14"/>
                <w:szCs w:val="14"/>
                <w:lang w:val="es-MX" w:eastAsia="es-MX"/>
              </w:rPr>
              <w:t>Activo - Activo no circulante - Bienes muebles - Mobiliario y equipo educacional y recreativo</w:t>
            </w:r>
          </w:p>
        </w:tc>
      </w:tr>
      <w:tr w:rsidR="00DD216E" w:rsidRPr="00DD216E" w:rsidTr="00DD216E">
        <w:trPr>
          <w:tblCellSpacing w:w="15" w:type="dxa"/>
          <w:jc w:val="center"/>
        </w:trPr>
        <w:tc>
          <w:tcPr>
            <w:tcW w:w="0" w:type="auto"/>
            <w:vAlign w:val="center"/>
            <w:hideMark/>
          </w:tcPr>
          <w:p w:rsidR="00DD216E" w:rsidRPr="00DD216E" w:rsidRDefault="00DD216E" w:rsidP="00A92F01">
            <w:pPr>
              <w:jc w:val="center"/>
              <w:rPr>
                <w:rFonts w:ascii="Arial" w:hAnsi="Arial" w:cs="Arial"/>
                <w:b/>
                <w:bCs/>
                <w:sz w:val="14"/>
                <w:szCs w:val="14"/>
                <w:lang w:val="es-MX" w:eastAsia="es-MX"/>
              </w:rPr>
            </w:pPr>
            <w:r w:rsidRPr="00DD216E">
              <w:rPr>
                <w:rFonts w:ascii="Arial" w:hAnsi="Arial" w:cs="Arial"/>
                <w:b/>
                <w:bCs/>
                <w:sz w:val="14"/>
                <w:szCs w:val="14"/>
                <w:lang w:val="es-MX" w:eastAsia="es-MX"/>
              </w:rPr>
              <w:t>Total</w:t>
            </w:r>
          </w:p>
        </w:tc>
        <w:tc>
          <w:tcPr>
            <w:tcW w:w="0" w:type="auto"/>
            <w:vAlign w:val="center"/>
            <w:hideMark/>
          </w:tcPr>
          <w:p w:rsidR="00DD216E" w:rsidRPr="00DD216E" w:rsidRDefault="00DD216E" w:rsidP="00A92F01">
            <w:pPr>
              <w:jc w:val="center"/>
              <w:rPr>
                <w:rFonts w:ascii="Arial" w:hAnsi="Arial" w:cs="Arial"/>
                <w:b/>
                <w:bCs/>
                <w:sz w:val="14"/>
                <w:szCs w:val="14"/>
                <w:lang w:val="es-MX" w:eastAsia="es-MX"/>
              </w:rPr>
            </w:pPr>
          </w:p>
        </w:tc>
        <w:tc>
          <w:tcPr>
            <w:tcW w:w="0" w:type="auto"/>
            <w:vAlign w:val="center"/>
            <w:hideMark/>
          </w:tcPr>
          <w:p w:rsidR="00DD216E" w:rsidRPr="00DD216E" w:rsidRDefault="00DD216E" w:rsidP="00A92F01">
            <w:pPr>
              <w:jc w:val="center"/>
              <w:rPr>
                <w:rFonts w:ascii="Arial" w:hAnsi="Arial" w:cs="Arial"/>
                <w:b/>
                <w:bCs/>
                <w:sz w:val="14"/>
                <w:szCs w:val="14"/>
                <w:lang w:val="es-MX" w:eastAsia="es-MX"/>
              </w:rPr>
            </w:pPr>
            <w:r w:rsidRPr="00DD216E">
              <w:rPr>
                <w:rFonts w:ascii="Arial" w:hAnsi="Arial" w:cs="Arial"/>
                <w:b/>
                <w:bCs/>
                <w:sz w:val="14"/>
                <w:szCs w:val="14"/>
                <w:lang w:val="es-MX" w:eastAsia="es-MX"/>
              </w:rPr>
              <w:t>$</w:t>
            </w:r>
          </w:p>
        </w:tc>
        <w:tc>
          <w:tcPr>
            <w:tcW w:w="0" w:type="auto"/>
            <w:vAlign w:val="center"/>
            <w:hideMark/>
          </w:tcPr>
          <w:p w:rsidR="00DD216E" w:rsidRPr="00DD216E" w:rsidRDefault="00DD216E" w:rsidP="00A92F01">
            <w:pPr>
              <w:jc w:val="center"/>
              <w:rPr>
                <w:rFonts w:ascii="Arial" w:hAnsi="Arial" w:cs="Arial"/>
                <w:b/>
                <w:bCs/>
                <w:sz w:val="14"/>
                <w:szCs w:val="14"/>
                <w:lang w:val="es-MX" w:eastAsia="es-MX"/>
              </w:rPr>
            </w:pPr>
            <w:r w:rsidRPr="00DD216E">
              <w:rPr>
                <w:rFonts w:ascii="Arial" w:hAnsi="Arial" w:cs="Arial"/>
                <w:b/>
                <w:bCs/>
                <w:sz w:val="14"/>
                <w:szCs w:val="14"/>
                <w:lang w:val="es-MX" w:eastAsia="es-MX"/>
              </w:rPr>
              <w:t>7,004,468</w:t>
            </w:r>
          </w:p>
        </w:tc>
        <w:tc>
          <w:tcPr>
            <w:tcW w:w="0" w:type="auto"/>
            <w:vAlign w:val="center"/>
            <w:hideMark/>
          </w:tcPr>
          <w:p w:rsidR="00DD216E" w:rsidRPr="00DD216E" w:rsidRDefault="00DD216E" w:rsidP="00A92F01">
            <w:pPr>
              <w:jc w:val="center"/>
              <w:rPr>
                <w:rFonts w:ascii="Arial" w:hAnsi="Arial" w:cs="Arial"/>
                <w:b/>
                <w:bCs/>
                <w:sz w:val="14"/>
                <w:szCs w:val="14"/>
                <w:lang w:val="es-MX" w:eastAsia="es-MX"/>
              </w:rPr>
            </w:pPr>
          </w:p>
        </w:tc>
        <w:tc>
          <w:tcPr>
            <w:tcW w:w="0" w:type="auto"/>
            <w:vAlign w:val="center"/>
            <w:hideMark/>
          </w:tcPr>
          <w:p w:rsidR="00DD216E" w:rsidRPr="00DD216E" w:rsidRDefault="00DD216E" w:rsidP="00A92F01">
            <w:pPr>
              <w:jc w:val="center"/>
              <w:rPr>
                <w:rFonts w:ascii="Arial" w:hAnsi="Arial" w:cs="Arial"/>
                <w:sz w:val="14"/>
                <w:szCs w:val="14"/>
                <w:lang w:val="es-MX" w:eastAsia="es-MX"/>
              </w:rPr>
            </w:pPr>
          </w:p>
        </w:tc>
      </w:tr>
    </w:tbl>
    <w:p w:rsidR="00DD216E" w:rsidRPr="00A92F01" w:rsidRDefault="00DD216E" w:rsidP="00DD216E">
      <w:pPr>
        <w:jc w:val="both"/>
        <w:rPr>
          <w:rFonts w:ascii="Arial" w:hAnsi="Arial" w:cs="Arial"/>
          <w:b/>
          <w:sz w:val="24"/>
        </w:rPr>
      </w:pPr>
    </w:p>
    <w:p w:rsidR="00A92F01" w:rsidRPr="00A92F01" w:rsidRDefault="00A92F01" w:rsidP="00A92F01">
      <w:pPr>
        <w:spacing w:after="0" w:line="360" w:lineRule="auto"/>
        <w:contextualSpacing/>
        <w:jc w:val="both"/>
        <w:rPr>
          <w:rFonts w:ascii="Arial" w:hAnsi="Arial" w:cs="Arial"/>
          <w:b/>
          <w:sz w:val="24"/>
        </w:rPr>
      </w:pPr>
      <w:r w:rsidRPr="00A92F01">
        <w:rPr>
          <w:rFonts w:ascii="Arial" w:hAnsi="Arial" w:cs="Arial"/>
          <w:b/>
          <w:sz w:val="24"/>
        </w:rPr>
        <w:t>Análisis de la Auditoría Superior del Estado</w:t>
      </w:r>
    </w:p>
    <w:p w:rsidR="00A92F01" w:rsidRDefault="00A92F01" w:rsidP="00A92F01">
      <w:pPr>
        <w:spacing w:after="0" w:line="360" w:lineRule="auto"/>
        <w:contextualSpacing/>
        <w:jc w:val="both"/>
        <w:rPr>
          <w:rFonts w:ascii="Arial" w:hAnsi="Arial" w:cs="Arial"/>
          <w:sz w:val="24"/>
        </w:rPr>
      </w:pPr>
    </w:p>
    <w:p w:rsidR="00A92F01" w:rsidRPr="00A92F01" w:rsidRDefault="00A92F01" w:rsidP="00A92F01">
      <w:pPr>
        <w:spacing w:after="0" w:line="360" w:lineRule="auto"/>
        <w:contextualSpacing/>
        <w:jc w:val="both"/>
        <w:rPr>
          <w:rFonts w:ascii="Arial" w:hAnsi="Arial" w:cs="Arial"/>
          <w:sz w:val="24"/>
        </w:rPr>
      </w:pPr>
      <w:r>
        <w:rPr>
          <w:rFonts w:ascii="Arial" w:hAnsi="Arial" w:cs="Arial"/>
          <w:sz w:val="24"/>
        </w:rPr>
        <w:t>La Auditoría analizó</w:t>
      </w:r>
      <w:r w:rsidRPr="00A92F01">
        <w:rPr>
          <w:rFonts w:ascii="Arial" w:hAnsi="Arial" w:cs="Arial"/>
          <w:sz w:val="24"/>
        </w:rPr>
        <w:t xml:space="preserve"> la respuesta y evidencia presentada por el Titular y Extitular del Ente Público,</w:t>
      </w:r>
      <w:r>
        <w:rPr>
          <w:rFonts w:ascii="Arial" w:hAnsi="Arial" w:cs="Arial"/>
          <w:sz w:val="24"/>
        </w:rPr>
        <w:t xml:space="preserve"> y determinó que esta observación se solventó parcialmente, </w:t>
      </w:r>
      <w:r w:rsidRPr="00A92F01">
        <w:rPr>
          <w:rFonts w:ascii="Arial" w:hAnsi="Arial" w:cs="Arial"/>
          <w:sz w:val="24"/>
        </w:rPr>
        <w:t>toda vez que si bien</w:t>
      </w:r>
      <w:r>
        <w:rPr>
          <w:rFonts w:ascii="Arial" w:hAnsi="Arial" w:cs="Arial"/>
          <w:sz w:val="24"/>
        </w:rPr>
        <w:t xml:space="preserve"> el Ente</w:t>
      </w:r>
      <w:r w:rsidRPr="00A92F01">
        <w:rPr>
          <w:rFonts w:ascii="Arial" w:hAnsi="Arial" w:cs="Arial"/>
          <w:sz w:val="24"/>
        </w:rPr>
        <w:t xml:space="preserve"> menci</w:t>
      </w:r>
      <w:r>
        <w:rPr>
          <w:rFonts w:ascii="Arial" w:hAnsi="Arial" w:cs="Arial"/>
          <w:sz w:val="24"/>
        </w:rPr>
        <w:t>onó</w:t>
      </w:r>
      <w:r w:rsidRPr="00A92F01">
        <w:rPr>
          <w:rFonts w:ascii="Arial" w:hAnsi="Arial" w:cs="Arial"/>
          <w:sz w:val="24"/>
        </w:rPr>
        <w:t xml:space="preserve"> que se "compromete a registrar correctamente los gastos en las cuentas autorizadas en el Presupuesto Anual" y entrega evidencia de algunas correcciones realizadas,</w:t>
      </w:r>
      <w:r>
        <w:rPr>
          <w:rFonts w:ascii="Arial" w:hAnsi="Arial" w:cs="Arial"/>
          <w:sz w:val="24"/>
        </w:rPr>
        <w:t xml:space="preserve"> sin embargo no proporcionó</w:t>
      </w:r>
      <w:r w:rsidRPr="00A92F01">
        <w:rPr>
          <w:rFonts w:ascii="Arial" w:hAnsi="Arial" w:cs="Arial"/>
          <w:sz w:val="24"/>
        </w:rPr>
        <w:t xml:space="preserve"> una fecha compromiso para la implementación de medidas correctivas para registrar de acuerdo al Plan de cuentas.</w:t>
      </w:r>
    </w:p>
    <w:p w:rsidR="00A92F01" w:rsidRDefault="00A92F01" w:rsidP="00A92F01">
      <w:pPr>
        <w:spacing w:after="0" w:line="360" w:lineRule="auto"/>
        <w:contextualSpacing/>
        <w:jc w:val="both"/>
        <w:rPr>
          <w:rFonts w:ascii="Arial" w:hAnsi="Arial" w:cs="Arial"/>
          <w:sz w:val="24"/>
        </w:rPr>
      </w:pPr>
    </w:p>
    <w:p w:rsidR="00A92F01" w:rsidRPr="00A92F01" w:rsidRDefault="00A92F01" w:rsidP="00A92F01">
      <w:pPr>
        <w:spacing w:after="0" w:line="360" w:lineRule="auto"/>
        <w:contextualSpacing/>
        <w:jc w:val="both"/>
        <w:rPr>
          <w:rFonts w:ascii="Arial" w:hAnsi="Arial" w:cs="Arial"/>
          <w:sz w:val="24"/>
        </w:rPr>
      </w:pPr>
      <w:r>
        <w:rPr>
          <w:rFonts w:ascii="Arial" w:hAnsi="Arial" w:cs="Arial"/>
          <w:sz w:val="24"/>
        </w:rPr>
        <w:t>En</w:t>
      </w:r>
      <w:r w:rsidRPr="00A92F01">
        <w:rPr>
          <w:rFonts w:ascii="Arial" w:hAnsi="Arial" w:cs="Arial"/>
          <w:sz w:val="24"/>
        </w:rPr>
        <w:t xml:space="preserve"> relación al argumento que señala "la cancelación del programa PADES no se registró en Ingresos debido a que no se recibió dicho recurso y por tal motivo se pasó a cuentas incobrables", es necesario aclarar que el apoyo del programa PADES si fue registrado en Ingresos y otros beneficios según póliza de diario 272 de fecha 1 de octubre de 2015, por tal motivo se señala que su cancelación debió ser, en su momento, en la misma cuenta de manera </w:t>
      </w:r>
      <w:r w:rsidRPr="00A92F01">
        <w:rPr>
          <w:rFonts w:ascii="Arial" w:hAnsi="Arial" w:cs="Arial"/>
          <w:sz w:val="24"/>
        </w:rPr>
        <w:lastRenderedPageBreak/>
        <w:t>contraria y no afectar el rubro de Servicios generales dentro de Gastos de funcionamiento.</w:t>
      </w:r>
    </w:p>
    <w:p w:rsidR="00A92F01" w:rsidRDefault="00A92F01" w:rsidP="00A92F01">
      <w:pPr>
        <w:spacing w:after="0" w:line="360" w:lineRule="auto"/>
        <w:contextualSpacing/>
        <w:jc w:val="both"/>
        <w:rPr>
          <w:rFonts w:ascii="Arial" w:hAnsi="Arial" w:cs="Arial"/>
          <w:sz w:val="24"/>
        </w:rPr>
      </w:pPr>
    </w:p>
    <w:p w:rsidR="00A92F01" w:rsidRPr="00A92F01" w:rsidRDefault="00A92F01" w:rsidP="00A92F01">
      <w:pPr>
        <w:spacing w:after="0" w:line="360" w:lineRule="auto"/>
        <w:contextualSpacing/>
        <w:jc w:val="both"/>
        <w:rPr>
          <w:rFonts w:ascii="Arial" w:hAnsi="Arial" w:cs="Arial"/>
          <w:sz w:val="24"/>
        </w:rPr>
      </w:pPr>
      <w:r w:rsidRPr="00A92F01">
        <w:rPr>
          <w:rFonts w:ascii="Arial" w:hAnsi="Arial" w:cs="Arial"/>
          <w:sz w:val="24"/>
        </w:rPr>
        <w:t>Se dará seguimiento en la revisión de la Cuenta Pública 2016 a las medidas implementadas y aplicadas para dar cumplimiento a lo señalado en el Plan de Cuentas del Manual de Contabilidad Gubernamental.</w:t>
      </w:r>
    </w:p>
    <w:p w:rsidR="00A92F01" w:rsidRDefault="00A92F01" w:rsidP="00A92F01">
      <w:pPr>
        <w:spacing w:after="0" w:line="360" w:lineRule="auto"/>
        <w:contextualSpacing/>
        <w:jc w:val="both"/>
        <w:rPr>
          <w:rFonts w:ascii="Arial" w:hAnsi="Arial" w:cs="Arial"/>
          <w:sz w:val="24"/>
        </w:rPr>
      </w:pPr>
    </w:p>
    <w:p w:rsidR="00A92F01" w:rsidRPr="00A92F01" w:rsidRDefault="00A92F01" w:rsidP="00A92F01">
      <w:pPr>
        <w:spacing w:after="0" w:line="360" w:lineRule="auto"/>
        <w:contextualSpacing/>
        <w:jc w:val="both"/>
        <w:rPr>
          <w:rFonts w:ascii="Arial" w:hAnsi="Arial" w:cs="Arial"/>
          <w:b/>
          <w:sz w:val="24"/>
        </w:rPr>
      </w:pPr>
      <w:r w:rsidRPr="00A92F01">
        <w:rPr>
          <w:rFonts w:ascii="Arial" w:hAnsi="Arial" w:cs="Arial"/>
          <w:b/>
          <w:sz w:val="24"/>
        </w:rPr>
        <w:t>Acción(es) o recomendación(es) emitida(s)</w:t>
      </w:r>
    </w:p>
    <w:p w:rsidR="00A92F01" w:rsidRPr="00A92F01" w:rsidRDefault="00A92F01" w:rsidP="00A92F01">
      <w:pPr>
        <w:spacing w:after="0" w:line="360" w:lineRule="auto"/>
        <w:contextualSpacing/>
        <w:jc w:val="both"/>
        <w:rPr>
          <w:rFonts w:ascii="Arial" w:hAnsi="Arial" w:cs="Arial"/>
          <w:i/>
          <w:sz w:val="24"/>
        </w:rPr>
      </w:pPr>
      <w:r w:rsidRPr="00A92F01">
        <w:rPr>
          <w:rFonts w:ascii="Arial" w:hAnsi="Arial" w:cs="Arial"/>
          <w:i/>
          <w:sz w:val="24"/>
        </w:rPr>
        <w:t>Promoción de Fincamiento de Responsabilidad Administrativa.</w:t>
      </w:r>
    </w:p>
    <w:p w:rsidR="00374B6D" w:rsidRDefault="00374B6D" w:rsidP="00374B6D">
      <w:pPr>
        <w:spacing w:after="0" w:line="360" w:lineRule="auto"/>
        <w:contextualSpacing/>
        <w:jc w:val="both"/>
        <w:rPr>
          <w:rFonts w:ascii="Arial" w:hAnsi="Arial" w:cs="Arial"/>
          <w:sz w:val="24"/>
        </w:rPr>
      </w:pPr>
    </w:p>
    <w:p w:rsidR="00A92F01" w:rsidRPr="00A92F01" w:rsidRDefault="00A92F01" w:rsidP="00A92F01">
      <w:pPr>
        <w:spacing w:after="0" w:line="360" w:lineRule="auto"/>
        <w:contextualSpacing/>
        <w:jc w:val="both"/>
        <w:rPr>
          <w:rFonts w:ascii="Arial" w:hAnsi="Arial" w:cs="Arial"/>
          <w:b/>
          <w:sz w:val="24"/>
          <w:u w:val="single"/>
        </w:rPr>
      </w:pPr>
      <w:r w:rsidRPr="00A92F01">
        <w:rPr>
          <w:rFonts w:ascii="Arial" w:hAnsi="Arial" w:cs="Arial"/>
          <w:b/>
          <w:sz w:val="24"/>
          <w:u w:val="single"/>
        </w:rPr>
        <w:t>ACTIVO</w:t>
      </w:r>
    </w:p>
    <w:p w:rsidR="00A92F01" w:rsidRPr="00A92F01" w:rsidRDefault="00A92F01" w:rsidP="00A92F01">
      <w:pPr>
        <w:spacing w:after="0" w:line="360" w:lineRule="auto"/>
        <w:contextualSpacing/>
        <w:jc w:val="both"/>
        <w:rPr>
          <w:rFonts w:ascii="Arial" w:hAnsi="Arial" w:cs="Arial"/>
          <w:b/>
          <w:sz w:val="24"/>
          <w:u w:val="single"/>
        </w:rPr>
      </w:pPr>
      <w:r w:rsidRPr="00A92F01">
        <w:rPr>
          <w:rFonts w:ascii="Arial" w:hAnsi="Arial" w:cs="Arial"/>
          <w:b/>
          <w:sz w:val="24"/>
          <w:u w:val="single"/>
        </w:rPr>
        <w:t>Activo circulante</w:t>
      </w:r>
    </w:p>
    <w:p w:rsidR="00A92F01" w:rsidRPr="00A92F01" w:rsidRDefault="00A92F01" w:rsidP="00A92F01">
      <w:pPr>
        <w:spacing w:after="0" w:line="360" w:lineRule="auto"/>
        <w:contextualSpacing/>
        <w:jc w:val="both"/>
        <w:rPr>
          <w:rFonts w:ascii="Arial" w:hAnsi="Arial" w:cs="Arial"/>
          <w:b/>
          <w:sz w:val="24"/>
          <w:u w:val="single"/>
        </w:rPr>
      </w:pPr>
      <w:r w:rsidRPr="00A92F01">
        <w:rPr>
          <w:rFonts w:ascii="Arial" w:hAnsi="Arial" w:cs="Arial"/>
          <w:b/>
          <w:sz w:val="24"/>
          <w:u w:val="single"/>
        </w:rPr>
        <w:t>Derechos a recibir efectivo o equivalentes</w:t>
      </w:r>
    </w:p>
    <w:p w:rsidR="00374B6D" w:rsidRDefault="00374B6D" w:rsidP="00374B6D">
      <w:pPr>
        <w:spacing w:after="0" w:line="360" w:lineRule="auto"/>
        <w:contextualSpacing/>
        <w:jc w:val="both"/>
        <w:rPr>
          <w:rFonts w:ascii="Arial" w:hAnsi="Arial" w:cs="Arial"/>
          <w:b/>
          <w:sz w:val="24"/>
          <w:u w:val="single"/>
        </w:rPr>
      </w:pPr>
    </w:p>
    <w:p w:rsidR="00A92F01" w:rsidRDefault="00A92F01" w:rsidP="00374B6D">
      <w:pPr>
        <w:spacing w:after="0" w:line="360" w:lineRule="auto"/>
        <w:contextualSpacing/>
        <w:jc w:val="both"/>
        <w:rPr>
          <w:rFonts w:ascii="Arial" w:hAnsi="Arial" w:cs="Arial"/>
          <w:sz w:val="24"/>
        </w:rPr>
      </w:pPr>
      <w:r>
        <w:rPr>
          <w:rFonts w:ascii="Arial" w:hAnsi="Arial" w:cs="Arial"/>
          <w:sz w:val="24"/>
        </w:rPr>
        <w:t>4.</w:t>
      </w:r>
      <w:r w:rsidRPr="00A92F01">
        <w:t xml:space="preserve"> </w:t>
      </w:r>
      <w:r w:rsidRPr="00A92F01">
        <w:rPr>
          <w:rFonts w:ascii="Arial" w:hAnsi="Arial" w:cs="Arial"/>
          <w:sz w:val="24"/>
        </w:rPr>
        <w:t>Se observó que al 31 de diciembre de 2015 el Ente Público presentó un saldo en Deudores diversos de $11,410, con antigüedad superior a 3 meses. Se integra como sigue:</w:t>
      </w:r>
    </w:p>
    <w:p w:rsidR="00A92F01" w:rsidRDefault="00A92F01" w:rsidP="00374B6D">
      <w:pPr>
        <w:spacing w:after="0" w:line="360" w:lineRule="auto"/>
        <w:contextualSpacing/>
        <w:jc w:val="both"/>
        <w:rPr>
          <w:rFonts w:ascii="Arial" w:hAnsi="Arial" w:cs="Arial"/>
          <w:sz w:val="24"/>
        </w:rPr>
      </w:pPr>
    </w:p>
    <w:tbl>
      <w:tblPr>
        <w:tblW w:w="259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07"/>
        <w:gridCol w:w="1385"/>
        <w:gridCol w:w="352"/>
        <w:gridCol w:w="1274"/>
      </w:tblGrid>
      <w:tr w:rsidR="00A92F01" w:rsidRPr="00A92F01" w:rsidTr="00A92F01">
        <w:trPr>
          <w:tblCellSpacing w:w="15" w:type="dxa"/>
          <w:jc w:val="center"/>
        </w:trPr>
        <w:tc>
          <w:tcPr>
            <w:tcW w:w="0" w:type="auto"/>
            <w:shd w:val="clear" w:color="auto" w:fill="BFBFBF" w:themeFill="background1" w:themeFillShade="BF"/>
            <w:vAlign w:val="center"/>
            <w:hideMark/>
          </w:tcPr>
          <w:p w:rsidR="00A92F01" w:rsidRPr="00A92F01" w:rsidRDefault="00A92F01" w:rsidP="00A92F01">
            <w:pPr>
              <w:jc w:val="center"/>
              <w:rPr>
                <w:rFonts w:ascii="Arial" w:eastAsia="Arial Unicode MS" w:hAnsi="Arial" w:cs="Arial"/>
                <w:b/>
                <w:sz w:val="14"/>
                <w:szCs w:val="14"/>
                <w:u w:val="single"/>
                <w:lang w:val="es-MX" w:eastAsia="es-MX"/>
              </w:rPr>
            </w:pPr>
            <w:r w:rsidRPr="00A92F01">
              <w:rPr>
                <w:rFonts w:ascii="Arial" w:eastAsia="Arial Unicode MS" w:hAnsi="Arial" w:cs="Arial"/>
                <w:b/>
                <w:sz w:val="14"/>
                <w:szCs w:val="14"/>
                <w:u w:val="single"/>
                <w:lang w:val="es-MX" w:eastAsia="es-MX"/>
              </w:rPr>
              <w:t>Fecha</w:t>
            </w:r>
          </w:p>
        </w:tc>
        <w:tc>
          <w:tcPr>
            <w:tcW w:w="1626" w:type="pct"/>
            <w:shd w:val="clear" w:color="auto" w:fill="BFBFBF" w:themeFill="background1" w:themeFillShade="BF"/>
            <w:vAlign w:val="center"/>
            <w:hideMark/>
          </w:tcPr>
          <w:p w:rsidR="00A92F01" w:rsidRPr="00A92F01" w:rsidRDefault="00A92F01" w:rsidP="00A92F01">
            <w:pPr>
              <w:jc w:val="center"/>
              <w:rPr>
                <w:rFonts w:ascii="Arial" w:eastAsia="Arial Unicode MS" w:hAnsi="Arial" w:cs="Arial"/>
                <w:b/>
                <w:sz w:val="14"/>
                <w:szCs w:val="14"/>
                <w:u w:val="single"/>
                <w:lang w:val="es-MX" w:eastAsia="es-MX"/>
              </w:rPr>
            </w:pPr>
            <w:r w:rsidRPr="00A92F01">
              <w:rPr>
                <w:rFonts w:ascii="Arial" w:eastAsia="Arial Unicode MS" w:hAnsi="Arial" w:cs="Arial"/>
                <w:b/>
                <w:sz w:val="14"/>
                <w:szCs w:val="14"/>
                <w:u w:val="single"/>
                <w:lang w:val="es-MX" w:eastAsia="es-MX"/>
              </w:rPr>
              <w:t>Matrícula del deudor</w:t>
            </w:r>
          </w:p>
        </w:tc>
        <w:tc>
          <w:tcPr>
            <w:tcW w:w="0" w:type="auto"/>
            <w:shd w:val="clear" w:color="auto" w:fill="BFBFBF" w:themeFill="background1" w:themeFillShade="BF"/>
            <w:vAlign w:val="center"/>
            <w:hideMark/>
          </w:tcPr>
          <w:p w:rsidR="00A92F01" w:rsidRPr="00A92F01" w:rsidRDefault="00A92F01" w:rsidP="00A92F01">
            <w:pPr>
              <w:jc w:val="center"/>
              <w:rPr>
                <w:rFonts w:ascii="Arial" w:eastAsia="Arial Unicode MS" w:hAnsi="Arial" w:cs="Arial"/>
                <w:b/>
                <w:sz w:val="14"/>
                <w:szCs w:val="14"/>
                <w:u w:val="single"/>
                <w:lang w:val="es-MX" w:eastAsia="es-MX"/>
              </w:rPr>
            </w:pPr>
          </w:p>
        </w:tc>
        <w:tc>
          <w:tcPr>
            <w:tcW w:w="1474" w:type="pct"/>
            <w:shd w:val="clear" w:color="auto" w:fill="BFBFBF" w:themeFill="background1" w:themeFillShade="BF"/>
            <w:vAlign w:val="center"/>
            <w:hideMark/>
          </w:tcPr>
          <w:p w:rsidR="00A92F01" w:rsidRPr="00A92F01" w:rsidRDefault="00A92F01" w:rsidP="00A92F01">
            <w:pPr>
              <w:jc w:val="center"/>
              <w:rPr>
                <w:rFonts w:ascii="Arial" w:eastAsia="Arial Unicode MS" w:hAnsi="Arial" w:cs="Arial"/>
                <w:b/>
                <w:sz w:val="14"/>
                <w:szCs w:val="14"/>
                <w:u w:val="single"/>
                <w:lang w:val="es-MX" w:eastAsia="es-MX"/>
              </w:rPr>
            </w:pPr>
            <w:r w:rsidRPr="00A92F01">
              <w:rPr>
                <w:rFonts w:ascii="Arial" w:eastAsia="Arial Unicode MS" w:hAnsi="Arial" w:cs="Arial"/>
                <w:b/>
                <w:sz w:val="14"/>
                <w:szCs w:val="14"/>
                <w:u w:val="single"/>
                <w:lang w:val="es-MX" w:eastAsia="es-MX"/>
              </w:rPr>
              <w:t>Saldo al 31-dic-15</w:t>
            </w:r>
          </w:p>
        </w:tc>
      </w:tr>
      <w:tr w:rsidR="00A92F01" w:rsidRPr="00A92F01" w:rsidTr="00A92F01">
        <w:trPr>
          <w:tblCellSpacing w:w="15" w:type="dxa"/>
          <w:jc w:val="center"/>
        </w:trPr>
        <w:tc>
          <w:tcPr>
            <w:tcW w:w="0" w:type="auto"/>
            <w:vAlign w:val="center"/>
            <w:hideMark/>
          </w:tcPr>
          <w:p w:rsidR="00A92F01" w:rsidRPr="00A92F01" w:rsidRDefault="00A92F01" w:rsidP="00A92F01">
            <w:pPr>
              <w:jc w:val="center"/>
              <w:rPr>
                <w:rFonts w:ascii="Arial" w:eastAsia="Arial Unicode MS" w:hAnsi="Arial" w:cs="Arial"/>
                <w:sz w:val="14"/>
                <w:szCs w:val="14"/>
                <w:lang w:val="es-MX" w:eastAsia="es-MX"/>
              </w:rPr>
            </w:pPr>
            <w:r w:rsidRPr="00A92F01">
              <w:rPr>
                <w:rFonts w:ascii="Arial" w:eastAsia="Arial Unicode MS" w:hAnsi="Arial" w:cs="Arial"/>
                <w:sz w:val="14"/>
                <w:szCs w:val="14"/>
                <w:lang w:val="es-MX" w:eastAsia="es-MX"/>
              </w:rPr>
              <w:t>Mar-15</w:t>
            </w:r>
          </w:p>
        </w:tc>
        <w:tc>
          <w:tcPr>
            <w:tcW w:w="1626" w:type="pct"/>
            <w:vAlign w:val="center"/>
            <w:hideMark/>
          </w:tcPr>
          <w:p w:rsidR="00A92F01" w:rsidRPr="00A92F01" w:rsidRDefault="00A92F01" w:rsidP="00A92F01">
            <w:pPr>
              <w:jc w:val="center"/>
              <w:rPr>
                <w:rFonts w:ascii="Arial" w:eastAsia="Arial Unicode MS" w:hAnsi="Arial" w:cs="Arial"/>
                <w:sz w:val="14"/>
                <w:szCs w:val="14"/>
                <w:lang w:val="es-MX" w:eastAsia="es-MX"/>
              </w:rPr>
            </w:pPr>
            <w:r w:rsidRPr="00A92F01">
              <w:rPr>
                <w:rFonts w:ascii="Arial" w:eastAsia="Arial Unicode MS" w:hAnsi="Arial" w:cs="Arial"/>
                <w:sz w:val="14"/>
                <w:szCs w:val="14"/>
                <w:lang w:val="es-MX" w:eastAsia="es-MX"/>
              </w:rPr>
              <w:t>0572</w:t>
            </w:r>
          </w:p>
        </w:tc>
        <w:tc>
          <w:tcPr>
            <w:tcW w:w="0" w:type="auto"/>
            <w:vAlign w:val="center"/>
            <w:hideMark/>
          </w:tcPr>
          <w:p w:rsidR="00A92F01" w:rsidRPr="00A92F01" w:rsidRDefault="00A92F01" w:rsidP="00A92F01">
            <w:pPr>
              <w:jc w:val="center"/>
              <w:rPr>
                <w:rFonts w:ascii="Arial" w:eastAsia="Arial Unicode MS" w:hAnsi="Arial" w:cs="Arial"/>
                <w:sz w:val="14"/>
                <w:szCs w:val="14"/>
                <w:lang w:val="es-MX" w:eastAsia="es-MX"/>
              </w:rPr>
            </w:pPr>
            <w:r w:rsidRPr="00A92F01">
              <w:rPr>
                <w:rFonts w:ascii="Arial" w:eastAsia="Arial Unicode MS" w:hAnsi="Arial" w:cs="Arial"/>
                <w:sz w:val="14"/>
                <w:szCs w:val="14"/>
                <w:lang w:val="es-MX" w:eastAsia="es-MX"/>
              </w:rPr>
              <w:t>$</w:t>
            </w:r>
          </w:p>
        </w:tc>
        <w:tc>
          <w:tcPr>
            <w:tcW w:w="1474" w:type="pct"/>
            <w:vAlign w:val="center"/>
            <w:hideMark/>
          </w:tcPr>
          <w:p w:rsidR="00A92F01" w:rsidRPr="00A92F01" w:rsidRDefault="00A92F01" w:rsidP="00A92F01">
            <w:pPr>
              <w:jc w:val="center"/>
              <w:rPr>
                <w:rFonts w:ascii="Arial" w:eastAsia="Arial Unicode MS" w:hAnsi="Arial" w:cs="Arial"/>
                <w:sz w:val="14"/>
                <w:szCs w:val="14"/>
                <w:lang w:val="es-MX" w:eastAsia="es-MX"/>
              </w:rPr>
            </w:pPr>
            <w:r w:rsidRPr="00A92F01">
              <w:rPr>
                <w:rFonts w:ascii="Arial" w:eastAsia="Arial Unicode MS" w:hAnsi="Arial" w:cs="Arial"/>
                <w:sz w:val="14"/>
                <w:szCs w:val="14"/>
                <w:lang w:val="es-MX" w:eastAsia="es-MX"/>
              </w:rPr>
              <w:t>5,000</w:t>
            </w:r>
          </w:p>
        </w:tc>
      </w:tr>
      <w:tr w:rsidR="00A92F01" w:rsidRPr="00A92F01" w:rsidTr="00A92F01">
        <w:trPr>
          <w:tblCellSpacing w:w="15" w:type="dxa"/>
          <w:jc w:val="center"/>
        </w:trPr>
        <w:tc>
          <w:tcPr>
            <w:tcW w:w="0" w:type="auto"/>
            <w:vAlign w:val="center"/>
            <w:hideMark/>
          </w:tcPr>
          <w:p w:rsidR="00A92F01" w:rsidRPr="00A92F01" w:rsidRDefault="00A92F01" w:rsidP="00A92F01">
            <w:pPr>
              <w:jc w:val="center"/>
              <w:rPr>
                <w:rFonts w:ascii="Arial" w:eastAsia="Arial Unicode MS" w:hAnsi="Arial" w:cs="Arial"/>
                <w:sz w:val="14"/>
                <w:szCs w:val="14"/>
                <w:lang w:val="es-MX" w:eastAsia="es-MX"/>
              </w:rPr>
            </w:pPr>
            <w:r w:rsidRPr="00A92F01">
              <w:rPr>
                <w:rFonts w:ascii="Arial" w:eastAsia="Arial Unicode MS" w:hAnsi="Arial" w:cs="Arial"/>
                <w:sz w:val="14"/>
                <w:szCs w:val="14"/>
                <w:lang w:val="es-MX" w:eastAsia="es-MX"/>
              </w:rPr>
              <w:t>Oct-14</w:t>
            </w:r>
          </w:p>
        </w:tc>
        <w:tc>
          <w:tcPr>
            <w:tcW w:w="1626" w:type="pct"/>
            <w:vAlign w:val="center"/>
            <w:hideMark/>
          </w:tcPr>
          <w:p w:rsidR="00A92F01" w:rsidRPr="00A92F01" w:rsidRDefault="00A92F01" w:rsidP="00A92F01">
            <w:pPr>
              <w:jc w:val="center"/>
              <w:rPr>
                <w:rFonts w:ascii="Arial" w:eastAsia="Arial Unicode MS" w:hAnsi="Arial" w:cs="Arial"/>
                <w:sz w:val="14"/>
                <w:szCs w:val="14"/>
                <w:lang w:val="es-MX" w:eastAsia="es-MX"/>
              </w:rPr>
            </w:pPr>
            <w:r w:rsidRPr="00A92F01">
              <w:rPr>
                <w:rFonts w:ascii="Arial" w:eastAsia="Arial Unicode MS" w:hAnsi="Arial" w:cs="Arial"/>
                <w:sz w:val="14"/>
                <w:szCs w:val="14"/>
                <w:lang w:val="es-MX" w:eastAsia="es-MX"/>
              </w:rPr>
              <w:t>5539</w:t>
            </w:r>
          </w:p>
        </w:tc>
        <w:tc>
          <w:tcPr>
            <w:tcW w:w="0" w:type="auto"/>
            <w:vAlign w:val="center"/>
            <w:hideMark/>
          </w:tcPr>
          <w:p w:rsidR="00A92F01" w:rsidRPr="00A92F01" w:rsidRDefault="00A92F01" w:rsidP="00A92F01">
            <w:pPr>
              <w:jc w:val="center"/>
              <w:rPr>
                <w:rFonts w:ascii="Arial" w:eastAsia="Arial Unicode MS" w:hAnsi="Arial" w:cs="Arial"/>
                <w:sz w:val="14"/>
                <w:szCs w:val="14"/>
                <w:lang w:val="es-MX" w:eastAsia="es-MX"/>
              </w:rPr>
            </w:pPr>
          </w:p>
        </w:tc>
        <w:tc>
          <w:tcPr>
            <w:tcW w:w="1474" w:type="pct"/>
            <w:vAlign w:val="center"/>
            <w:hideMark/>
          </w:tcPr>
          <w:p w:rsidR="00A92F01" w:rsidRPr="00A92F01" w:rsidRDefault="00A92F01" w:rsidP="00A92F01">
            <w:pPr>
              <w:jc w:val="center"/>
              <w:rPr>
                <w:rFonts w:ascii="Arial" w:eastAsia="Arial Unicode MS" w:hAnsi="Arial" w:cs="Arial"/>
                <w:sz w:val="14"/>
                <w:szCs w:val="14"/>
                <w:lang w:val="es-MX" w:eastAsia="es-MX"/>
              </w:rPr>
            </w:pPr>
            <w:r w:rsidRPr="00A92F01">
              <w:rPr>
                <w:rFonts w:ascii="Arial" w:eastAsia="Arial Unicode MS" w:hAnsi="Arial" w:cs="Arial"/>
                <w:sz w:val="14"/>
                <w:szCs w:val="14"/>
                <w:lang w:val="es-MX" w:eastAsia="es-MX"/>
              </w:rPr>
              <w:t>2,850</w:t>
            </w:r>
          </w:p>
        </w:tc>
      </w:tr>
      <w:tr w:rsidR="00A92F01" w:rsidRPr="00A92F01" w:rsidTr="00A92F01">
        <w:trPr>
          <w:tblCellSpacing w:w="15" w:type="dxa"/>
          <w:jc w:val="center"/>
        </w:trPr>
        <w:tc>
          <w:tcPr>
            <w:tcW w:w="0" w:type="auto"/>
            <w:vAlign w:val="center"/>
            <w:hideMark/>
          </w:tcPr>
          <w:p w:rsidR="00A92F01" w:rsidRPr="00A92F01" w:rsidRDefault="00A92F01" w:rsidP="00A92F01">
            <w:pPr>
              <w:jc w:val="center"/>
              <w:rPr>
                <w:rFonts w:ascii="Arial" w:eastAsia="Arial Unicode MS" w:hAnsi="Arial" w:cs="Arial"/>
                <w:sz w:val="14"/>
                <w:szCs w:val="14"/>
                <w:lang w:val="es-MX" w:eastAsia="es-MX"/>
              </w:rPr>
            </w:pPr>
            <w:r w:rsidRPr="00A92F01">
              <w:rPr>
                <w:rFonts w:ascii="Arial" w:eastAsia="Arial Unicode MS" w:hAnsi="Arial" w:cs="Arial"/>
                <w:sz w:val="14"/>
                <w:szCs w:val="14"/>
                <w:lang w:val="es-MX" w:eastAsia="es-MX"/>
              </w:rPr>
              <w:t>Feb-15</w:t>
            </w:r>
          </w:p>
        </w:tc>
        <w:tc>
          <w:tcPr>
            <w:tcW w:w="1626" w:type="pct"/>
            <w:vAlign w:val="center"/>
            <w:hideMark/>
          </w:tcPr>
          <w:p w:rsidR="00A92F01" w:rsidRPr="00A92F01" w:rsidRDefault="00A92F01" w:rsidP="00A92F01">
            <w:pPr>
              <w:jc w:val="center"/>
              <w:rPr>
                <w:rFonts w:ascii="Arial" w:eastAsia="Arial Unicode MS" w:hAnsi="Arial" w:cs="Arial"/>
                <w:sz w:val="14"/>
                <w:szCs w:val="14"/>
                <w:lang w:val="es-MX" w:eastAsia="es-MX"/>
              </w:rPr>
            </w:pPr>
            <w:r w:rsidRPr="00A92F01">
              <w:rPr>
                <w:rFonts w:ascii="Arial" w:eastAsia="Arial Unicode MS" w:hAnsi="Arial" w:cs="Arial"/>
                <w:sz w:val="14"/>
                <w:szCs w:val="14"/>
                <w:lang w:val="es-MX" w:eastAsia="es-MX"/>
              </w:rPr>
              <w:t>5591</w:t>
            </w:r>
          </w:p>
        </w:tc>
        <w:tc>
          <w:tcPr>
            <w:tcW w:w="0" w:type="auto"/>
            <w:vAlign w:val="center"/>
            <w:hideMark/>
          </w:tcPr>
          <w:p w:rsidR="00A92F01" w:rsidRPr="00A92F01" w:rsidRDefault="00A92F01" w:rsidP="00A92F01">
            <w:pPr>
              <w:jc w:val="center"/>
              <w:rPr>
                <w:rFonts w:ascii="Arial" w:eastAsia="Arial Unicode MS" w:hAnsi="Arial" w:cs="Arial"/>
                <w:sz w:val="14"/>
                <w:szCs w:val="14"/>
                <w:lang w:val="es-MX" w:eastAsia="es-MX"/>
              </w:rPr>
            </w:pPr>
          </w:p>
        </w:tc>
        <w:tc>
          <w:tcPr>
            <w:tcW w:w="1474" w:type="pct"/>
            <w:vAlign w:val="center"/>
            <w:hideMark/>
          </w:tcPr>
          <w:p w:rsidR="00A92F01" w:rsidRPr="00A92F01" w:rsidRDefault="00A92F01" w:rsidP="00A92F01">
            <w:pPr>
              <w:jc w:val="center"/>
              <w:rPr>
                <w:rFonts w:ascii="Arial" w:eastAsia="Arial Unicode MS" w:hAnsi="Arial" w:cs="Arial"/>
                <w:sz w:val="14"/>
                <w:szCs w:val="14"/>
                <w:lang w:val="es-MX" w:eastAsia="es-MX"/>
              </w:rPr>
            </w:pPr>
            <w:r w:rsidRPr="00A92F01">
              <w:rPr>
                <w:rFonts w:ascii="Arial" w:eastAsia="Arial Unicode MS" w:hAnsi="Arial" w:cs="Arial"/>
                <w:sz w:val="14"/>
                <w:szCs w:val="14"/>
                <w:lang w:val="es-MX" w:eastAsia="es-MX"/>
              </w:rPr>
              <w:t>1,400</w:t>
            </w:r>
          </w:p>
        </w:tc>
      </w:tr>
      <w:tr w:rsidR="00A92F01" w:rsidRPr="00A92F01" w:rsidTr="00A92F01">
        <w:trPr>
          <w:tblCellSpacing w:w="15" w:type="dxa"/>
          <w:jc w:val="center"/>
        </w:trPr>
        <w:tc>
          <w:tcPr>
            <w:tcW w:w="0" w:type="auto"/>
            <w:vAlign w:val="center"/>
            <w:hideMark/>
          </w:tcPr>
          <w:p w:rsidR="00A92F01" w:rsidRPr="00A92F01" w:rsidRDefault="00A92F01" w:rsidP="00A92F01">
            <w:pPr>
              <w:jc w:val="center"/>
              <w:rPr>
                <w:rFonts w:ascii="Arial" w:eastAsia="Arial Unicode MS" w:hAnsi="Arial" w:cs="Arial"/>
                <w:sz w:val="14"/>
                <w:szCs w:val="14"/>
                <w:lang w:val="es-MX" w:eastAsia="es-MX"/>
              </w:rPr>
            </w:pPr>
            <w:r w:rsidRPr="00A92F01">
              <w:rPr>
                <w:rFonts w:ascii="Arial" w:eastAsia="Arial Unicode MS" w:hAnsi="Arial" w:cs="Arial"/>
                <w:sz w:val="14"/>
                <w:szCs w:val="14"/>
                <w:lang w:val="es-MX" w:eastAsia="es-MX"/>
              </w:rPr>
              <w:t>Ago-15</w:t>
            </w:r>
          </w:p>
        </w:tc>
        <w:tc>
          <w:tcPr>
            <w:tcW w:w="1626" w:type="pct"/>
            <w:vAlign w:val="center"/>
            <w:hideMark/>
          </w:tcPr>
          <w:p w:rsidR="00A92F01" w:rsidRPr="00A92F01" w:rsidRDefault="00A92F01" w:rsidP="00A92F01">
            <w:pPr>
              <w:jc w:val="center"/>
              <w:rPr>
                <w:rFonts w:ascii="Arial" w:eastAsia="Arial Unicode MS" w:hAnsi="Arial" w:cs="Arial"/>
                <w:sz w:val="14"/>
                <w:szCs w:val="14"/>
                <w:lang w:val="es-MX" w:eastAsia="es-MX"/>
              </w:rPr>
            </w:pPr>
            <w:r w:rsidRPr="00A92F01">
              <w:rPr>
                <w:rFonts w:ascii="Arial" w:eastAsia="Arial Unicode MS" w:hAnsi="Arial" w:cs="Arial"/>
                <w:sz w:val="14"/>
                <w:szCs w:val="14"/>
                <w:lang w:val="es-MX" w:eastAsia="es-MX"/>
              </w:rPr>
              <w:t>7836</w:t>
            </w:r>
          </w:p>
        </w:tc>
        <w:tc>
          <w:tcPr>
            <w:tcW w:w="0" w:type="auto"/>
            <w:vAlign w:val="center"/>
            <w:hideMark/>
          </w:tcPr>
          <w:p w:rsidR="00A92F01" w:rsidRPr="00A92F01" w:rsidRDefault="00A92F01" w:rsidP="00A92F01">
            <w:pPr>
              <w:jc w:val="center"/>
              <w:rPr>
                <w:rFonts w:ascii="Arial" w:eastAsia="Arial Unicode MS" w:hAnsi="Arial" w:cs="Arial"/>
                <w:sz w:val="14"/>
                <w:szCs w:val="14"/>
                <w:lang w:val="es-MX" w:eastAsia="es-MX"/>
              </w:rPr>
            </w:pPr>
          </w:p>
        </w:tc>
        <w:tc>
          <w:tcPr>
            <w:tcW w:w="1474" w:type="pct"/>
            <w:vAlign w:val="center"/>
            <w:hideMark/>
          </w:tcPr>
          <w:p w:rsidR="00A92F01" w:rsidRPr="00A92F01" w:rsidRDefault="00A92F01" w:rsidP="00A92F01">
            <w:pPr>
              <w:jc w:val="center"/>
              <w:rPr>
                <w:rFonts w:ascii="Arial" w:eastAsia="Arial Unicode MS" w:hAnsi="Arial" w:cs="Arial"/>
                <w:sz w:val="14"/>
                <w:szCs w:val="14"/>
                <w:lang w:val="es-MX" w:eastAsia="es-MX"/>
              </w:rPr>
            </w:pPr>
            <w:r w:rsidRPr="00A92F01">
              <w:rPr>
                <w:rFonts w:ascii="Arial" w:eastAsia="Arial Unicode MS" w:hAnsi="Arial" w:cs="Arial"/>
                <w:sz w:val="14"/>
                <w:szCs w:val="14"/>
                <w:lang w:val="es-MX" w:eastAsia="es-MX"/>
              </w:rPr>
              <w:t>1,210</w:t>
            </w:r>
          </w:p>
        </w:tc>
      </w:tr>
      <w:tr w:rsidR="00A92F01" w:rsidRPr="00A92F01" w:rsidTr="00A92F01">
        <w:trPr>
          <w:tblCellSpacing w:w="15" w:type="dxa"/>
          <w:jc w:val="center"/>
        </w:trPr>
        <w:tc>
          <w:tcPr>
            <w:tcW w:w="0" w:type="auto"/>
            <w:vAlign w:val="center"/>
            <w:hideMark/>
          </w:tcPr>
          <w:p w:rsidR="00A92F01" w:rsidRPr="00A92F01" w:rsidRDefault="00A92F01" w:rsidP="00A92F01">
            <w:pPr>
              <w:jc w:val="center"/>
              <w:rPr>
                <w:rFonts w:ascii="Arial" w:eastAsia="Arial Unicode MS" w:hAnsi="Arial" w:cs="Arial"/>
                <w:sz w:val="14"/>
                <w:szCs w:val="14"/>
                <w:lang w:val="es-MX" w:eastAsia="es-MX"/>
              </w:rPr>
            </w:pPr>
            <w:r w:rsidRPr="00A92F01">
              <w:rPr>
                <w:rFonts w:ascii="Arial" w:eastAsia="Arial Unicode MS" w:hAnsi="Arial" w:cs="Arial"/>
                <w:sz w:val="14"/>
                <w:szCs w:val="14"/>
                <w:lang w:val="es-MX" w:eastAsia="es-MX"/>
              </w:rPr>
              <w:t>Oct-14</w:t>
            </w:r>
          </w:p>
        </w:tc>
        <w:tc>
          <w:tcPr>
            <w:tcW w:w="1626" w:type="pct"/>
            <w:vAlign w:val="center"/>
            <w:hideMark/>
          </w:tcPr>
          <w:p w:rsidR="00A92F01" w:rsidRPr="00A92F01" w:rsidRDefault="00A92F01" w:rsidP="00A92F01">
            <w:pPr>
              <w:jc w:val="center"/>
              <w:rPr>
                <w:rFonts w:ascii="Arial" w:eastAsia="Arial Unicode MS" w:hAnsi="Arial" w:cs="Arial"/>
                <w:sz w:val="14"/>
                <w:szCs w:val="14"/>
                <w:lang w:val="es-MX" w:eastAsia="es-MX"/>
              </w:rPr>
            </w:pPr>
            <w:r w:rsidRPr="00A92F01">
              <w:rPr>
                <w:rFonts w:ascii="Arial" w:eastAsia="Arial Unicode MS" w:hAnsi="Arial" w:cs="Arial"/>
                <w:sz w:val="14"/>
                <w:szCs w:val="14"/>
                <w:lang w:val="es-MX" w:eastAsia="es-MX"/>
              </w:rPr>
              <w:t>0960</w:t>
            </w:r>
          </w:p>
        </w:tc>
        <w:tc>
          <w:tcPr>
            <w:tcW w:w="0" w:type="auto"/>
            <w:vAlign w:val="center"/>
            <w:hideMark/>
          </w:tcPr>
          <w:p w:rsidR="00A92F01" w:rsidRPr="00A92F01" w:rsidRDefault="00A92F01" w:rsidP="00A92F01">
            <w:pPr>
              <w:jc w:val="center"/>
              <w:rPr>
                <w:rFonts w:ascii="Arial" w:eastAsia="Arial Unicode MS" w:hAnsi="Arial" w:cs="Arial"/>
                <w:sz w:val="14"/>
                <w:szCs w:val="14"/>
                <w:lang w:val="es-MX" w:eastAsia="es-MX"/>
              </w:rPr>
            </w:pPr>
          </w:p>
        </w:tc>
        <w:tc>
          <w:tcPr>
            <w:tcW w:w="1474" w:type="pct"/>
            <w:vAlign w:val="center"/>
            <w:hideMark/>
          </w:tcPr>
          <w:p w:rsidR="00A92F01" w:rsidRPr="00A92F01" w:rsidRDefault="00A92F01" w:rsidP="00A92F01">
            <w:pPr>
              <w:jc w:val="center"/>
              <w:rPr>
                <w:rFonts w:ascii="Arial" w:eastAsia="Arial Unicode MS" w:hAnsi="Arial" w:cs="Arial"/>
                <w:sz w:val="14"/>
                <w:szCs w:val="14"/>
                <w:lang w:val="es-MX" w:eastAsia="es-MX"/>
              </w:rPr>
            </w:pPr>
            <w:r w:rsidRPr="00A92F01">
              <w:rPr>
                <w:rFonts w:ascii="Arial" w:eastAsia="Arial Unicode MS" w:hAnsi="Arial" w:cs="Arial"/>
                <w:sz w:val="14"/>
                <w:szCs w:val="14"/>
                <w:lang w:val="es-MX" w:eastAsia="es-MX"/>
              </w:rPr>
              <w:t>500</w:t>
            </w:r>
          </w:p>
        </w:tc>
      </w:tr>
      <w:tr w:rsidR="00A92F01" w:rsidRPr="00A92F01" w:rsidTr="00A92F01">
        <w:trPr>
          <w:tblCellSpacing w:w="15" w:type="dxa"/>
          <w:jc w:val="center"/>
        </w:trPr>
        <w:tc>
          <w:tcPr>
            <w:tcW w:w="0" w:type="auto"/>
            <w:vAlign w:val="center"/>
            <w:hideMark/>
          </w:tcPr>
          <w:p w:rsidR="00A92F01" w:rsidRPr="00A92F01" w:rsidRDefault="00A92F01" w:rsidP="00A92F01">
            <w:pPr>
              <w:jc w:val="center"/>
              <w:rPr>
                <w:rFonts w:ascii="Arial" w:eastAsia="Arial Unicode MS" w:hAnsi="Arial" w:cs="Arial"/>
                <w:sz w:val="14"/>
                <w:szCs w:val="14"/>
                <w:lang w:val="es-MX" w:eastAsia="es-MX"/>
              </w:rPr>
            </w:pPr>
            <w:r w:rsidRPr="00A92F01">
              <w:rPr>
                <w:rFonts w:ascii="Arial" w:eastAsia="Arial Unicode MS" w:hAnsi="Arial" w:cs="Arial"/>
                <w:sz w:val="14"/>
                <w:szCs w:val="14"/>
                <w:lang w:val="es-MX" w:eastAsia="es-MX"/>
              </w:rPr>
              <w:lastRenderedPageBreak/>
              <w:t>Feb-15</w:t>
            </w:r>
          </w:p>
        </w:tc>
        <w:tc>
          <w:tcPr>
            <w:tcW w:w="1626" w:type="pct"/>
            <w:vAlign w:val="center"/>
            <w:hideMark/>
          </w:tcPr>
          <w:p w:rsidR="00A92F01" w:rsidRPr="00A92F01" w:rsidRDefault="00A92F01" w:rsidP="00A92F01">
            <w:pPr>
              <w:jc w:val="center"/>
              <w:rPr>
                <w:rFonts w:ascii="Arial" w:eastAsia="Arial Unicode MS" w:hAnsi="Arial" w:cs="Arial"/>
                <w:sz w:val="14"/>
                <w:szCs w:val="14"/>
                <w:lang w:val="es-MX" w:eastAsia="es-MX"/>
              </w:rPr>
            </w:pPr>
            <w:r w:rsidRPr="00A92F01">
              <w:rPr>
                <w:rFonts w:ascii="Arial" w:eastAsia="Arial Unicode MS" w:hAnsi="Arial" w:cs="Arial"/>
                <w:sz w:val="14"/>
                <w:szCs w:val="14"/>
                <w:lang w:val="es-MX" w:eastAsia="es-MX"/>
              </w:rPr>
              <w:t>5969</w:t>
            </w:r>
          </w:p>
        </w:tc>
        <w:tc>
          <w:tcPr>
            <w:tcW w:w="0" w:type="auto"/>
            <w:vAlign w:val="center"/>
            <w:hideMark/>
          </w:tcPr>
          <w:p w:rsidR="00A92F01" w:rsidRPr="00A92F01" w:rsidRDefault="00A92F01" w:rsidP="00A92F01">
            <w:pPr>
              <w:jc w:val="center"/>
              <w:rPr>
                <w:rFonts w:ascii="Arial" w:eastAsia="Arial Unicode MS" w:hAnsi="Arial" w:cs="Arial"/>
                <w:sz w:val="14"/>
                <w:szCs w:val="14"/>
                <w:lang w:val="es-MX" w:eastAsia="es-MX"/>
              </w:rPr>
            </w:pPr>
          </w:p>
        </w:tc>
        <w:tc>
          <w:tcPr>
            <w:tcW w:w="1474" w:type="pct"/>
            <w:vAlign w:val="center"/>
            <w:hideMark/>
          </w:tcPr>
          <w:p w:rsidR="00A92F01" w:rsidRPr="00A92F01" w:rsidRDefault="00A92F01" w:rsidP="00A92F01">
            <w:pPr>
              <w:jc w:val="center"/>
              <w:rPr>
                <w:rFonts w:ascii="Arial" w:eastAsia="Arial Unicode MS" w:hAnsi="Arial" w:cs="Arial"/>
                <w:sz w:val="14"/>
                <w:szCs w:val="14"/>
                <w:lang w:val="es-MX" w:eastAsia="es-MX"/>
              </w:rPr>
            </w:pPr>
            <w:r w:rsidRPr="00A92F01">
              <w:rPr>
                <w:rFonts w:ascii="Arial" w:eastAsia="Arial Unicode MS" w:hAnsi="Arial" w:cs="Arial"/>
                <w:sz w:val="14"/>
                <w:szCs w:val="14"/>
                <w:lang w:val="es-MX" w:eastAsia="es-MX"/>
              </w:rPr>
              <w:t>450</w:t>
            </w:r>
          </w:p>
        </w:tc>
      </w:tr>
      <w:tr w:rsidR="00A92F01" w:rsidRPr="00A92F01" w:rsidTr="00A92F01">
        <w:trPr>
          <w:tblCellSpacing w:w="15" w:type="dxa"/>
          <w:jc w:val="center"/>
        </w:trPr>
        <w:tc>
          <w:tcPr>
            <w:tcW w:w="0" w:type="auto"/>
            <w:vAlign w:val="center"/>
            <w:hideMark/>
          </w:tcPr>
          <w:p w:rsidR="00A92F01" w:rsidRPr="00A92F01" w:rsidRDefault="00A92F01" w:rsidP="00A92F01">
            <w:pPr>
              <w:jc w:val="center"/>
              <w:rPr>
                <w:rFonts w:ascii="Arial" w:eastAsia="Arial Unicode MS" w:hAnsi="Arial" w:cs="Arial"/>
                <w:b/>
                <w:bCs/>
                <w:sz w:val="14"/>
                <w:szCs w:val="14"/>
                <w:lang w:val="es-MX" w:eastAsia="es-MX"/>
              </w:rPr>
            </w:pPr>
            <w:r w:rsidRPr="00A92F01">
              <w:rPr>
                <w:rFonts w:ascii="Arial" w:eastAsia="Arial Unicode MS" w:hAnsi="Arial" w:cs="Arial"/>
                <w:b/>
                <w:bCs/>
                <w:sz w:val="14"/>
                <w:szCs w:val="14"/>
                <w:lang w:val="es-MX" w:eastAsia="es-MX"/>
              </w:rPr>
              <w:t>Total</w:t>
            </w:r>
          </w:p>
        </w:tc>
        <w:tc>
          <w:tcPr>
            <w:tcW w:w="1626" w:type="pct"/>
            <w:vAlign w:val="center"/>
            <w:hideMark/>
          </w:tcPr>
          <w:p w:rsidR="00A92F01" w:rsidRPr="00A92F01" w:rsidRDefault="00A92F01" w:rsidP="00A92F01">
            <w:pPr>
              <w:jc w:val="center"/>
              <w:rPr>
                <w:rFonts w:ascii="Arial" w:eastAsia="Arial Unicode MS" w:hAnsi="Arial" w:cs="Arial"/>
                <w:b/>
                <w:bCs/>
                <w:sz w:val="14"/>
                <w:szCs w:val="14"/>
                <w:lang w:val="es-MX" w:eastAsia="es-MX"/>
              </w:rPr>
            </w:pPr>
          </w:p>
        </w:tc>
        <w:tc>
          <w:tcPr>
            <w:tcW w:w="0" w:type="auto"/>
            <w:vAlign w:val="center"/>
            <w:hideMark/>
          </w:tcPr>
          <w:p w:rsidR="00A92F01" w:rsidRPr="00A92F01" w:rsidRDefault="00A92F01" w:rsidP="00A92F01">
            <w:pPr>
              <w:jc w:val="center"/>
              <w:rPr>
                <w:rFonts w:ascii="Arial" w:eastAsia="Arial Unicode MS" w:hAnsi="Arial" w:cs="Arial"/>
                <w:b/>
                <w:bCs/>
                <w:sz w:val="14"/>
                <w:szCs w:val="14"/>
                <w:lang w:val="es-MX" w:eastAsia="es-MX"/>
              </w:rPr>
            </w:pPr>
            <w:r w:rsidRPr="00A92F01">
              <w:rPr>
                <w:rFonts w:ascii="Arial" w:eastAsia="Arial Unicode MS" w:hAnsi="Arial" w:cs="Arial"/>
                <w:b/>
                <w:bCs/>
                <w:sz w:val="14"/>
                <w:szCs w:val="14"/>
                <w:lang w:val="es-MX" w:eastAsia="es-MX"/>
              </w:rPr>
              <w:t>$</w:t>
            </w:r>
          </w:p>
        </w:tc>
        <w:tc>
          <w:tcPr>
            <w:tcW w:w="1474" w:type="pct"/>
            <w:vAlign w:val="center"/>
            <w:hideMark/>
          </w:tcPr>
          <w:p w:rsidR="00A92F01" w:rsidRPr="00A92F01" w:rsidRDefault="00A92F01" w:rsidP="00A92F01">
            <w:pPr>
              <w:jc w:val="center"/>
              <w:rPr>
                <w:rFonts w:ascii="Arial" w:eastAsia="Arial Unicode MS" w:hAnsi="Arial" w:cs="Arial"/>
                <w:b/>
                <w:bCs/>
                <w:sz w:val="14"/>
                <w:szCs w:val="14"/>
                <w:lang w:val="es-MX" w:eastAsia="es-MX"/>
              </w:rPr>
            </w:pPr>
            <w:r w:rsidRPr="00A92F01">
              <w:rPr>
                <w:rFonts w:ascii="Arial" w:eastAsia="Arial Unicode MS" w:hAnsi="Arial" w:cs="Arial"/>
                <w:b/>
                <w:bCs/>
                <w:sz w:val="14"/>
                <w:szCs w:val="14"/>
                <w:lang w:val="es-MX" w:eastAsia="es-MX"/>
              </w:rPr>
              <w:t>11,410</w:t>
            </w:r>
          </w:p>
        </w:tc>
      </w:tr>
    </w:tbl>
    <w:p w:rsidR="00A92F01" w:rsidRPr="00A92F01" w:rsidRDefault="00A92F01" w:rsidP="00374B6D">
      <w:pPr>
        <w:spacing w:after="0" w:line="360" w:lineRule="auto"/>
        <w:contextualSpacing/>
        <w:jc w:val="both"/>
        <w:rPr>
          <w:rFonts w:ascii="Arial" w:hAnsi="Arial" w:cs="Arial"/>
          <w:sz w:val="24"/>
        </w:rPr>
      </w:pPr>
      <w:r>
        <w:rPr>
          <w:rFonts w:ascii="Arial" w:hAnsi="Arial" w:cs="Arial"/>
          <w:sz w:val="24"/>
        </w:rPr>
        <w:t xml:space="preserve"> </w:t>
      </w:r>
      <w:r>
        <w:rPr>
          <w:rFonts w:ascii="Arial" w:hAnsi="Arial" w:cs="Arial"/>
          <w:sz w:val="24"/>
        </w:rPr>
        <w:tab/>
      </w:r>
    </w:p>
    <w:p w:rsidR="00374B6D" w:rsidRPr="00A92F01" w:rsidRDefault="00A92F01" w:rsidP="00374B6D">
      <w:pPr>
        <w:spacing w:after="0" w:line="360" w:lineRule="auto"/>
        <w:contextualSpacing/>
        <w:jc w:val="both"/>
        <w:rPr>
          <w:rFonts w:ascii="Arial" w:hAnsi="Arial" w:cs="Arial"/>
          <w:sz w:val="24"/>
        </w:rPr>
      </w:pPr>
      <w:r w:rsidRPr="00A92F01">
        <w:rPr>
          <w:rFonts w:ascii="Arial" w:hAnsi="Arial" w:cs="Arial"/>
          <w:sz w:val="24"/>
        </w:rPr>
        <w:t>El Ente Público no mostró ni proporcionó evidencia de las gestiones de recuperación de saldo.</w:t>
      </w:r>
    </w:p>
    <w:p w:rsidR="00374B6D" w:rsidRDefault="00374B6D" w:rsidP="00374B6D">
      <w:pPr>
        <w:spacing w:after="0" w:line="360" w:lineRule="auto"/>
        <w:contextualSpacing/>
        <w:jc w:val="both"/>
        <w:rPr>
          <w:rFonts w:ascii="Arial" w:hAnsi="Arial" w:cs="Arial"/>
          <w:b/>
          <w:sz w:val="24"/>
          <w:u w:val="single"/>
        </w:rPr>
      </w:pPr>
    </w:p>
    <w:p w:rsidR="00A92F01" w:rsidRPr="00A92F01" w:rsidRDefault="00A92F01" w:rsidP="00A92F01">
      <w:pPr>
        <w:spacing w:after="0" w:line="360" w:lineRule="auto"/>
        <w:contextualSpacing/>
        <w:jc w:val="both"/>
        <w:rPr>
          <w:rFonts w:ascii="Arial" w:hAnsi="Arial" w:cs="Arial"/>
          <w:b/>
          <w:sz w:val="24"/>
        </w:rPr>
      </w:pPr>
      <w:r w:rsidRPr="00A92F01">
        <w:rPr>
          <w:rFonts w:ascii="Arial" w:hAnsi="Arial" w:cs="Arial"/>
          <w:b/>
          <w:sz w:val="24"/>
        </w:rPr>
        <w:t>Análisis de la Auditoría Superior del Estado</w:t>
      </w:r>
    </w:p>
    <w:p w:rsidR="00A92F01" w:rsidRDefault="00A92F01" w:rsidP="00A92F01">
      <w:pPr>
        <w:spacing w:after="0" w:line="360" w:lineRule="auto"/>
        <w:contextualSpacing/>
        <w:jc w:val="both"/>
        <w:rPr>
          <w:rFonts w:ascii="Arial" w:hAnsi="Arial" w:cs="Arial"/>
          <w:sz w:val="24"/>
        </w:rPr>
      </w:pPr>
    </w:p>
    <w:p w:rsidR="00A92F01" w:rsidRPr="00A92F01" w:rsidRDefault="00A92F01" w:rsidP="00A92F01">
      <w:pPr>
        <w:spacing w:after="0" w:line="360" w:lineRule="auto"/>
        <w:contextualSpacing/>
        <w:jc w:val="both"/>
        <w:rPr>
          <w:rFonts w:ascii="Arial" w:hAnsi="Arial" w:cs="Arial"/>
          <w:sz w:val="24"/>
        </w:rPr>
      </w:pPr>
      <w:r w:rsidRPr="00A92F01">
        <w:rPr>
          <w:rFonts w:ascii="Arial" w:hAnsi="Arial" w:cs="Arial"/>
          <w:sz w:val="24"/>
        </w:rPr>
        <w:t xml:space="preserve">Derivado del análisis de la respuesta y documentación presentada por el Titular y Extitular del Ente Público, </w:t>
      </w:r>
      <w:r>
        <w:rPr>
          <w:rFonts w:ascii="Arial" w:hAnsi="Arial" w:cs="Arial"/>
          <w:sz w:val="24"/>
        </w:rPr>
        <w:t>la Auditoría determinó que esta observación se solventó</w:t>
      </w:r>
      <w:r w:rsidRPr="00A92F01">
        <w:rPr>
          <w:rFonts w:ascii="Arial" w:hAnsi="Arial" w:cs="Arial"/>
          <w:sz w:val="24"/>
        </w:rPr>
        <w:t xml:space="preserve"> parcialmente, toda vez que si bien</w:t>
      </w:r>
      <w:r>
        <w:rPr>
          <w:rFonts w:ascii="Arial" w:hAnsi="Arial" w:cs="Arial"/>
          <w:sz w:val="24"/>
        </w:rPr>
        <w:t xml:space="preserve"> el Ente proporcionó la</w:t>
      </w:r>
      <w:r w:rsidRPr="00A92F01">
        <w:rPr>
          <w:rFonts w:ascii="Arial" w:hAnsi="Arial" w:cs="Arial"/>
          <w:sz w:val="24"/>
        </w:rPr>
        <w:t xml:space="preserve"> evidencia de la recuperación y cancelación del saldo de dos deudores por un i</w:t>
      </w:r>
      <w:r>
        <w:rPr>
          <w:rFonts w:ascii="Arial" w:hAnsi="Arial" w:cs="Arial"/>
          <w:sz w:val="24"/>
        </w:rPr>
        <w:t>mporte total de $950, no mostrando la</w:t>
      </w:r>
      <w:r w:rsidRPr="00A92F01">
        <w:rPr>
          <w:rFonts w:ascii="Arial" w:hAnsi="Arial" w:cs="Arial"/>
          <w:sz w:val="24"/>
        </w:rPr>
        <w:t xml:space="preserve"> evidencia documental de los descuentos vía nómina a dos ex alumnos quienes actualmente laboran en el Ente Público, ni las gestiones realizadas para la recuperación total del saldo.</w:t>
      </w:r>
    </w:p>
    <w:p w:rsidR="00A92F01" w:rsidRPr="00A92F01" w:rsidRDefault="00A92F01" w:rsidP="00A92F01">
      <w:pPr>
        <w:spacing w:after="0" w:line="360" w:lineRule="auto"/>
        <w:contextualSpacing/>
        <w:jc w:val="both"/>
        <w:rPr>
          <w:rFonts w:ascii="Arial" w:hAnsi="Arial" w:cs="Arial"/>
          <w:sz w:val="24"/>
        </w:rPr>
      </w:pPr>
    </w:p>
    <w:p w:rsidR="00A92F01" w:rsidRPr="00A92F01" w:rsidRDefault="00A92F01" w:rsidP="00A92F01">
      <w:pPr>
        <w:spacing w:after="0" w:line="360" w:lineRule="auto"/>
        <w:contextualSpacing/>
        <w:jc w:val="both"/>
        <w:rPr>
          <w:rFonts w:ascii="Arial" w:hAnsi="Arial" w:cs="Arial"/>
          <w:b/>
          <w:sz w:val="24"/>
        </w:rPr>
      </w:pPr>
      <w:r w:rsidRPr="00A92F01">
        <w:rPr>
          <w:rFonts w:ascii="Arial" w:hAnsi="Arial" w:cs="Arial"/>
          <w:b/>
          <w:sz w:val="24"/>
        </w:rPr>
        <w:t>Acción(es) o recomendación(es) emitida(s)</w:t>
      </w:r>
    </w:p>
    <w:p w:rsidR="00A92F01" w:rsidRPr="00A92F01" w:rsidRDefault="00A92F01" w:rsidP="00A92F01">
      <w:pPr>
        <w:spacing w:after="0" w:line="360" w:lineRule="auto"/>
        <w:contextualSpacing/>
        <w:jc w:val="both"/>
        <w:rPr>
          <w:rFonts w:ascii="Arial" w:hAnsi="Arial" w:cs="Arial"/>
          <w:i/>
          <w:sz w:val="24"/>
        </w:rPr>
      </w:pPr>
      <w:r w:rsidRPr="00A92F01">
        <w:rPr>
          <w:rFonts w:ascii="Arial" w:hAnsi="Arial" w:cs="Arial"/>
          <w:i/>
          <w:sz w:val="24"/>
        </w:rPr>
        <w:t>Recomendaciones en Relación a la Gestión o Control Interno.</w:t>
      </w:r>
    </w:p>
    <w:p w:rsidR="00A92F01" w:rsidRDefault="00A92F01" w:rsidP="00A92F01">
      <w:pPr>
        <w:spacing w:after="0" w:line="360" w:lineRule="auto"/>
        <w:contextualSpacing/>
        <w:jc w:val="both"/>
        <w:rPr>
          <w:rFonts w:ascii="Arial" w:hAnsi="Arial" w:cs="Arial"/>
          <w:sz w:val="24"/>
        </w:rPr>
      </w:pPr>
    </w:p>
    <w:p w:rsidR="00A92F01" w:rsidRPr="00A92F01" w:rsidRDefault="00A92F01" w:rsidP="00A92F01">
      <w:pPr>
        <w:spacing w:after="0" w:line="360" w:lineRule="auto"/>
        <w:contextualSpacing/>
        <w:jc w:val="both"/>
        <w:rPr>
          <w:rFonts w:ascii="Arial" w:hAnsi="Arial" w:cs="Arial"/>
          <w:sz w:val="24"/>
        </w:rPr>
      </w:pPr>
      <w:r w:rsidRPr="00A92F01">
        <w:rPr>
          <w:rFonts w:ascii="Arial" w:hAnsi="Arial" w:cs="Arial"/>
          <w:sz w:val="24"/>
        </w:rPr>
        <w:t>Establecer e implementar mecanismos que garanticen la recuperación de los adeudos, cuidando el contar con el soporte documental de dichas acciones.</w:t>
      </w:r>
    </w:p>
    <w:p w:rsidR="00A92F01" w:rsidRPr="00A92F01" w:rsidRDefault="00A92F01" w:rsidP="00374B6D">
      <w:pPr>
        <w:spacing w:after="0" w:line="360" w:lineRule="auto"/>
        <w:contextualSpacing/>
        <w:jc w:val="both"/>
        <w:rPr>
          <w:rFonts w:ascii="Arial" w:hAnsi="Arial" w:cs="Arial"/>
          <w:sz w:val="24"/>
        </w:rPr>
      </w:pPr>
    </w:p>
    <w:p w:rsidR="00374B6D" w:rsidRDefault="00A92F01" w:rsidP="00374B6D">
      <w:pPr>
        <w:spacing w:after="0" w:line="360" w:lineRule="auto"/>
        <w:contextualSpacing/>
        <w:jc w:val="both"/>
        <w:rPr>
          <w:rFonts w:ascii="Arial" w:hAnsi="Arial" w:cs="Arial"/>
          <w:b/>
          <w:sz w:val="24"/>
          <w:u w:val="single"/>
        </w:rPr>
      </w:pPr>
      <w:r w:rsidRPr="00A92F01">
        <w:rPr>
          <w:rFonts w:ascii="Arial" w:hAnsi="Arial" w:cs="Arial"/>
          <w:b/>
          <w:sz w:val="24"/>
          <w:u w:val="single"/>
        </w:rPr>
        <w:t>Cuentas por cobrar a corto plazo</w:t>
      </w:r>
    </w:p>
    <w:p w:rsidR="00A92F01" w:rsidRDefault="00A92F01" w:rsidP="00374B6D">
      <w:pPr>
        <w:spacing w:after="0" w:line="360" w:lineRule="auto"/>
        <w:contextualSpacing/>
        <w:jc w:val="both"/>
        <w:rPr>
          <w:rFonts w:ascii="Arial" w:hAnsi="Arial" w:cs="Arial"/>
          <w:b/>
          <w:sz w:val="24"/>
          <w:u w:val="single"/>
        </w:rPr>
      </w:pPr>
    </w:p>
    <w:p w:rsidR="00A92F01" w:rsidRDefault="00A92F01" w:rsidP="00374B6D">
      <w:pPr>
        <w:spacing w:after="0" w:line="360" w:lineRule="auto"/>
        <w:contextualSpacing/>
        <w:jc w:val="both"/>
        <w:rPr>
          <w:rFonts w:ascii="Arial" w:hAnsi="Arial" w:cs="Arial"/>
          <w:sz w:val="24"/>
        </w:rPr>
      </w:pPr>
      <w:r>
        <w:rPr>
          <w:rFonts w:ascii="Arial" w:hAnsi="Arial" w:cs="Arial"/>
          <w:sz w:val="24"/>
        </w:rPr>
        <w:lastRenderedPageBreak/>
        <w:t xml:space="preserve">5. </w:t>
      </w:r>
      <w:r w:rsidRPr="00A92F01">
        <w:rPr>
          <w:rFonts w:ascii="Arial" w:hAnsi="Arial" w:cs="Arial"/>
          <w:sz w:val="24"/>
        </w:rPr>
        <w:t xml:space="preserve">No se proporcionó ni fue exhibida por el Ente Público evidencia de la estimación de cuentas de difícil cobro </w:t>
      </w:r>
      <w:proofErr w:type="spellStart"/>
      <w:r w:rsidRPr="00A92F01">
        <w:rPr>
          <w:rFonts w:ascii="Arial" w:hAnsi="Arial" w:cs="Arial"/>
          <w:sz w:val="24"/>
        </w:rPr>
        <w:t>ó</w:t>
      </w:r>
      <w:proofErr w:type="spellEnd"/>
      <w:r w:rsidRPr="00A92F01">
        <w:rPr>
          <w:rFonts w:ascii="Arial" w:hAnsi="Arial" w:cs="Arial"/>
          <w:sz w:val="24"/>
        </w:rPr>
        <w:t xml:space="preserve"> incobrables, incumpliendo con lo establecido en las Reglas específicas del registro y valoración del patrimonio (inciso B - punto 5 - Estimación para cuentas incobrables), estableciendo su observancia obligatoria, de conformidad con el artículo 7 de la Ley General de Contabilidad Gubernamental.</w:t>
      </w:r>
    </w:p>
    <w:p w:rsidR="00A92F01" w:rsidRDefault="00A92F01" w:rsidP="00374B6D">
      <w:pPr>
        <w:spacing w:after="0" w:line="360" w:lineRule="auto"/>
        <w:contextualSpacing/>
        <w:jc w:val="both"/>
        <w:rPr>
          <w:rFonts w:ascii="Arial" w:hAnsi="Arial" w:cs="Arial"/>
          <w:sz w:val="24"/>
        </w:rPr>
      </w:pPr>
    </w:p>
    <w:p w:rsidR="00A92F01" w:rsidRPr="00A92F01" w:rsidRDefault="00A92F01" w:rsidP="00A92F01">
      <w:pPr>
        <w:spacing w:after="0" w:line="360" w:lineRule="auto"/>
        <w:contextualSpacing/>
        <w:jc w:val="both"/>
        <w:rPr>
          <w:rFonts w:ascii="Arial" w:hAnsi="Arial" w:cs="Arial"/>
          <w:b/>
          <w:sz w:val="24"/>
        </w:rPr>
      </w:pPr>
      <w:r w:rsidRPr="00A92F01">
        <w:rPr>
          <w:rFonts w:ascii="Arial" w:hAnsi="Arial" w:cs="Arial"/>
          <w:b/>
          <w:sz w:val="24"/>
        </w:rPr>
        <w:t>Análisis de la Auditoría Superior del Estado</w:t>
      </w:r>
    </w:p>
    <w:p w:rsidR="00A92F01" w:rsidRDefault="00A92F01" w:rsidP="00A92F01">
      <w:pPr>
        <w:spacing w:after="0" w:line="360" w:lineRule="auto"/>
        <w:contextualSpacing/>
        <w:jc w:val="both"/>
        <w:rPr>
          <w:rFonts w:ascii="Arial" w:hAnsi="Arial" w:cs="Arial"/>
          <w:sz w:val="24"/>
        </w:rPr>
      </w:pPr>
    </w:p>
    <w:p w:rsidR="00A92F01" w:rsidRPr="00A92F01" w:rsidRDefault="00A92F01" w:rsidP="00A92F01">
      <w:pPr>
        <w:spacing w:after="0" w:line="360" w:lineRule="auto"/>
        <w:contextualSpacing/>
        <w:jc w:val="both"/>
        <w:rPr>
          <w:rFonts w:ascii="Arial" w:hAnsi="Arial" w:cs="Arial"/>
          <w:sz w:val="24"/>
        </w:rPr>
      </w:pPr>
      <w:r w:rsidRPr="00A92F01">
        <w:rPr>
          <w:rFonts w:ascii="Arial" w:hAnsi="Arial" w:cs="Arial"/>
          <w:sz w:val="24"/>
        </w:rPr>
        <w:t>Derivada de la respuesta y evidencia presentada por el Titular y Extitular del Ente Público</w:t>
      </w:r>
      <w:r>
        <w:rPr>
          <w:rFonts w:ascii="Arial" w:hAnsi="Arial" w:cs="Arial"/>
          <w:sz w:val="24"/>
        </w:rPr>
        <w:t>, la Auditoría determinó que esta observación se solventó</w:t>
      </w:r>
      <w:r w:rsidRPr="00A92F01">
        <w:rPr>
          <w:rFonts w:ascii="Arial" w:hAnsi="Arial" w:cs="Arial"/>
          <w:sz w:val="24"/>
        </w:rPr>
        <w:t xml:space="preserve"> </w:t>
      </w:r>
      <w:r>
        <w:rPr>
          <w:rFonts w:ascii="Arial" w:hAnsi="Arial" w:cs="Arial"/>
          <w:sz w:val="24"/>
        </w:rPr>
        <w:t>parcialmente, ya que si bien el Ente proporcionó</w:t>
      </w:r>
      <w:r w:rsidRPr="00A92F01">
        <w:rPr>
          <w:rFonts w:ascii="Arial" w:hAnsi="Arial" w:cs="Arial"/>
          <w:sz w:val="24"/>
        </w:rPr>
        <w:t xml:space="preserve"> una estimación de cuentas incobrables, ésta incumple con las Reglas específicas del registro y valoración del patrimonio debido a que éstas mencionan que "el procedimiento para efectuar la estimación de cuentas de difícil cobro </w:t>
      </w:r>
      <w:proofErr w:type="spellStart"/>
      <w:r w:rsidRPr="00A92F01">
        <w:rPr>
          <w:rFonts w:ascii="Arial" w:hAnsi="Arial" w:cs="Arial"/>
          <w:sz w:val="24"/>
        </w:rPr>
        <w:t>ó</w:t>
      </w:r>
      <w:proofErr w:type="spellEnd"/>
      <w:r w:rsidRPr="00A92F01">
        <w:rPr>
          <w:rFonts w:ascii="Arial" w:hAnsi="Arial" w:cs="Arial"/>
          <w:sz w:val="24"/>
        </w:rPr>
        <w:t xml:space="preserve"> incobrables es el siguiente:</w:t>
      </w:r>
    </w:p>
    <w:p w:rsidR="00A92F01" w:rsidRPr="00A92F01" w:rsidRDefault="00A92F01" w:rsidP="00A92F01">
      <w:pPr>
        <w:spacing w:after="0" w:line="360" w:lineRule="auto"/>
        <w:contextualSpacing/>
        <w:jc w:val="both"/>
        <w:rPr>
          <w:rFonts w:ascii="Arial" w:hAnsi="Arial" w:cs="Arial"/>
          <w:sz w:val="24"/>
        </w:rPr>
      </w:pPr>
    </w:p>
    <w:p w:rsidR="00A92F01" w:rsidRPr="00A92F01" w:rsidRDefault="00A92F01" w:rsidP="00A92F01">
      <w:pPr>
        <w:spacing w:after="0" w:line="360" w:lineRule="auto"/>
        <w:contextualSpacing/>
        <w:jc w:val="both"/>
        <w:rPr>
          <w:rFonts w:ascii="Arial" w:hAnsi="Arial" w:cs="Arial"/>
          <w:sz w:val="24"/>
        </w:rPr>
      </w:pPr>
      <w:r w:rsidRPr="00A92F01">
        <w:rPr>
          <w:rFonts w:ascii="Arial" w:hAnsi="Arial" w:cs="Arial"/>
          <w:sz w:val="24"/>
        </w:rPr>
        <w:t>El ente público, de acuerdo con estudios o conforme a su experiencia determinará la base más adecuada para realizar los incrementos</w:t>
      </w:r>
      <w:r w:rsidR="00CA530F">
        <w:rPr>
          <w:rFonts w:ascii="Arial" w:hAnsi="Arial" w:cs="Arial"/>
          <w:sz w:val="24"/>
        </w:rPr>
        <w:t xml:space="preserve"> </w:t>
      </w:r>
      <w:r w:rsidRPr="00A92F01">
        <w:rPr>
          <w:rFonts w:ascii="Arial" w:hAnsi="Arial" w:cs="Arial"/>
          <w:sz w:val="24"/>
        </w:rPr>
        <w:t>mensuales a una cuenta complementaria de activo de naturaleza acreedora, afectando a los resultados del ejercicio en que se generen.</w:t>
      </w:r>
    </w:p>
    <w:p w:rsidR="00A92F01" w:rsidRPr="00A92F01" w:rsidRDefault="00A92F01" w:rsidP="00A92F01">
      <w:pPr>
        <w:spacing w:after="0" w:line="360" w:lineRule="auto"/>
        <w:contextualSpacing/>
        <w:jc w:val="both"/>
        <w:rPr>
          <w:rFonts w:ascii="Arial" w:hAnsi="Arial" w:cs="Arial"/>
          <w:sz w:val="24"/>
        </w:rPr>
      </w:pPr>
    </w:p>
    <w:p w:rsidR="00A92F01" w:rsidRPr="00A92F01" w:rsidRDefault="00A92F01" w:rsidP="00A92F01">
      <w:pPr>
        <w:spacing w:after="0" w:line="360" w:lineRule="auto"/>
        <w:contextualSpacing/>
        <w:jc w:val="both"/>
        <w:rPr>
          <w:rFonts w:ascii="Arial" w:hAnsi="Arial" w:cs="Arial"/>
          <w:sz w:val="24"/>
        </w:rPr>
      </w:pPr>
      <w:r w:rsidRPr="00A92F01">
        <w:rPr>
          <w:rFonts w:ascii="Arial" w:hAnsi="Arial" w:cs="Arial"/>
          <w:sz w:val="24"/>
        </w:rPr>
        <w:t>El ente público al cierre del ejercicio analizará las cuentas por cobrar y procederá a identificar y relacionar aquellas con características de incobrabilidad las cuales deberán ser aprobadas por la autoridad correspondiente."</w:t>
      </w:r>
    </w:p>
    <w:p w:rsidR="00A92F01" w:rsidRPr="00CA530F" w:rsidRDefault="00A92F01" w:rsidP="00A92F01">
      <w:pPr>
        <w:spacing w:after="0" w:line="360" w:lineRule="auto"/>
        <w:contextualSpacing/>
        <w:jc w:val="both"/>
        <w:rPr>
          <w:rFonts w:ascii="Arial" w:hAnsi="Arial" w:cs="Arial"/>
          <w:b/>
          <w:sz w:val="24"/>
        </w:rPr>
      </w:pPr>
    </w:p>
    <w:p w:rsidR="00A92F01" w:rsidRPr="00CA530F" w:rsidRDefault="00A92F01" w:rsidP="00A92F01">
      <w:pPr>
        <w:spacing w:after="0" w:line="360" w:lineRule="auto"/>
        <w:contextualSpacing/>
        <w:jc w:val="both"/>
        <w:rPr>
          <w:rFonts w:ascii="Arial" w:hAnsi="Arial" w:cs="Arial"/>
          <w:b/>
          <w:sz w:val="24"/>
        </w:rPr>
      </w:pPr>
      <w:r w:rsidRPr="00CA530F">
        <w:rPr>
          <w:rFonts w:ascii="Arial" w:hAnsi="Arial" w:cs="Arial"/>
          <w:b/>
          <w:sz w:val="24"/>
        </w:rPr>
        <w:t>Acción(es) o recomendación(es) emitida(s)</w:t>
      </w:r>
    </w:p>
    <w:p w:rsidR="00A92F01" w:rsidRPr="00CA530F" w:rsidRDefault="00A92F01" w:rsidP="00A92F01">
      <w:pPr>
        <w:spacing w:after="0" w:line="360" w:lineRule="auto"/>
        <w:contextualSpacing/>
        <w:jc w:val="both"/>
        <w:rPr>
          <w:rFonts w:ascii="Arial" w:hAnsi="Arial" w:cs="Arial"/>
          <w:i/>
          <w:sz w:val="24"/>
        </w:rPr>
      </w:pPr>
      <w:r w:rsidRPr="00CA530F">
        <w:rPr>
          <w:rFonts w:ascii="Arial" w:hAnsi="Arial" w:cs="Arial"/>
          <w:i/>
          <w:sz w:val="24"/>
        </w:rPr>
        <w:t>Promoción de Fincamiento de Responsabilidad Administrativa.</w:t>
      </w:r>
    </w:p>
    <w:p w:rsidR="00A92F01" w:rsidRDefault="00A92F01" w:rsidP="00374B6D">
      <w:pPr>
        <w:spacing w:after="0" w:line="360" w:lineRule="auto"/>
        <w:contextualSpacing/>
        <w:jc w:val="both"/>
        <w:rPr>
          <w:rFonts w:ascii="Arial" w:hAnsi="Arial" w:cs="Arial"/>
          <w:sz w:val="24"/>
        </w:rPr>
      </w:pPr>
    </w:p>
    <w:p w:rsidR="00CA530F" w:rsidRDefault="00CA530F" w:rsidP="00374B6D">
      <w:pPr>
        <w:spacing w:after="0" w:line="360" w:lineRule="auto"/>
        <w:contextualSpacing/>
        <w:jc w:val="both"/>
        <w:rPr>
          <w:rFonts w:ascii="Arial" w:hAnsi="Arial" w:cs="Arial"/>
          <w:sz w:val="24"/>
        </w:rPr>
      </w:pPr>
      <w:r>
        <w:rPr>
          <w:rFonts w:ascii="Arial" w:hAnsi="Arial" w:cs="Arial"/>
          <w:sz w:val="24"/>
        </w:rPr>
        <w:t xml:space="preserve">6. </w:t>
      </w:r>
      <w:r w:rsidRPr="00CA530F">
        <w:rPr>
          <w:rFonts w:ascii="Arial" w:hAnsi="Arial" w:cs="Arial"/>
          <w:sz w:val="24"/>
        </w:rPr>
        <w:t>El Ente Público no ha realizado gestiones para recuperar los depósitos en garantía por importe total de $64,800, toda vez que el proceso que los originó ya fue concluido. Se integra como sigue:</w:t>
      </w:r>
    </w:p>
    <w:p w:rsidR="00CA530F" w:rsidRDefault="00CA530F" w:rsidP="00374B6D">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4"/>
        <w:gridCol w:w="5165"/>
        <w:gridCol w:w="651"/>
        <w:gridCol w:w="177"/>
        <w:gridCol w:w="648"/>
      </w:tblGrid>
      <w:tr w:rsidR="00CA530F" w:rsidRPr="00CA530F" w:rsidTr="00CA530F">
        <w:trPr>
          <w:tblHeader/>
          <w:tblCellSpacing w:w="15" w:type="dxa"/>
          <w:jc w:val="center"/>
        </w:trPr>
        <w:tc>
          <w:tcPr>
            <w:tcW w:w="0" w:type="auto"/>
            <w:shd w:val="clear" w:color="auto" w:fill="BFBFBF" w:themeFill="background1" w:themeFillShade="BF"/>
            <w:vAlign w:val="center"/>
            <w:hideMark/>
          </w:tcPr>
          <w:p w:rsidR="00CA530F" w:rsidRPr="00CA530F" w:rsidRDefault="00CA530F" w:rsidP="00CA530F">
            <w:pPr>
              <w:jc w:val="center"/>
              <w:rPr>
                <w:rFonts w:ascii="Arial" w:hAnsi="Arial" w:cs="Arial"/>
                <w:sz w:val="14"/>
                <w:szCs w:val="14"/>
                <w:u w:val="single"/>
                <w:lang w:val="es-MX" w:eastAsia="es-MX"/>
              </w:rPr>
            </w:pPr>
            <w:r w:rsidRPr="00CA530F">
              <w:rPr>
                <w:rFonts w:ascii="Arial" w:hAnsi="Arial" w:cs="Arial"/>
                <w:sz w:val="14"/>
                <w:szCs w:val="14"/>
                <w:u w:val="single"/>
                <w:lang w:val="es-MX" w:eastAsia="es-MX"/>
              </w:rPr>
              <w:t>Fecha</w:t>
            </w:r>
          </w:p>
        </w:tc>
        <w:tc>
          <w:tcPr>
            <w:tcW w:w="0" w:type="auto"/>
            <w:shd w:val="clear" w:color="auto" w:fill="BFBFBF" w:themeFill="background1" w:themeFillShade="BF"/>
            <w:vAlign w:val="center"/>
            <w:hideMark/>
          </w:tcPr>
          <w:p w:rsidR="00CA530F" w:rsidRPr="00CA530F" w:rsidRDefault="00CA530F" w:rsidP="00CA530F">
            <w:pPr>
              <w:jc w:val="center"/>
              <w:rPr>
                <w:rFonts w:ascii="Arial" w:hAnsi="Arial" w:cs="Arial"/>
                <w:sz w:val="14"/>
                <w:szCs w:val="14"/>
                <w:u w:val="single"/>
                <w:lang w:val="es-MX" w:eastAsia="es-MX"/>
              </w:rPr>
            </w:pPr>
            <w:r w:rsidRPr="00CA530F">
              <w:rPr>
                <w:rFonts w:ascii="Arial" w:hAnsi="Arial" w:cs="Arial"/>
                <w:sz w:val="14"/>
                <w:szCs w:val="14"/>
                <w:u w:val="single"/>
                <w:lang w:val="es-MX" w:eastAsia="es-MX"/>
              </w:rPr>
              <w:t>Beneficiario</w:t>
            </w:r>
          </w:p>
        </w:tc>
        <w:tc>
          <w:tcPr>
            <w:tcW w:w="0" w:type="auto"/>
            <w:shd w:val="clear" w:color="auto" w:fill="BFBFBF" w:themeFill="background1" w:themeFillShade="BF"/>
            <w:vAlign w:val="center"/>
            <w:hideMark/>
          </w:tcPr>
          <w:p w:rsidR="00CA530F" w:rsidRPr="00CA530F" w:rsidRDefault="00CA530F" w:rsidP="00CA530F">
            <w:pPr>
              <w:jc w:val="center"/>
              <w:rPr>
                <w:rFonts w:ascii="Arial" w:hAnsi="Arial" w:cs="Arial"/>
                <w:sz w:val="14"/>
                <w:szCs w:val="14"/>
                <w:u w:val="single"/>
                <w:lang w:val="es-MX" w:eastAsia="es-MX"/>
              </w:rPr>
            </w:pPr>
            <w:r w:rsidRPr="00CA530F">
              <w:rPr>
                <w:rFonts w:ascii="Arial" w:hAnsi="Arial" w:cs="Arial"/>
                <w:sz w:val="14"/>
                <w:szCs w:val="14"/>
                <w:u w:val="single"/>
                <w:lang w:val="es-MX" w:eastAsia="es-MX"/>
              </w:rPr>
              <w:t>Cheque</w:t>
            </w:r>
          </w:p>
        </w:tc>
        <w:tc>
          <w:tcPr>
            <w:tcW w:w="0" w:type="auto"/>
            <w:shd w:val="clear" w:color="auto" w:fill="BFBFBF" w:themeFill="background1" w:themeFillShade="BF"/>
            <w:vAlign w:val="center"/>
            <w:hideMark/>
          </w:tcPr>
          <w:p w:rsidR="00CA530F" w:rsidRPr="00CA530F" w:rsidRDefault="00CA530F" w:rsidP="00CA530F">
            <w:pPr>
              <w:jc w:val="center"/>
              <w:rPr>
                <w:rFonts w:ascii="Arial" w:hAnsi="Arial" w:cs="Arial"/>
                <w:sz w:val="14"/>
                <w:szCs w:val="14"/>
                <w:u w:val="single"/>
                <w:lang w:val="es-MX" w:eastAsia="es-MX"/>
              </w:rPr>
            </w:pPr>
          </w:p>
        </w:tc>
        <w:tc>
          <w:tcPr>
            <w:tcW w:w="0" w:type="auto"/>
            <w:shd w:val="clear" w:color="auto" w:fill="BFBFBF" w:themeFill="background1" w:themeFillShade="BF"/>
            <w:vAlign w:val="center"/>
            <w:hideMark/>
          </w:tcPr>
          <w:p w:rsidR="00CA530F" w:rsidRPr="00CA530F" w:rsidRDefault="00CA530F" w:rsidP="00CA530F">
            <w:pPr>
              <w:jc w:val="center"/>
              <w:rPr>
                <w:rFonts w:ascii="Arial" w:hAnsi="Arial" w:cs="Arial"/>
                <w:sz w:val="14"/>
                <w:szCs w:val="14"/>
                <w:u w:val="single"/>
                <w:lang w:val="es-MX" w:eastAsia="es-MX"/>
              </w:rPr>
            </w:pPr>
            <w:r w:rsidRPr="00CA530F">
              <w:rPr>
                <w:rFonts w:ascii="Arial" w:hAnsi="Arial" w:cs="Arial"/>
                <w:sz w:val="14"/>
                <w:szCs w:val="14"/>
                <w:u w:val="single"/>
                <w:lang w:val="es-MX" w:eastAsia="es-MX"/>
              </w:rPr>
              <w:t>Importe</w:t>
            </w:r>
          </w:p>
        </w:tc>
      </w:tr>
      <w:tr w:rsidR="00CA530F" w:rsidRPr="00CA530F" w:rsidTr="00CA530F">
        <w:trPr>
          <w:tblCellSpacing w:w="15" w:type="dxa"/>
          <w:jc w:val="center"/>
        </w:trPr>
        <w:tc>
          <w:tcPr>
            <w:tcW w:w="0" w:type="auto"/>
            <w:vAlign w:val="center"/>
            <w:hideMark/>
          </w:tcPr>
          <w:p w:rsidR="00CA530F" w:rsidRPr="00CA530F" w:rsidRDefault="00CA530F" w:rsidP="00CA530F">
            <w:pPr>
              <w:jc w:val="center"/>
              <w:rPr>
                <w:rFonts w:ascii="Arial" w:hAnsi="Arial" w:cs="Arial"/>
                <w:sz w:val="14"/>
                <w:szCs w:val="14"/>
                <w:lang w:val="es-MX" w:eastAsia="es-MX"/>
              </w:rPr>
            </w:pPr>
            <w:r w:rsidRPr="00CA530F">
              <w:rPr>
                <w:rFonts w:ascii="Arial" w:hAnsi="Arial" w:cs="Arial"/>
                <w:sz w:val="14"/>
                <w:szCs w:val="14"/>
                <w:lang w:val="es-MX" w:eastAsia="es-MX"/>
              </w:rPr>
              <w:t>01-oct-12</w:t>
            </w:r>
          </w:p>
        </w:tc>
        <w:tc>
          <w:tcPr>
            <w:tcW w:w="0" w:type="auto"/>
            <w:vAlign w:val="center"/>
            <w:hideMark/>
          </w:tcPr>
          <w:p w:rsidR="00CA530F" w:rsidRPr="00CA530F" w:rsidRDefault="00CA530F" w:rsidP="00CA530F">
            <w:pPr>
              <w:jc w:val="center"/>
              <w:rPr>
                <w:rFonts w:ascii="Arial" w:hAnsi="Arial" w:cs="Arial"/>
                <w:sz w:val="14"/>
                <w:szCs w:val="14"/>
                <w:lang w:val="es-MX" w:eastAsia="es-MX"/>
              </w:rPr>
            </w:pPr>
            <w:r w:rsidRPr="00CA530F">
              <w:rPr>
                <w:rFonts w:ascii="Arial" w:hAnsi="Arial" w:cs="Arial"/>
                <w:sz w:val="14"/>
                <w:szCs w:val="14"/>
                <w:lang w:val="es-MX" w:eastAsia="es-MX"/>
              </w:rPr>
              <w:t>Instituto de la Vivienda de Nuevo León</w:t>
            </w:r>
          </w:p>
        </w:tc>
        <w:tc>
          <w:tcPr>
            <w:tcW w:w="0" w:type="auto"/>
            <w:vAlign w:val="center"/>
            <w:hideMark/>
          </w:tcPr>
          <w:p w:rsidR="00CA530F" w:rsidRPr="00CA530F" w:rsidRDefault="00CA530F" w:rsidP="00CA530F">
            <w:pPr>
              <w:jc w:val="center"/>
              <w:rPr>
                <w:rFonts w:ascii="Arial" w:hAnsi="Arial" w:cs="Arial"/>
                <w:sz w:val="14"/>
                <w:szCs w:val="14"/>
                <w:lang w:val="es-MX" w:eastAsia="es-MX"/>
              </w:rPr>
            </w:pPr>
            <w:r w:rsidRPr="00CA530F">
              <w:rPr>
                <w:rFonts w:ascii="Arial" w:hAnsi="Arial" w:cs="Arial"/>
                <w:sz w:val="14"/>
                <w:szCs w:val="14"/>
                <w:lang w:val="es-MX" w:eastAsia="es-MX"/>
              </w:rPr>
              <w:t>582</w:t>
            </w:r>
          </w:p>
        </w:tc>
        <w:tc>
          <w:tcPr>
            <w:tcW w:w="0" w:type="auto"/>
            <w:vAlign w:val="center"/>
            <w:hideMark/>
          </w:tcPr>
          <w:p w:rsidR="00CA530F" w:rsidRPr="00CA530F" w:rsidRDefault="00CA530F" w:rsidP="00CA530F">
            <w:pPr>
              <w:jc w:val="center"/>
              <w:rPr>
                <w:rFonts w:ascii="Arial" w:hAnsi="Arial" w:cs="Arial"/>
                <w:sz w:val="14"/>
                <w:szCs w:val="14"/>
                <w:lang w:val="es-MX" w:eastAsia="es-MX"/>
              </w:rPr>
            </w:pPr>
            <w:r w:rsidRPr="00CA530F">
              <w:rPr>
                <w:rFonts w:ascii="Arial" w:hAnsi="Arial" w:cs="Arial"/>
                <w:sz w:val="14"/>
                <w:szCs w:val="14"/>
                <w:lang w:val="es-MX" w:eastAsia="es-MX"/>
              </w:rPr>
              <w:t>$</w:t>
            </w:r>
          </w:p>
        </w:tc>
        <w:tc>
          <w:tcPr>
            <w:tcW w:w="0" w:type="auto"/>
            <w:vAlign w:val="center"/>
            <w:hideMark/>
          </w:tcPr>
          <w:p w:rsidR="00CA530F" w:rsidRPr="00CA530F" w:rsidRDefault="00CA530F" w:rsidP="00CA530F">
            <w:pPr>
              <w:jc w:val="center"/>
              <w:rPr>
                <w:rFonts w:ascii="Arial" w:hAnsi="Arial" w:cs="Arial"/>
                <w:sz w:val="14"/>
                <w:szCs w:val="14"/>
                <w:lang w:val="es-MX" w:eastAsia="es-MX"/>
              </w:rPr>
            </w:pPr>
            <w:r w:rsidRPr="00CA530F">
              <w:rPr>
                <w:rFonts w:ascii="Arial" w:hAnsi="Arial" w:cs="Arial"/>
                <w:sz w:val="14"/>
                <w:szCs w:val="14"/>
                <w:lang w:val="es-MX" w:eastAsia="es-MX"/>
              </w:rPr>
              <w:t>54,800</w:t>
            </w:r>
          </w:p>
        </w:tc>
      </w:tr>
      <w:tr w:rsidR="00CA530F" w:rsidRPr="00CA530F" w:rsidTr="00CA530F">
        <w:trPr>
          <w:tblCellSpacing w:w="15" w:type="dxa"/>
          <w:jc w:val="center"/>
        </w:trPr>
        <w:tc>
          <w:tcPr>
            <w:tcW w:w="0" w:type="auto"/>
            <w:vAlign w:val="center"/>
            <w:hideMark/>
          </w:tcPr>
          <w:p w:rsidR="00CA530F" w:rsidRPr="00CA530F" w:rsidRDefault="00CA530F" w:rsidP="00CA530F">
            <w:pPr>
              <w:jc w:val="center"/>
              <w:rPr>
                <w:rFonts w:ascii="Arial" w:hAnsi="Arial" w:cs="Arial"/>
                <w:sz w:val="14"/>
                <w:szCs w:val="14"/>
                <w:lang w:val="es-MX" w:eastAsia="es-MX"/>
              </w:rPr>
            </w:pPr>
            <w:r w:rsidRPr="00CA530F">
              <w:rPr>
                <w:rFonts w:ascii="Arial" w:hAnsi="Arial" w:cs="Arial"/>
                <w:sz w:val="14"/>
                <w:szCs w:val="14"/>
                <w:lang w:val="es-MX" w:eastAsia="es-MX"/>
              </w:rPr>
              <w:t>23-mar-12</w:t>
            </w:r>
          </w:p>
        </w:tc>
        <w:tc>
          <w:tcPr>
            <w:tcW w:w="0" w:type="auto"/>
            <w:vAlign w:val="center"/>
            <w:hideMark/>
          </w:tcPr>
          <w:p w:rsidR="00CA530F" w:rsidRPr="00CA530F" w:rsidRDefault="00CA530F" w:rsidP="00CA530F">
            <w:pPr>
              <w:jc w:val="center"/>
              <w:rPr>
                <w:rFonts w:ascii="Arial" w:hAnsi="Arial" w:cs="Arial"/>
                <w:sz w:val="14"/>
                <w:szCs w:val="14"/>
                <w:lang w:val="es-MX" w:eastAsia="es-MX"/>
              </w:rPr>
            </w:pPr>
            <w:r w:rsidRPr="00CA530F">
              <w:rPr>
                <w:rFonts w:ascii="Arial" w:hAnsi="Arial" w:cs="Arial"/>
                <w:sz w:val="14"/>
                <w:szCs w:val="14"/>
                <w:lang w:val="es-MX" w:eastAsia="es-MX"/>
              </w:rPr>
              <w:t>Secretaría de Finanzas y Tesorería General del Estado de Nuevo León</w:t>
            </w:r>
          </w:p>
        </w:tc>
        <w:tc>
          <w:tcPr>
            <w:tcW w:w="0" w:type="auto"/>
            <w:vAlign w:val="center"/>
            <w:hideMark/>
          </w:tcPr>
          <w:p w:rsidR="00CA530F" w:rsidRPr="00CA530F" w:rsidRDefault="00CA530F" w:rsidP="00CA530F">
            <w:pPr>
              <w:jc w:val="center"/>
              <w:rPr>
                <w:rFonts w:ascii="Arial" w:hAnsi="Arial" w:cs="Arial"/>
                <w:sz w:val="14"/>
                <w:szCs w:val="14"/>
                <w:lang w:val="es-MX" w:eastAsia="es-MX"/>
              </w:rPr>
            </w:pPr>
            <w:r w:rsidRPr="00CA530F">
              <w:rPr>
                <w:rFonts w:ascii="Arial" w:hAnsi="Arial" w:cs="Arial"/>
                <w:sz w:val="14"/>
                <w:szCs w:val="14"/>
                <w:lang w:val="es-MX" w:eastAsia="es-MX"/>
              </w:rPr>
              <w:t>16</w:t>
            </w:r>
          </w:p>
        </w:tc>
        <w:tc>
          <w:tcPr>
            <w:tcW w:w="0" w:type="auto"/>
            <w:vAlign w:val="center"/>
            <w:hideMark/>
          </w:tcPr>
          <w:p w:rsidR="00CA530F" w:rsidRPr="00CA530F" w:rsidRDefault="00CA530F" w:rsidP="00CA530F">
            <w:pPr>
              <w:jc w:val="center"/>
              <w:rPr>
                <w:rFonts w:ascii="Arial" w:hAnsi="Arial" w:cs="Arial"/>
                <w:sz w:val="14"/>
                <w:szCs w:val="14"/>
                <w:lang w:val="es-MX" w:eastAsia="es-MX"/>
              </w:rPr>
            </w:pPr>
          </w:p>
        </w:tc>
        <w:tc>
          <w:tcPr>
            <w:tcW w:w="0" w:type="auto"/>
            <w:vAlign w:val="center"/>
            <w:hideMark/>
          </w:tcPr>
          <w:p w:rsidR="00CA530F" w:rsidRPr="00CA530F" w:rsidRDefault="00CA530F" w:rsidP="00CA530F">
            <w:pPr>
              <w:jc w:val="center"/>
              <w:rPr>
                <w:rFonts w:ascii="Arial" w:hAnsi="Arial" w:cs="Arial"/>
                <w:sz w:val="14"/>
                <w:szCs w:val="14"/>
                <w:lang w:val="es-MX" w:eastAsia="es-MX"/>
              </w:rPr>
            </w:pPr>
            <w:r w:rsidRPr="00CA530F">
              <w:rPr>
                <w:rFonts w:ascii="Arial" w:hAnsi="Arial" w:cs="Arial"/>
                <w:sz w:val="14"/>
                <w:szCs w:val="14"/>
                <w:lang w:val="es-MX" w:eastAsia="es-MX"/>
              </w:rPr>
              <w:t>10,000</w:t>
            </w:r>
          </w:p>
        </w:tc>
      </w:tr>
      <w:tr w:rsidR="00CA530F" w:rsidRPr="00CA530F" w:rsidTr="00CA530F">
        <w:trPr>
          <w:tblCellSpacing w:w="15" w:type="dxa"/>
          <w:jc w:val="center"/>
        </w:trPr>
        <w:tc>
          <w:tcPr>
            <w:tcW w:w="0" w:type="auto"/>
            <w:vAlign w:val="center"/>
            <w:hideMark/>
          </w:tcPr>
          <w:p w:rsidR="00CA530F" w:rsidRPr="00CA530F" w:rsidRDefault="00CA530F" w:rsidP="00CA530F">
            <w:pPr>
              <w:jc w:val="center"/>
              <w:rPr>
                <w:rFonts w:ascii="Arial" w:hAnsi="Arial" w:cs="Arial"/>
                <w:b/>
                <w:bCs/>
                <w:sz w:val="14"/>
                <w:szCs w:val="14"/>
                <w:lang w:val="es-MX" w:eastAsia="es-MX"/>
              </w:rPr>
            </w:pPr>
            <w:r w:rsidRPr="00CA530F">
              <w:rPr>
                <w:rFonts w:ascii="Arial" w:hAnsi="Arial" w:cs="Arial"/>
                <w:b/>
                <w:bCs/>
                <w:sz w:val="14"/>
                <w:szCs w:val="14"/>
                <w:lang w:val="es-MX" w:eastAsia="es-MX"/>
              </w:rPr>
              <w:t>Total</w:t>
            </w:r>
          </w:p>
        </w:tc>
        <w:tc>
          <w:tcPr>
            <w:tcW w:w="0" w:type="auto"/>
            <w:vAlign w:val="center"/>
            <w:hideMark/>
          </w:tcPr>
          <w:p w:rsidR="00CA530F" w:rsidRPr="00CA530F" w:rsidRDefault="00CA530F" w:rsidP="00CA530F">
            <w:pPr>
              <w:jc w:val="center"/>
              <w:rPr>
                <w:rFonts w:ascii="Arial" w:hAnsi="Arial" w:cs="Arial"/>
                <w:b/>
                <w:bCs/>
                <w:sz w:val="14"/>
                <w:szCs w:val="14"/>
                <w:lang w:val="es-MX" w:eastAsia="es-MX"/>
              </w:rPr>
            </w:pPr>
          </w:p>
        </w:tc>
        <w:tc>
          <w:tcPr>
            <w:tcW w:w="0" w:type="auto"/>
            <w:vAlign w:val="center"/>
            <w:hideMark/>
          </w:tcPr>
          <w:p w:rsidR="00CA530F" w:rsidRPr="00CA530F" w:rsidRDefault="00CA530F" w:rsidP="00CA530F">
            <w:pPr>
              <w:jc w:val="center"/>
              <w:rPr>
                <w:rFonts w:ascii="Arial" w:hAnsi="Arial" w:cs="Arial"/>
                <w:sz w:val="14"/>
                <w:szCs w:val="14"/>
                <w:lang w:val="es-MX" w:eastAsia="es-MX"/>
              </w:rPr>
            </w:pPr>
          </w:p>
        </w:tc>
        <w:tc>
          <w:tcPr>
            <w:tcW w:w="0" w:type="auto"/>
            <w:vAlign w:val="center"/>
            <w:hideMark/>
          </w:tcPr>
          <w:p w:rsidR="00CA530F" w:rsidRPr="00CA530F" w:rsidRDefault="00CA530F" w:rsidP="00CA530F">
            <w:pPr>
              <w:jc w:val="center"/>
              <w:rPr>
                <w:rFonts w:ascii="Arial" w:hAnsi="Arial" w:cs="Arial"/>
                <w:b/>
                <w:bCs/>
                <w:sz w:val="14"/>
                <w:szCs w:val="14"/>
                <w:lang w:val="es-MX" w:eastAsia="es-MX"/>
              </w:rPr>
            </w:pPr>
            <w:r w:rsidRPr="00CA530F">
              <w:rPr>
                <w:rFonts w:ascii="Arial" w:hAnsi="Arial" w:cs="Arial"/>
                <w:b/>
                <w:bCs/>
                <w:sz w:val="14"/>
                <w:szCs w:val="14"/>
                <w:lang w:val="es-MX" w:eastAsia="es-MX"/>
              </w:rPr>
              <w:t>$</w:t>
            </w:r>
          </w:p>
        </w:tc>
        <w:tc>
          <w:tcPr>
            <w:tcW w:w="0" w:type="auto"/>
            <w:vAlign w:val="center"/>
            <w:hideMark/>
          </w:tcPr>
          <w:p w:rsidR="00CA530F" w:rsidRPr="00CA530F" w:rsidRDefault="00CA530F" w:rsidP="00CA530F">
            <w:pPr>
              <w:jc w:val="center"/>
              <w:rPr>
                <w:rFonts w:ascii="Arial" w:hAnsi="Arial" w:cs="Arial"/>
                <w:b/>
                <w:bCs/>
                <w:sz w:val="14"/>
                <w:szCs w:val="14"/>
                <w:lang w:val="es-MX" w:eastAsia="es-MX"/>
              </w:rPr>
            </w:pPr>
            <w:r w:rsidRPr="00CA530F">
              <w:rPr>
                <w:rFonts w:ascii="Arial" w:hAnsi="Arial" w:cs="Arial"/>
                <w:b/>
                <w:bCs/>
                <w:sz w:val="14"/>
                <w:szCs w:val="14"/>
                <w:lang w:val="es-MX" w:eastAsia="es-MX"/>
              </w:rPr>
              <w:t>64,800</w:t>
            </w:r>
          </w:p>
        </w:tc>
      </w:tr>
    </w:tbl>
    <w:p w:rsidR="00CA530F" w:rsidRPr="00CA530F" w:rsidRDefault="00CA530F" w:rsidP="00CA530F">
      <w:pPr>
        <w:spacing w:after="0" w:line="360" w:lineRule="auto"/>
        <w:contextualSpacing/>
        <w:jc w:val="both"/>
        <w:rPr>
          <w:rFonts w:ascii="Arial" w:hAnsi="Arial" w:cs="Arial"/>
          <w:b/>
          <w:sz w:val="24"/>
        </w:rPr>
      </w:pPr>
      <w:r w:rsidRPr="00CA530F">
        <w:rPr>
          <w:rFonts w:ascii="Arial" w:hAnsi="Arial" w:cs="Arial"/>
          <w:b/>
          <w:sz w:val="24"/>
        </w:rPr>
        <w:t>Análisis de la Auditoría Superior del Estado</w:t>
      </w:r>
    </w:p>
    <w:p w:rsidR="00CA530F" w:rsidRDefault="00CA530F" w:rsidP="00CA530F">
      <w:pPr>
        <w:spacing w:after="0" w:line="360" w:lineRule="auto"/>
        <w:contextualSpacing/>
        <w:jc w:val="both"/>
        <w:rPr>
          <w:rFonts w:ascii="Arial" w:hAnsi="Arial" w:cs="Arial"/>
          <w:sz w:val="24"/>
        </w:rPr>
      </w:pPr>
    </w:p>
    <w:p w:rsidR="00CA530F" w:rsidRDefault="00CA530F" w:rsidP="00CA530F">
      <w:pPr>
        <w:spacing w:after="0" w:line="360" w:lineRule="auto"/>
        <w:contextualSpacing/>
        <w:jc w:val="both"/>
        <w:rPr>
          <w:rFonts w:ascii="Arial" w:hAnsi="Arial" w:cs="Arial"/>
          <w:sz w:val="24"/>
        </w:rPr>
      </w:pPr>
      <w:r w:rsidRPr="00CA530F">
        <w:rPr>
          <w:rFonts w:ascii="Arial" w:hAnsi="Arial" w:cs="Arial"/>
          <w:sz w:val="24"/>
        </w:rPr>
        <w:t>Derivada de la respuesta y evidencia presentada por el Titular y Extitular del Ente Público,</w:t>
      </w:r>
      <w:r>
        <w:rPr>
          <w:rFonts w:ascii="Arial" w:hAnsi="Arial" w:cs="Arial"/>
          <w:sz w:val="24"/>
        </w:rPr>
        <w:t xml:space="preserve"> la Auditoría determinó que esta observación se solventó parcialmente, toda vez que el Ente proporcionó el</w:t>
      </w:r>
      <w:r w:rsidRPr="00CA530F">
        <w:rPr>
          <w:rFonts w:ascii="Arial" w:hAnsi="Arial" w:cs="Arial"/>
          <w:sz w:val="24"/>
        </w:rPr>
        <w:t xml:space="preserve"> soporte documental de las gestiones para recuperar el saldo entregado como garantía al Instituto de la </w:t>
      </w:r>
      <w:proofErr w:type="spellStart"/>
      <w:r w:rsidRPr="00CA530F">
        <w:rPr>
          <w:rFonts w:ascii="Arial" w:hAnsi="Arial" w:cs="Arial"/>
          <w:sz w:val="24"/>
        </w:rPr>
        <w:t>Vivivenda</w:t>
      </w:r>
      <w:proofErr w:type="spellEnd"/>
      <w:r w:rsidRPr="00CA530F">
        <w:rPr>
          <w:rFonts w:ascii="Arial" w:hAnsi="Arial" w:cs="Arial"/>
          <w:sz w:val="24"/>
        </w:rPr>
        <w:t xml:space="preserve"> de Nuevo León, más no la recuperación del mismo. </w:t>
      </w:r>
    </w:p>
    <w:p w:rsidR="00CA530F" w:rsidRDefault="00CA530F" w:rsidP="00CA530F">
      <w:pPr>
        <w:spacing w:after="0" w:line="360" w:lineRule="auto"/>
        <w:contextualSpacing/>
        <w:jc w:val="both"/>
        <w:rPr>
          <w:rFonts w:ascii="Arial" w:hAnsi="Arial" w:cs="Arial"/>
          <w:sz w:val="24"/>
        </w:rPr>
      </w:pPr>
    </w:p>
    <w:p w:rsidR="00CA530F" w:rsidRDefault="00CA530F" w:rsidP="00CA530F">
      <w:pPr>
        <w:spacing w:after="0" w:line="360" w:lineRule="auto"/>
        <w:contextualSpacing/>
        <w:jc w:val="both"/>
        <w:rPr>
          <w:rFonts w:ascii="Arial" w:hAnsi="Arial" w:cs="Arial"/>
          <w:sz w:val="24"/>
        </w:rPr>
      </w:pPr>
      <w:r w:rsidRPr="00CA530F">
        <w:rPr>
          <w:rFonts w:ascii="Arial" w:hAnsi="Arial" w:cs="Arial"/>
          <w:sz w:val="24"/>
        </w:rPr>
        <w:t>En el caso de la Secretaría de Finanzas y Tesorería General del Estado de Nuevo León el Ente Público no present</w:t>
      </w:r>
      <w:r>
        <w:rPr>
          <w:rFonts w:ascii="Arial" w:hAnsi="Arial" w:cs="Arial"/>
          <w:sz w:val="24"/>
        </w:rPr>
        <w:t>ó evidencia para solventar la observación.</w:t>
      </w:r>
    </w:p>
    <w:p w:rsidR="00CA530F" w:rsidRPr="00CA530F" w:rsidRDefault="00CA530F" w:rsidP="00CA530F">
      <w:pPr>
        <w:spacing w:after="0" w:line="360" w:lineRule="auto"/>
        <w:contextualSpacing/>
        <w:jc w:val="both"/>
        <w:rPr>
          <w:rFonts w:ascii="Arial" w:hAnsi="Arial" w:cs="Arial"/>
          <w:sz w:val="24"/>
        </w:rPr>
      </w:pPr>
    </w:p>
    <w:p w:rsidR="00CA530F" w:rsidRPr="00CA530F" w:rsidRDefault="00CA530F" w:rsidP="00CA530F">
      <w:pPr>
        <w:spacing w:after="0" w:line="360" w:lineRule="auto"/>
        <w:contextualSpacing/>
        <w:jc w:val="both"/>
        <w:rPr>
          <w:rFonts w:ascii="Arial" w:hAnsi="Arial" w:cs="Arial"/>
          <w:sz w:val="24"/>
        </w:rPr>
      </w:pPr>
      <w:r w:rsidRPr="00CA530F">
        <w:rPr>
          <w:rFonts w:ascii="Arial" w:hAnsi="Arial" w:cs="Arial"/>
          <w:sz w:val="24"/>
        </w:rPr>
        <w:t>Se dará seguimiento en la revisión de la Cuenta Pública 2016.</w:t>
      </w:r>
    </w:p>
    <w:p w:rsidR="00CA530F" w:rsidRPr="00CA530F" w:rsidRDefault="00CA530F" w:rsidP="00CA530F">
      <w:pPr>
        <w:spacing w:after="0" w:line="360" w:lineRule="auto"/>
        <w:contextualSpacing/>
        <w:jc w:val="both"/>
        <w:rPr>
          <w:rFonts w:ascii="Arial" w:hAnsi="Arial" w:cs="Arial"/>
          <w:sz w:val="24"/>
        </w:rPr>
      </w:pPr>
    </w:p>
    <w:p w:rsidR="00CA530F" w:rsidRPr="00CA530F" w:rsidRDefault="00CA530F" w:rsidP="00CA530F">
      <w:pPr>
        <w:spacing w:after="0" w:line="360" w:lineRule="auto"/>
        <w:contextualSpacing/>
        <w:jc w:val="both"/>
        <w:rPr>
          <w:rFonts w:ascii="Arial" w:hAnsi="Arial" w:cs="Arial"/>
          <w:b/>
          <w:sz w:val="24"/>
        </w:rPr>
      </w:pPr>
      <w:r w:rsidRPr="00CA530F">
        <w:rPr>
          <w:rFonts w:ascii="Arial" w:hAnsi="Arial" w:cs="Arial"/>
          <w:b/>
          <w:sz w:val="24"/>
        </w:rPr>
        <w:t>Acción(es) o recomendación(es) emitida(s)</w:t>
      </w:r>
    </w:p>
    <w:p w:rsidR="00CA530F" w:rsidRPr="00CA530F" w:rsidRDefault="00CA530F" w:rsidP="00CA530F">
      <w:pPr>
        <w:spacing w:after="0" w:line="360" w:lineRule="auto"/>
        <w:contextualSpacing/>
        <w:jc w:val="both"/>
        <w:rPr>
          <w:rFonts w:ascii="Arial" w:hAnsi="Arial" w:cs="Arial"/>
          <w:i/>
          <w:sz w:val="24"/>
        </w:rPr>
      </w:pPr>
      <w:r w:rsidRPr="00CA530F">
        <w:rPr>
          <w:rFonts w:ascii="Arial" w:hAnsi="Arial" w:cs="Arial"/>
          <w:i/>
          <w:sz w:val="24"/>
        </w:rPr>
        <w:t>Recomendaciones en Relación a la Gestión o Control Interno.</w:t>
      </w:r>
    </w:p>
    <w:p w:rsidR="00CA530F" w:rsidRDefault="00CA530F" w:rsidP="00CA530F">
      <w:pPr>
        <w:spacing w:after="0" w:line="360" w:lineRule="auto"/>
        <w:contextualSpacing/>
        <w:jc w:val="both"/>
        <w:rPr>
          <w:rFonts w:ascii="Arial" w:hAnsi="Arial" w:cs="Arial"/>
          <w:sz w:val="24"/>
        </w:rPr>
      </w:pPr>
    </w:p>
    <w:p w:rsidR="00CA530F" w:rsidRPr="00CA530F" w:rsidRDefault="00CA530F" w:rsidP="00CA530F">
      <w:pPr>
        <w:spacing w:after="0" w:line="360" w:lineRule="auto"/>
        <w:contextualSpacing/>
        <w:jc w:val="both"/>
        <w:rPr>
          <w:rFonts w:ascii="Arial" w:hAnsi="Arial" w:cs="Arial"/>
          <w:sz w:val="24"/>
        </w:rPr>
      </w:pPr>
      <w:r w:rsidRPr="00CA530F">
        <w:rPr>
          <w:rFonts w:ascii="Arial" w:hAnsi="Arial" w:cs="Arial"/>
          <w:sz w:val="24"/>
        </w:rPr>
        <w:t>Establecer e implementar nuevos mecanismos que garanticen la recuperación de los depósitos entregados como garantía al término de los proyectos, cuidando el contar con el soporte documental de dichas acciones.</w:t>
      </w:r>
    </w:p>
    <w:p w:rsidR="00CA530F" w:rsidRPr="00A92F01" w:rsidRDefault="00CA530F" w:rsidP="00374B6D">
      <w:pPr>
        <w:spacing w:after="0" w:line="360" w:lineRule="auto"/>
        <w:contextualSpacing/>
        <w:jc w:val="both"/>
        <w:rPr>
          <w:rFonts w:ascii="Arial" w:hAnsi="Arial" w:cs="Arial"/>
          <w:sz w:val="24"/>
        </w:rPr>
      </w:pPr>
    </w:p>
    <w:p w:rsidR="00CA530F" w:rsidRPr="00CA530F" w:rsidRDefault="00CA530F" w:rsidP="00CA530F">
      <w:pPr>
        <w:spacing w:after="0" w:line="360" w:lineRule="auto"/>
        <w:contextualSpacing/>
        <w:jc w:val="both"/>
        <w:rPr>
          <w:rFonts w:ascii="Arial" w:hAnsi="Arial" w:cs="Arial"/>
          <w:b/>
          <w:sz w:val="24"/>
          <w:u w:val="single"/>
        </w:rPr>
      </w:pPr>
      <w:r w:rsidRPr="00CA530F">
        <w:rPr>
          <w:rFonts w:ascii="Arial" w:hAnsi="Arial" w:cs="Arial"/>
          <w:b/>
          <w:sz w:val="24"/>
          <w:u w:val="single"/>
        </w:rPr>
        <w:t>Activo no circulante</w:t>
      </w:r>
    </w:p>
    <w:p w:rsidR="00CA530F" w:rsidRPr="00CA530F" w:rsidRDefault="00CA530F" w:rsidP="00CA530F">
      <w:pPr>
        <w:spacing w:after="0" w:line="360" w:lineRule="auto"/>
        <w:contextualSpacing/>
        <w:jc w:val="both"/>
        <w:rPr>
          <w:rFonts w:ascii="Arial" w:hAnsi="Arial" w:cs="Arial"/>
          <w:b/>
          <w:sz w:val="24"/>
          <w:u w:val="single"/>
        </w:rPr>
      </w:pPr>
      <w:r w:rsidRPr="00CA530F">
        <w:rPr>
          <w:rFonts w:ascii="Arial" w:hAnsi="Arial" w:cs="Arial"/>
          <w:b/>
          <w:sz w:val="24"/>
          <w:u w:val="single"/>
        </w:rPr>
        <w:t>Bienes muebles</w:t>
      </w:r>
    </w:p>
    <w:p w:rsidR="00374B6D" w:rsidRDefault="00CA530F" w:rsidP="00CA530F">
      <w:pPr>
        <w:spacing w:after="0" w:line="360" w:lineRule="auto"/>
        <w:contextualSpacing/>
        <w:jc w:val="both"/>
        <w:rPr>
          <w:rFonts w:ascii="Arial" w:hAnsi="Arial" w:cs="Arial"/>
          <w:b/>
          <w:sz w:val="24"/>
          <w:u w:val="single"/>
        </w:rPr>
      </w:pPr>
      <w:r w:rsidRPr="00CA530F">
        <w:rPr>
          <w:rFonts w:ascii="Arial" w:hAnsi="Arial" w:cs="Arial"/>
          <w:b/>
          <w:sz w:val="24"/>
          <w:u w:val="single"/>
        </w:rPr>
        <w:t>Vehículos y equipo de transporte</w:t>
      </w:r>
    </w:p>
    <w:p w:rsidR="00CA530F" w:rsidRPr="00CA530F" w:rsidRDefault="00CA530F" w:rsidP="00CA530F">
      <w:pPr>
        <w:spacing w:after="0" w:line="360" w:lineRule="auto"/>
        <w:contextualSpacing/>
        <w:jc w:val="both"/>
        <w:rPr>
          <w:rFonts w:ascii="Arial" w:hAnsi="Arial" w:cs="Arial"/>
          <w:sz w:val="24"/>
        </w:rPr>
      </w:pPr>
      <w:r>
        <w:rPr>
          <w:rFonts w:ascii="Arial" w:hAnsi="Arial" w:cs="Arial"/>
          <w:sz w:val="24"/>
        </w:rPr>
        <w:t>7.</w:t>
      </w:r>
      <w:r w:rsidRPr="00CA530F">
        <w:t xml:space="preserve"> </w:t>
      </w:r>
      <w:r w:rsidRPr="00CA530F">
        <w:rPr>
          <w:rFonts w:ascii="Arial" w:hAnsi="Arial" w:cs="Arial"/>
          <w:sz w:val="24"/>
        </w:rPr>
        <w:t xml:space="preserve">En la revisión del proceso de adjudicación de un vehículo marca Toyota Minivan </w:t>
      </w:r>
      <w:proofErr w:type="spellStart"/>
      <w:r w:rsidRPr="00CA530F">
        <w:rPr>
          <w:rFonts w:ascii="Arial" w:hAnsi="Arial" w:cs="Arial"/>
          <w:sz w:val="24"/>
        </w:rPr>
        <w:t>Hiace</w:t>
      </w:r>
      <w:proofErr w:type="spellEnd"/>
      <w:r w:rsidRPr="00CA530F">
        <w:rPr>
          <w:rFonts w:ascii="Arial" w:hAnsi="Arial" w:cs="Arial"/>
          <w:sz w:val="24"/>
        </w:rPr>
        <w:t xml:space="preserve"> modelo 2014 con valor de $435,300, se observó lo siguiente:</w:t>
      </w:r>
    </w:p>
    <w:p w:rsidR="00CA530F" w:rsidRPr="00CA530F" w:rsidRDefault="00CA530F" w:rsidP="00CA530F">
      <w:pPr>
        <w:spacing w:after="0" w:line="360" w:lineRule="auto"/>
        <w:contextualSpacing/>
        <w:jc w:val="both"/>
        <w:rPr>
          <w:rFonts w:ascii="Arial" w:hAnsi="Arial" w:cs="Arial"/>
          <w:sz w:val="24"/>
        </w:rPr>
      </w:pPr>
    </w:p>
    <w:p w:rsidR="00CA530F" w:rsidRPr="00CA530F" w:rsidRDefault="00CA530F" w:rsidP="00CA530F">
      <w:pPr>
        <w:spacing w:after="0" w:line="360" w:lineRule="auto"/>
        <w:contextualSpacing/>
        <w:jc w:val="both"/>
        <w:rPr>
          <w:rFonts w:ascii="Arial" w:hAnsi="Arial" w:cs="Arial"/>
          <w:sz w:val="24"/>
        </w:rPr>
      </w:pPr>
      <w:r>
        <w:rPr>
          <w:rFonts w:ascii="Arial" w:hAnsi="Arial" w:cs="Arial"/>
          <w:sz w:val="24"/>
        </w:rPr>
        <w:t xml:space="preserve">a) </w:t>
      </w:r>
      <w:r w:rsidRPr="00CA530F">
        <w:rPr>
          <w:rFonts w:ascii="Arial" w:hAnsi="Arial" w:cs="Arial"/>
          <w:sz w:val="24"/>
        </w:rPr>
        <w:t xml:space="preserve">La adquisición del vehículo asignada al proveedor </w:t>
      </w:r>
      <w:proofErr w:type="spellStart"/>
      <w:r w:rsidRPr="00CA530F">
        <w:rPr>
          <w:rFonts w:ascii="Arial" w:hAnsi="Arial" w:cs="Arial"/>
          <w:sz w:val="24"/>
        </w:rPr>
        <w:t>United</w:t>
      </w:r>
      <w:proofErr w:type="spellEnd"/>
      <w:r w:rsidRPr="00CA530F">
        <w:rPr>
          <w:rFonts w:ascii="Arial" w:hAnsi="Arial" w:cs="Arial"/>
          <w:sz w:val="24"/>
        </w:rPr>
        <w:t xml:space="preserve"> Auto de Monterrey, S. de R.L. de C.V. no estuvo precedida del procedimiento que conforme al monto o naturaleza de la contratación, asegurara al Ente Público las mejores condiciones disponibles en cuanto a precio, calidad, financiamiento y oportunidad, en contravención a lo dispuesto en el artículo 25 de la Ley de Adquisiciones, Arrendamientos y Contratación de Servicios del Estado de Nuevo León, en concordancia con el 12 de la Ley de Egresos del Estado de Nuevo León para el año 2015.</w:t>
      </w:r>
    </w:p>
    <w:p w:rsidR="00CA530F" w:rsidRPr="00CA530F" w:rsidRDefault="00CA530F" w:rsidP="00CA530F">
      <w:pPr>
        <w:spacing w:after="0" w:line="360" w:lineRule="auto"/>
        <w:contextualSpacing/>
        <w:jc w:val="both"/>
        <w:rPr>
          <w:rFonts w:ascii="Arial" w:hAnsi="Arial" w:cs="Arial"/>
          <w:sz w:val="24"/>
        </w:rPr>
      </w:pPr>
    </w:p>
    <w:p w:rsidR="00CA530F" w:rsidRPr="00CA530F" w:rsidRDefault="00CA530F" w:rsidP="00CA530F">
      <w:pPr>
        <w:spacing w:after="0" w:line="360" w:lineRule="auto"/>
        <w:contextualSpacing/>
        <w:jc w:val="both"/>
        <w:rPr>
          <w:rFonts w:ascii="Arial" w:hAnsi="Arial" w:cs="Arial"/>
          <w:sz w:val="24"/>
        </w:rPr>
      </w:pPr>
      <w:r>
        <w:rPr>
          <w:rFonts w:ascii="Arial" w:hAnsi="Arial" w:cs="Arial"/>
          <w:sz w:val="24"/>
        </w:rPr>
        <w:t xml:space="preserve">b) </w:t>
      </w:r>
      <w:r w:rsidRPr="00CA530F">
        <w:rPr>
          <w:rFonts w:ascii="Arial" w:hAnsi="Arial" w:cs="Arial"/>
          <w:sz w:val="24"/>
        </w:rPr>
        <w:t>El Ente Público no exhibió ni proporcionó evidencia documental que ampare y justifique la autorización de la adquisición de dicho vehículo.</w:t>
      </w:r>
    </w:p>
    <w:p w:rsidR="00CA530F" w:rsidRPr="00CA530F" w:rsidRDefault="00CA530F" w:rsidP="00CA530F">
      <w:pPr>
        <w:spacing w:after="0" w:line="360" w:lineRule="auto"/>
        <w:contextualSpacing/>
        <w:jc w:val="both"/>
        <w:rPr>
          <w:rFonts w:ascii="Arial" w:hAnsi="Arial" w:cs="Arial"/>
          <w:sz w:val="24"/>
        </w:rPr>
      </w:pPr>
      <w:r>
        <w:rPr>
          <w:rFonts w:ascii="Arial" w:hAnsi="Arial" w:cs="Arial"/>
          <w:sz w:val="24"/>
        </w:rPr>
        <w:lastRenderedPageBreak/>
        <w:t xml:space="preserve"> </w:t>
      </w:r>
    </w:p>
    <w:p w:rsidR="00CA530F" w:rsidRPr="00CA530F" w:rsidRDefault="00CA530F" w:rsidP="00CA530F">
      <w:pPr>
        <w:spacing w:after="0" w:line="360" w:lineRule="auto"/>
        <w:contextualSpacing/>
        <w:jc w:val="both"/>
        <w:rPr>
          <w:rFonts w:ascii="Arial" w:hAnsi="Arial" w:cs="Arial"/>
          <w:b/>
          <w:sz w:val="24"/>
        </w:rPr>
      </w:pPr>
      <w:r w:rsidRPr="00CA530F">
        <w:rPr>
          <w:rFonts w:ascii="Arial" w:hAnsi="Arial" w:cs="Arial"/>
          <w:b/>
          <w:sz w:val="24"/>
        </w:rPr>
        <w:t>Análisis de la Auditoría Superior del Estado</w:t>
      </w:r>
    </w:p>
    <w:p w:rsidR="00CA530F" w:rsidRDefault="00CA530F" w:rsidP="00CA530F">
      <w:pPr>
        <w:spacing w:after="0" w:line="360" w:lineRule="auto"/>
        <w:contextualSpacing/>
        <w:jc w:val="both"/>
        <w:rPr>
          <w:rFonts w:ascii="Arial" w:hAnsi="Arial" w:cs="Arial"/>
          <w:sz w:val="24"/>
        </w:rPr>
      </w:pPr>
    </w:p>
    <w:p w:rsidR="00CA530F" w:rsidRPr="00CA530F" w:rsidRDefault="00CA530F" w:rsidP="00CA530F">
      <w:pPr>
        <w:spacing w:after="0" w:line="360" w:lineRule="auto"/>
        <w:contextualSpacing/>
        <w:jc w:val="both"/>
        <w:rPr>
          <w:rFonts w:ascii="Arial" w:hAnsi="Arial" w:cs="Arial"/>
          <w:sz w:val="24"/>
        </w:rPr>
      </w:pPr>
      <w:r w:rsidRPr="00CA530F">
        <w:rPr>
          <w:rFonts w:ascii="Arial" w:hAnsi="Arial" w:cs="Arial"/>
          <w:sz w:val="24"/>
        </w:rPr>
        <w:t>Derivada de la respuesta y evidencia presentada por el Titular y Extitular del Ente Público</w:t>
      </w:r>
      <w:r>
        <w:rPr>
          <w:rFonts w:ascii="Arial" w:hAnsi="Arial" w:cs="Arial"/>
          <w:sz w:val="24"/>
        </w:rPr>
        <w:t xml:space="preserve"> la Auditoría determinó que esta observación fue</w:t>
      </w:r>
      <w:r w:rsidRPr="00CA530F">
        <w:rPr>
          <w:rFonts w:ascii="Arial" w:hAnsi="Arial" w:cs="Arial"/>
          <w:sz w:val="24"/>
        </w:rPr>
        <w:t xml:space="preserve"> solventa</w:t>
      </w:r>
      <w:r>
        <w:rPr>
          <w:rFonts w:ascii="Arial" w:hAnsi="Arial" w:cs="Arial"/>
          <w:sz w:val="24"/>
        </w:rPr>
        <w:t>da</w:t>
      </w:r>
      <w:r w:rsidRPr="00CA530F">
        <w:rPr>
          <w:rFonts w:ascii="Arial" w:hAnsi="Arial" w:cs="Arial"/>
          <w:sz w:val="24"/>
        </w:rPr>
        <w:t xml:space="preserve"> parcialmente</w:t>
      </w:r>
      <w:r>
        <w:rPr>
          <w:rFonts w:ascii="Arial" w:hAnsi="Arial" w:cs="Arial"/>
          <w:sz w:val="24"/>
        </w:rPr>
        <w:t>, en virtud de lo siguiente:</w:t>
      </w:r>
    </w:p>
    <w:p w:rsidR="00CA530F" w:rsidRDefault="00CA530F" w:rsidP="00CA530F">
      <w:pPr>
        <w:spacing w:after="0" w:line="360" w:lineRule="auto"/>
        <w:contextualSpacing/>
        <w:jc w:val="both"/>
        <w:rPr>
          <w:rFonts w:ascii="Arial" w:hAnsi="Arial" w:cs="Arial"/>
          <w:sz w:val="24"/>
        </w:rPr>
      </w:pPr>
    </w:p>
    <w:p w:rsidR="00CA530F" w:rsidRPr="00CA530F" w:rsidRDefault="00CA530F" w:rsidP="00CA530F">
      <w:pPr>
        <w:spacing w:after="0" w:line="360" w:lineRule="auto"/>
        <w:contextualSpacing/>
        <w:jc w:val="both"/>
        <w:rPr>
          <w:rFonts w:ascii="Arial" w:hAnsi="Arial" w:cs="Arial"/>
          <w:sz w:val="24"/>
        </w:rPr>
      </w:pPr>
      <w:r>
        <w:rPr>
          <w:rFonts w:ascii="Arial" w:hAnsi="Arial" w:cs="Arial"/>
          <w:sz w:val="24"/>
        </w:rPr>
        <w:t>A</w:t>
      </w:r>
      <w:r w:rsidRPr="00CA530F">
        <w:rPr>
          <w:rFonts w:ascii="Arial" w:hAnsi="Arial" w:cs="Arial"/>
          <w:sz w:val="24"/>
        </w:rPr>
        <w:t>l presentar</w:t>
      </w:r>
      <w:r>
        <w:rPr>
          <w:rFonts w:ascii="Arial" w:hAnsi="Arial" w:cs="Arial"/>
          <w:sz w:val="24"/>
        </w:rPr>
        <w:t xml:space="preserve"> la</w:t>
      </w:r>
      <w:r w:rsidRPr="00CA530F">
        <w:rPr>
          <w:rFonts w:ascii="Arial" w:hAnsi="Arial" w:cs="Arial"/>
          <w:sz w:val="24"/>
        </w:rPr>
        <w:t xml:space="preserve"> evidencia de las cotizaciones realizadas y los argumentos de que se adquirió el equipo de transporte considerando las mejores condiciones de compra en cuanto a financiamiento y oportunidad.</w:t>
      </w:r>
    </w:p>
    <w:p w:rsidR="00CA530F" w:rsidRPr="00CA530F" w:rsidRDefault="00CA530F" w:rsidP="00CA530F">
      <w:pPr>
        <w:spacing w:after="0" w:line="360" w:lineRule="auto"/>
        <w:contextualSpacing/>
        <w:jc w:val="both"/>
        <w:rPr>
          <w:rFonts w:ascii="Arial" w:hAnsi="Arial" w:cs="Arial"/>
          <w:sz w:val="24"/>
        </w:rPr>
      </w:pPr>
    </w:p>
    <w:p w:rsidR="00CA530F" w:rsidRPr="00CA530F" w:rsidRDefault="00CA530F" w:rsidP="00CA530F">
      <w:pPr>
        <w:spacing w:after="0" w:line="360" w:lineRule="auto"/>
        <w:contextualSpacing/>
        <w:jc w:val="both"/>
        <w:rPr>
          <w:rFonts w:ascii="Arial" w:hAnsi="Arial" w:cs="Arial"/>
          <w:sz w:val="24"/>
        </w:rPr>
      </w:pPr>
      <w:r>
        <w:rPr>
          <w:rFonts w:ascii="Arial" w:hAnsi="Arial" w:cs="Arial"/>
          <w:sz w:val="24"/>
        </w:rPr>
        <w:t>El Ente público</w:t>
      </w:r>
      <w:r w:rsidRPr="00CA530F">
        <w:rPr>
          <w:rFonts w:ascii="Arial" w:hAnsi="Arial" w:cs="Arial"/>
          <w:sz w:val="24"/>
        </w:rPr>
        <w:t xml:space="preserve"> omitió presentar evidencia documental que ampare y justifique la autorización de la adquisición de dicho vehículo.</w:t>
      </w:r>
    </w:p>
    <w:p w:rsidR="00CA530F" w:rsidRPr="00CA530F" w:rsidRDefault="00CA530F" w:rsidP="00CA530F">
      <w:pPr>
        <w:spacing w:after="0" w:line="360" w:lineRule="auto"/>
        <w:contextualSpacing/>
        <w:jc w:val="both"/>
        <w:rPr>
          <w:rFonts w:ascii="Arial" w:hAnsi="Arial" w:cs="Arial"/>
          <w:sz w:val="24"/>
        </w:rPr>
      </w:pPr>
    </w:p>
    <w:p w:rsidR="00CA530F" w:rsidRPr="00CA530F" w:rsidRDefault="00CA530F" w:rsidP="00CA530F">
      <w:pPr>
        <w:spacing w:after="0" w:line="360" w:lineRule="auto"/>
        <w:contextualSpacing/>
        <w:jc w:val="both"/>
        <w:rPr>
          <w:rFonts w:ascii="Arial" w:hAnsi="Arial" w:cs="Arial"/>
          <w:b/>
          <w:sz w:val="24"/>
        </w:rPr>
      </w:pPr>
      <w:r w:rsidRPr="00CA530F">
        <w:rPr>
          <w:rFonts w:ascii="Arial" w:hAnsi="Arial" w:cs="Arial"/>
          <w:b/>
          <w:sz w:val="24"/>
        </w:rPr>
        <w:t>Acción(es) o recomendación(es) emitida(s)</w:t>
      </w:r>
    </w:p>
    <w:p w:rsidR="00CA530F" w:rsidRPr="00CA530F" w:rsidRDefault="00CA530F" w:rsidP="00CA530F">
      <w:pPr>
        <w:spacing w:after="0" w:line="360" w:lineRule="auto"/>
        <w:contextualSpacing/>
        <w:jc w:val="both"/>
        <w:rPr>
          <w:rFonts w:ascii="Arial" w:hAnsi="Arial" w:cs="Arial"/>
          <w:i/>
          <w:sz w:val="24"/>
        </w:rPr>
      </w:pPr>
      <w:r w:rsidRPr="00CA530F">
        <w:rPr>
          <w:rFonts w:ascii="Arial" w:hAnsi="Arial" w:cs="Arial"/>
          <w:i/>
          <w:sz w:val="24"/>
        </w:rPr>
        <w:t>Promoción de Fincamiento de Responsabilidad Administrativa.</w:t>
      </w:r>
    </w:p>
    <w:p w:rsidR="00374B6D" w:rsidRPr="00CA530F" w:rsidRDefault="00374B6D" w:rsidP="00374B6D">
      <w:pPr>
        <w:spacing w:after="0" w:line="360" w:lineRule="auto"/>
        <w:contextualSpacing/>
        <w:jc w:val="both"/>
        <w:rPr>
          <w:rFonts w:ascii="Arial" w:hAnsi="Arial" w:cs="Arial"/>
          <w:sz w:val="24"/>
        </w:rPr>
      </w:pPr>
    </w:p>
    <w:p w:rsidR="00374B6D" w:rsidRDefault="00CA530F" w:rsidP="00374B6D">
      <w:pPr>
        <w:spacing w:after="0" w:line="360" w:lineRule="auto"/>
        <w:contextualSpacing/>
        <w:jc w:val="both"/>
        <w:rPr>
          <w:rFonts w:ascii="Arial" w:hAnsi="Arial" w:cs="Arial"/>
          <w:b/>
          <w:sz w:val="24"/>
          <w:u w:val="single"/>
        </w:rPr>
      </w:pPr>
      <w:r w:rsidRPr="00CA530F">
        <w:rPr>
          <w:rFonts w:ascii="Arial" w:hAnsi="Arial" w:cs="Arial"/>
          <w:b/>
          <w:sz w:val="24"/>
          <w:u w:val="single"/>
        </w:rPr>
        <w:t>Depreciación, deterioro y amortización acumulada de bienes e intangibles</w:t>
      </w:r>
    </w:p>
    <w:p w:rsidR="00CA530F" w:rsidRDefault="00CA530F" w:rsidP="00374B6D">
      <w:pPr>
        <w:spacing w:after="0" w:line="360" w:lineRule="auto"/>
        <w:contextualSpacing/>
        <w:jc w:val="both"/>
        <w:rPr>
          <w:rFonts w:ascii="Arial" w:hAnsi="Arial" w:cs="Arial"/>
          <w:b/>
          <w:sz w:val="24"/>
          <w:u w:val="single"/>
        </w:rPr>
      </w:pPr>
    </w:p>
    <w:p w:rsidR="00CA530F" w:rsidRDefault="00CA530F" w:rsidP="00374B6D">
      <w:pPr>
        <w:spacing w:after="0" w:line="360" w:lineRule="auto"/>
        <w:contextualSpacing/>
        <w:jc w:val="both"/>
        <w:rPr>
          <w:rFonts w:ascii="Arial" w:hAnsi="Arial" w:cs="Arial"/>
          <w:sz w:val="24"/>
        </w:rPr>
      </w:pPr>
      <w:r>
        <w:rPr>
          <w:rFonts w:ascii="Arial" w:hAnsi="Arial" w:cs="Arial"/>
          <w:sz w:val="24"/>
        </w:rPr>
        <w:t>8.</w:t>
      </w:r>
      <w:r w:rsidRPr="00CA530F">
        <w:t xml:space="preserve"> </w:t>
      </w:r>
      <w:r w:rsidRPr="00CA530F">
        <w:rPr>
          <w:rFonts w:ascii="Arial" w:hAnsi="Arial" w:cs="Arial"/>
          <w:sz w:val="24"/>
        </w:rPr>
        <w:t>No se proporcionó ni fue exhibida por el Ente Público evidencia del cálculo de la depreciación conforme a lo establecido en el Acuerdo por el que se emiten las reglas específicas del registro y valoración del patrimonio (inciso B - punto 6 - Depreciación, deterioro y amortización, del ejercicio y acumulada de bienes), estableciendo su observancia obligatoria, de conformidad con el artículo 7 de la Ley General de Contabilidad Gubernamental.</w:t>
      </w:r>
    </w:p>
    <w:p w:rsidR="00CA530F" w:rsidRDefault="00CA530F" w:rsidP="00374B6D">
      <w:pPr>
        <w:spacing w:after="0" w:line="360" w:lineRule="auto"/>
        <w:contextualSpacing/>
        <w:jc w:val="both"/>
        <w:rPr>
          <w:rFonts w:ascii="Arial" w:hAnsi="Arial" w:cs="Arial"/>
          <w:sz w:val="24"/>
        </w:rPr>
      </w:pPr>
    </w:p>
    <w:p w:rsidR="00CA530F" w:rsidRPr="00CA530F" w:rsidRDefault="00CA530F" w:rsidP="00CA530F">
      <w:pPr>
        <w:spacing w:after="0" w:line="360" w:lineRule="auto"/>
        <w:contextualSpacing/>
        <w:jc w:val="both"/>
        <w:rPr>
          <w:rFonts w:ascii="Arial" w:hAnsi="Arial" w:cs="Arial"/>
          <w:b/>
          <w:sz w:val="24"/>
        </w:rPr>
      </w:pPr>
      <w:r w:rsidRPr="00CA530F">
        <w:rPr>
          <w:rFonts w:ascii="Arial" w:hAnsi="Arial" w:cs="Arial"/>
          <w:b/>
          <w:sz w:val="24"/>
        </w:rPr>
        <w:t>Análisis de la Auditoría Superior del Estado</w:t>
      </w:r>
    </w:p>
    <w:p w:rsidR="00CA530F" w:rsidRDefault="00CA530F" w:rsidP="00CA530F">
      <w:pPr>
        <w:spacing w:after="0" w:line="360" w:lineRule="auto"/>
        <w:contextualSpacing/>
        <w:jc w:val="both"/>
        <w:rPr>
          <w:rFonts w:ascii="Arial" w:hAnsi="Arial" w:cs="Arial"/>
          <w:sz w:val="24"/>
        </w:rPr>
      </w:pPr>
    </w:p>
    <w:p w:rsidR="00CA530F" w:rsidRPr="00CA530F" w:rsidRDefault="00CA530F" w:rsidP="00CA530F">
      <w:pPr>
        <w:spacing w:after="0" w:line="360" w:lineRule="auto"/>
        <w:contextualSpacing/>
        <w:jc w:val="both"/>
        <w:rPr>
          <w:rFonts w:ascii="Arial" w:hAnsi="Arial" w:cs="Arial"/>
          <w:sz w:val="24"/>
        </w:rPr>
      </w:pPr>
      <w:r>
        <w:rPr>
          <w:rFonts w:ascii="Arial" w:hAnsi="Arial" w:cs="Arial"/>
          <w:sz w:val="24"/>
        </w:rPr>
        <w:t>La Auditoría</w:t>
      </w:r>
      <w:r w:rsidRPr="00CA530F">
        <w:rPr>
          <w:rFonts w:ascii="Arial" w:hAnsi="Arial" w:cs="Arial"/>
          <w:sz w:val="24"/>
        </w:rPr>
        <w:t xml:space="preserve"> analizó la respuesta y documentación proporcionada por el Ente Público,</w:t>
      </w:r>
      <w:r>
        <w:rPr>
          <w:rFonts w:ascii="Arial" w:hAnsi="Arial" w:cs="Arial"/>
          <w:sz w:val="24"/>
        </w:rPr>
        <w:t xml:space="preserve"> y determinó que esta observación se solventó</w:t>
      </w:r>
      <w:r w:rsidRPr="00CA530F">
        <w:rPr>
          <w:rFonts w:ascii="Arial" w:hAnsi="Arial" w:cs="Arial"/>
          <w:sz w:val="24"/>
        </w:rPr>
        <w:t xml:space="preserve"> parcialmente lo observad</w:t>
      </w:r>
      <w:r>
        <w:rPr>
          <w:rFonts w:ascii="Arial" w:hAnsi="Arial" w:cs="Arial"/>
          <w:sz w:val="24"/>
        </w:rPr>
        <w:t>o, ya que aún y cuando se anexaron</w:t>
      </w:r>
      <w:r w:rsidRPr="00CA530F">
        <w:rPr>
          <w:rFonts w:ascii="Arial" w:hAnsi="Arial" w:cs="Arial"/>
          <w:sz w:val="24"/>
        </w:rPr>
        <w:t xml:space="preserve"> los porcentajes utilizados para el cálculo de la depreciación,</w:t>
      </w:r>
      <w:r>
        <w:rPr>
          <w:rFonts w:ascii="Arial" w:hAnsi="Arial" w:cs="Arial"/>
          <w:sz w:val="24"/>
        </w:rPr>
        <w:t xml:space="preserve"> el Ente</w:t>
      </w:r>
      <w:r w:rsidRPr="00CA530F">
        <w:rPr>
          <w:rFonts w:ascii="Arial" w:hAnsi="Arial" w:cs="Arial"/>
          <w:sz w:val="24"/>
        </w:rPr>
        <w:t xml:space="preserve"> no presentó la fórmula, el valor de desecho y el dictamen técnico, además del peritaje obtenido o estudio realizado, que considere la determinación de la vida útil de los activos, como lo señala el Acuerdo por el que se emiten las reglas específicas del registro y valoración del patrimonio.</w:t>
      </w:r>
    </w:p>
    <w:p w:rsidR="00CA530F" w:rsidRPr="00CA530F" w:rsidRDefault="00CA530F" w:rsidP="00CA530F">
      <w:pPr>
        <w:spacing w:after="0" w:line="360" w:lineRule="auto"/>
        <w:contextualSpacing/>
        <w:jc w:val="both"/>
        <w:rPr>
          <w:rFonts w:ascii="Arial" w:hAnsi="Arial" w:cs="Arial"/>
          <w:b/>
          <w:sz w:val="24"/>
        </w:rPr>
      </w:pPr>
    </w:p>
    <w:p w:rsidR="00CA530F" w:rsidRPr="00CA530F" w:rsidRDefault="00CA530F" w:rsidP="00CA530F">
      <w:pPr>
        <w:spacing w:after="0" w:line="360" w:lineRule="auto"/>
        <w:contextualSpacing/>
        <w:jc w:val="both"/>
        <w:rPr>
          <w:rFonts w:ascii="Arial" w:hAnsi="Arial" w:cs="Arial"/>
          <w:b/>
          <w:sz w:val="24"/>
        </w:rPr>
      </w:pPr>
      <w:r w:rsidRPr="00CA530F">
        <w:rPr>
          <w:rFonts w:ascii="Arial" w:hAnsi="Arial" w:cs="Arial"/>
          <w:b/>
          <w:sz w:val="24"/>
        </w:rPr>
        <w:t>Acción(es) o recomendación(es) emitida(s)</w:t>
      </w:r>
    </w:p>
    <w:p w:rsidR="00CA530F" w:rsidRPr="00CA530F" w:rsidRDefault="00CA530F" w:rsidP="00CA530F">
      <w:pPr>
        <w:spacing w:after="0" w:line="360" w:lineRule="auto"/>
        <w:contextualSpacing/>
        <w:jc w:val="both"/>
        <w:rPr>
          <w:rFonts w:ascii="Arial" w:hAnsi="Arial" w:cs="Arial"/>
          <w:i/>
          <w:sz w:val="24"/>
        </w:rPr>
      </w:pPr>
      <w:r w:rsidRPr="00CA530F">
        <w:rPr>
          <w:rFonts w:ascii="Arial" w:hAnsi="Arial" w:cs="Arial"/>
          <w:i/>
          <w:sz w:val="24"/>
        </w:rPr>
        <w:t>Promoción de Fincamiento de Responsabilidad Administrativa.</w:t>
      </w:r>
    </w:p>
    <w:p w:rsidR="00CA530F" w:rsidRDefault="00CA530F" w:rsidP="00374B6D">
      <w:pPr>
        <w:spacing w:after="0" w:line="360" w:lineRule="auto"/>
        <w:contextualSpacing/>
        <w:jc w:val="both"/>
        <w:rPr>
          <w:rFonts w:ascii="Arial" w:hAnsi="Arial" w:cs="Arial"/>
          <w:sz w:val="24"/>
        </w:rPr>
      </w:pPr>
    </w:p>
    <w:p w:rsidR="00CA530F" w:rsidRDefault="00CA530F" w:rsidP="00374B6D">
      <w:pPr>
        <w:spacing w:after="0" w:line="360" w:lineRule="auto"/>
        <w:contextualSpacing/>
        <w:jc w:val="both"/>
        <w:rPr>
          <w:rFonts w:ascii="Arial" w:hAnsi="Arial" w:cs="Arial"/>
          <w:sz w:val="24"/>
        </w:rPr>
      </w:pPr>
      <w:r>
        <w:rPr>
          <w:rFonts w:ascii="Arial" w:hAnsi="Arial" w:cs="Arial"/>
          <w:sz w:val="24"/>
        </w:rPr>
        <w:t xml:space="preserve">9. </w:t>
      </w:r>
      <w:r w:rsidRPr="00CA530F">
        <w:rPr>
          <w:rFonts w:ascii="Arial" w:hAnsi="Arial" w:cs="Arial"/>
          <w:sz w:val="24"/>
        </w:rPr>
        <w:t>Al revisar el registro de la depreciación y amortización de los activos propiedad del Ente Público correspondiente al ejercicio 2015, se observó que no concilia la depreciación presentada en el Activo no circulante con la presentada en Otros gastos y pérdidas extraordinarias, originando una diferencia de $11,391,536 como se muestra a continuación:</w:t>
      </w:r>
    </w:p>
    <w:p w:rsidR="00CA530F" w:rsidRDefault="00CA530F" w:rsidP="00374B6D">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5"/>
        <w:gridCol w:w="158"/>
        <w:gridCol w:w="1407"/>
        <w:gridCol w:w="158"/>
        <w:gridCol w:w="2703"/>
        <w:gridCol w:w="158"/>
        <w:gridCol w:w="796"/>
      </w:tblGrid>
      <w:tr w:rsidR="00CA530F" w:rsidRPr="00CA530F" w:rsidTr="00CA530F">
        <w:trPr>
          <w:tblCellSpacing w:w="15" w:type="dxa"/>
          <w:jc w:val="center"/>
        </w:trPr>
        <w:tc>
          <w:tcPr>
            <w:tcW w:w="0" w:type="auto"/>
            <w:shd w:val="clear" w:color="auto" w:fill="BFBFBF" w:themeFill="background1" w:themeFillShade="BF"/>
            <w:vAlign w:val="center"/>
            <w:hideMark/>
          </w:tcPr>
          <w:p w:rsidR="00CA530F" w:rsidRPr="00CA530F" w:rsidRDefault="00CA530F" w:rsidP="00CA530F">
            <w:pPr>
              <w:jc w:val="center"/>
              <w:rPr>
                <w:rFonts w:ascii="Arial" w:hAnsi="Arial" w:cs="Arial"/>
                <w:b/>
                <w:sz w:val="14"/>
                <w:szCs w:val="14"/>
                <w:u w:val="single"/>
                <w:lang w:val="es-MX" w:eastAsia="es-MX"/>
              </w:rPr>
            </w:pPr>
            <w:r w:rsidRPr="00CA530F">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CA530F" w:rsidRPr="00CA530F" w:rsidRDefault="00CA530F" w:rsidP="00CA530F">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CA530F" w:rsidRPr="00CA530F" w:rsidRDefault="00CA530F" w:rsidP="00CA530F">
            <w:pPr>
              <w:jc w:val="center"/>
              <w:rPr>
                <w:rFonts w:ascii="Arial" w:hAnsi="Arial" w:cs="Arial"/>
                <w:b/>
                <w:sz w:val="14"/>
                <w:szCs w:val="14"/>
                <w:u w:val="single"/>
                <w:lang w:val="es-MX" w:eastAsia="es-MX"/>
              </w:rPr>
            </w:pPr>
            <w:r w:rsidRPr="00CA530F">
              <w:rPr>
                <w:rFonts w:ascii="Arial" w:hAnsi="Arial" w:cs="Arial"/>
                <w:b/>
                <w:sz w:val="14"/>
                <w:szCs w:val="14"/>
                <w:u w:val="single"/>
                <w:lang w:val="es-MX" w:eastAsia="es-MX"/>
              </w:rPr>
              <w:t>Activo no circulante</w:t>
            </w:r>
          </w:p>
        </w:tc>
        <w:tc>
          <w:tcPr>
            <w:tcW w:w="0" w:type="auto"/>
            <w:shd w:val="clear" w:color="auto" w:fill="BFBFBF" w:themeFill="background1" w:themeFillShade="BF"/>
            <w:vAlign w:val="center"/>
            <w:hideMark/>
          </w:tcPr>
          <w:p w:rsidR="00CA530F" w:rsidRPr="00CA530F" w:rsidRDefault="00CA530F" w:rsidP="00CA530F">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CA530F" w:rsidRPr="00CA530F" w:rsidRDefault="00CA530F" w:rsidP="00CA530F">
            <w:pPr>
              <w:jc w:val="center"/>
              <w:rPr>
                <w:rFonts w:ascii="Arial" w:hAnsi="Arial" w:cs="Arial"/>
                <w:b/>
                <w:sz w:val="14"/>
                <w:szCs w:val="14"/>
                <w:u w:val="single"/>
                <w:lang w:val="es-MX" w:eastAsia="es-MX"/>
              </w:rPr>
            </w:pPr>
            <w:r w:rsidRPr="00CA530F">
              <w:rPr>
                <w:rFonts w:ascii="Arial" w:hAnsi="Arial" w:cs="Arial"/>
                <w:b/>
                <w:sz w:val="14"/>
                <w:szCs w:val="14"/>
                <w:u w:val="single"/>
                <w:lang w:val="es-MX" w:eastAsia="es-MX"/>
              </w:rPr>
              <w:t>Otros gastos y pérdidas extraordinarias</w:t>
            </w:r>
          </w:p>
        </w:tc>
        <w:tc>
          <w:tcPr>
            <w:tcW w:w="0" w:type="auto"/>
            <w:shd w:val="clear" w:color="auto" w:fill="BFBFBF" w:themeFill="background1" w:themeFillShade="BF"/>
            <w:vAlign w:val="center"/>
            <w:hideMark/>
          </w:tcPr>
          <w:p w:rsidR="00CA530F" w:rsidRPr="00CA530F" w:rsidRDefault="00CA530F" w:rsidP="00CA530F">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CA530F" w:rsidRPr="00CA530F" w:rsidRDefault="00CA530F" w:rsidP="00CA530F">
            <w:pPr>
              <w:jc w:val="center"/>
              <w:rPr>
                <w:rFonts w:ascii="Arial" w:hAnsi="Arial" w:cs="Arial"/>
                <w:b/>
                <w:sz w:val="14"/>
                <w:szCs w:val="14"/>
                <w:u w:val="single"/>
                <w:lang w:val="es-MX" w:eastAsia="es-MX"/>
              </w:rPr>
            </w:pPr>
            <w:r w:rsidRPr="00CA530F">
              <w:rPr>
                <w:rFonts w:ascii="Arial" w:hAnsi="Arial" w:cs="Arial"/>
                <w:b/>
                <w:sz w:val="14"/>
                <w:szCs w:val="14"/>
                <w:u w:val="single"/>
                <w:lang w:val="es-MX" w:eastAsia="es-MX"/>
              </w:rPr>
              <w:t>Diferencia</w:t>
            </w:r>
          </w:p>
        </w:tc>
      </w:tr>
      <w:tr w:rsidR="00CA530F" w:rsidRPr="00CA530F" w:rsidTr="00CA530F">
        <w:trPr>
          <w:tblCellSpacing w:w="15" w:type="dxa"/>
          <w:jc w:val="center"/>
        </w:trPr>
        <w:tc>
          <w:tcPr>
            <w:tcW w:w="0" w:type="auto"/>
            <w:vAlign w:val="center"/>
            <w:hideMark/>
          </w:tcPr>
          <w:p w:rsidR="00CA530F" w:rsidRPr="00CA530F" w:rsidRDefault="00CA530F" w:rsidP="00CA530F">
            <w:pPr>
              <w:jc w:val="center"/>
              <w:rPr>
                <w:rFonts w:ascii="Arial" w:hAnsi="Arial" w:cs="Arial"/>
                <w:sz w:val="14"/>
                <w:szCs w:val="14"/>
                <w:lang w:val="es-MX" w:eastAsia="es-MX"/>
              </w:rPr>
            </w:pPr>
            <w:r w:rsidRPr="00CA530F">
              <w:rPr>
                <w:rFonts w:ascii="Arial" w:hAnsi="Arial" w:cs="Arial"/>
                <w:sz w:val="14"/>
                <w:szCs w:val="14"/>
                <w:lang w:val="es-MX" w:eastAsia="es-MX"/>
              </w:rPr>
              <w:t>Depreciación de infraestructura</w:t>
            </w:r>
          </w:p>
        </w:tc>
        <w:tc>
          <w:tcPr>
            <w:tcW w:w="0" w:type="auto"/>
            <w:vAlign w:val="center"/>
            <w:hideMark/>
          </w:tcPr>
          <w:p w:rsidR="00CA530F" w:rsidRPr="00CA530F" w:rsidRDefault="00CA530F" w:rsidP="00CA530F">
            <w:pPr>
              <w:jc w:val="center"/>
              <w:rPr>
                <w:rFonts w:ascii="Arial" w:hAnsi="Arial" w:cs="Arial"/>
                <w:sz w:val="14"/>
                <w:szCs w:val="14"/>
                <w:lang w:val="es-MX" w:eastAsia="es-MX"/>
              </w:rPr>
            </w:pPr>
            <w:r w:rsidRPr="00CA530F">
              <w:rPr>
                <w:rFonts w:ascii="Arial" w:hAnsi="Arial" w:cs="Arial"/>
                <w:sz w:val="14"/>
                <w:szCs w:val="14"/>
                <w:lang w:val="es-MX" w:eastAsia="es-MX"/>
              </w:rPr>
              <w:t>$</w:t>
            </w:r>
          </w:p>
        </w:tc>
        <w:tc>
          <w:tcPr>
            <w:tcW w:w="0" w:type="auto"/>
            <w:vAlign w:val="center"/>
            <w:hideMark/>
          </w:tcPr>
          <w:p w:rsidR="00CA530F" w:rsidRPr="00CA530F" w:rsidRDefault="00CA530F" w:rsidP="00CA530F">
            <w:pPr>
              <w:jc w:val="center"/>
              <w:rPr>
                <w:rFonts w:ascii="Arial" w:hAnsi="Arial" w:cs="Arial"/>
                <w:sz w:val="14"/>
                <w:szCs w:val="14"/>
                <w:lang w:val="es-MX" w:eastAsia="es-MX"/>
              </w:rPr>
            </w:pPr>
            <w:r w:rsidRPr="00CA530F">
              <w:rPr>
                <w:rFonts w:ascii="Arial" w:hAnsi="Arial" w:cs="Arial"/>
                <w:sz w:val="14"/>
                <w:szCs w:val="14"/>
                <w:lang w:val="es-MX" w:eastAsia="es-MX"/>
              </w:rPr>
              <w:t>6,369,463</w:t>
            </w:r>
          </w:p>
        </w:tc>
        <w:tc>
          <w:tcPr>
            <w:tcW w:w="0" w:type="auto"/>
            <w:vAlign w:val="center"/>
            <w:hideMark/>
          </w:tcPr>
          <w:p w:rsidR="00CA530F" w:rsidRPr="00CA530F" w:rsidRDefault="00CA530F" w:rsidP="00CA530F">
            <w:pPr>
              <w:jc w:val="center"/>
              <w:rPr>
                <w:rFonts w:ascii="Arial" w:hAnsi="Arial" w:cs="Arial"/>
                <w:sz w:val="14"/>
                <w:szCs w:val="14"/>
                <w:lang w:val="es-MX" w:eastAsia="es-MX"/>
              </w:rPr>
            </w:pPr>
            <w:r w:rsidRPr="00CA530F">
              <w:rPr>
                <w:rFonts w:ascii="Arial" w:hAnsi="Arial" w:cs="Arial"/>
                <w:sz w:val="14"/>
                <w:szCs w:val="14"/>
                <w:lang w:val="es-MX" w:eastAsia="es-MX"/>
              </w:rPr>
              <w:t>$</w:t>
            </w:r>
          </w:p>
        </w:tc>
        <w:tc>
          <w:tcPr>
            <w:tcW w:w="0" w:type="auto"/>
            <w:vAlign w:val="center"/>
            <w:hideMark/>
          </w:tcPr>
          <w:p w:rsidR="00CA530F" w:rsidRPr="00CA530F" w:rsidRDefault="00CA530F" w:rsidP="00CA530F">
            <w:pPr>
              <w:jc w:val="center"/>
              <w:rPr>
                <w:rFonts w:ascii="Arial" w:hAnsi="Arial" w:cs="Arial"/>
                <w:sz w:val="14"/>
                <w:szCs w:val="14"/>
                <w:lang w:val="es-MX" w:eastAsia="es-MX"/>
              </w:rPr>
            </w:pPr>
            <w:r w:rsidRPr="00CA530F">
              <w:rPr>
                <w:rFonts w:ascii="Arial" w:hAnsi="Arial" w:cs="Arial"/>
                <w:sz w:val="14"/>
                <w:szCs w:val="14"/>
                <w:lang w:val="es-MX" w:eastAsia="es-MX"/>
              </w:rPr>
              <w:t>1,422,609</w:t>
            </w:r>
          </w:p>
        </w:tc>
        <w:tc>
          <w:tcPr>
            <w:tcW w:w="0" w:type="auto"/>
            <w:vAlign w:val="center"/>
            <w:hideMark/>
          </w:tcPr>
          <w:p w:rsidR="00CA530F" w:rsidRPr="00CA530F" w:rsidRDefault="00CA530F" w:rsidP="00CA530F">
            <w:pPr>
              <w:jc w:val="center"/>
              <w:rPr>
                <w:rFonts w:ascii="Arial" w:hAnsi="Arial" w:cs="Arial"/>
                <w:sz w:val="14"/>
                <w:szCs w:val="14"/>
                <w:lang w:val="es-MX" w:eastAsia="es-MX"/>
              </w:rPr>
            </w:pPr>
            <w:r w:rsidRPr="00CA530F">
              <w:rPr>
                <w:rFonts w:ascii="Arial" w:hAnsi="Arial" w:cs="Arial"/>
                <w:sz w:val="14"/>
                <w:szCs w:val="14"/>
                <w:lang w:val="es-MX" w:eastAsia="es-MX"/>
              </w:rPr>
              <w:t>$</w:t>
            </w:r>
          </w:p>
        </w:tc>
        <w:tc>
          <w:tcPr>
            <w:tcW w:w="0" w:type="auto"/>
            <w:vAlign w:val="center"/>
            <w:hideMark/>
          </w:tcPr>
          <w:p w:rsidR="00CA530F" w:rsidRPr="00CA530F" w:rsidRDefault="00CA530F" w:rsidP="00CA530F">
            <w:pPr>
              <w:jc w:val="center"/>
              <w:rPr>
                <w:rFonts w:ascii="Arial" w:hAnsi="Arial" w:cs="Arial"/>
                <w:sz w:val="14"/>
                <w:szCs w:val="14"/>
                <w:lang w:val="es-MX" w:eastAsia="es-MX"/>
              </w:rPr>
            </w:pPr>
            <w:r w:rsidRPr="00CA530F">
              <w:rPr>
                <w:rFonts w:ascii="Arial" w:hAnsi="Arial" w:cs="Arial"/>
                <w:sz w:val="14"/>
                <w:szCs w:val="14"/>
                <w:lang w:val="es-MX" w:eastAsia="es-MX"/>
              </w:rPr>
              <w:t>4,946,854</w:t>
            </w:r>
          </w:p>
        </w:tc>
      </w:tr>
      <w:tr w:rsidR="00CA530F" w:rsidRPr="00CA530F" w:rsidTr="00CA530F">
        <w:trPr>
          <w:tblCellSpacing w:w="15" w:type="dxa"/>
          <w:jc w:val="center"/>
        </w:trPr>
        <w:tc>
          <w:tcPr>
            <w:tcW w:w="0" w:type="auto"/>
            <w:vAlign w:val="center"/>
            <w:hideMark/>
          </w:tcPr>
          <w:p w:rsidR="00CA530F" w:rsidRPr="00CA530F" w:rsidRDefault="00CA530F" w:rsidP="00CA530F">
            <w:pPr>
              <w:jc w:val="center"/>
              <w:rPr>
                <w:rFonts w:ascii="Arial" w:hAnsi="Arial" w:cs="Arial"/>
                <w:sz w:val="14"/>
                <w:szCs w:val="14"/>
                <w:lang w:val="es-MX" w:eastAsia="es-MX"/>
              </w:rPr>
            </w:pPr>
          </w:p>
        </w:tc>
        <w:tc>
          <w:tcPr>
            <w:tcW w:w="0" w:type="auto"/>
            <w:vAlign w:val="center"/>
            <w:hideMark/>
          </w:tcPr>
          <w:p w:rsidR="00CA530F" w:rsidRPr="00CA530F" w:rsidRDefault="00CA530F" w:rsidP="00CA530F">
            <w:pPr>
              <w:jc w:val="center"/>
              <w:rPr>
                <w:rFonts w:ascii="Arial" w:hAnsi="Arial" w:cs="Arial"/>
                <w:sz w:val="14"/>
                <w:szCs w:val="14"/>
                <w:lang w:val="es-MX" w:eastAsia="es-MX"/>
              </w:rPr>
            </w:pPr>
          </w:p>
        </w:tc>
        <w:tc>
          <w:tcPr>
            <w:tcW w:w="0" w:type="auto"/>
            <w:vAlign w:val="center"/>
            <w:hideMark/>
          </w:tcPr>
          <w:p w:rsidR="00CA530F" w:rsidRPr="00CA530F" w:rsidRDefault="00CA530F" w:rsidP="00CA530F">
            <w:pPr>
              <w:jc w:val="center"/>
              <w:rPr>
                <w:rFonts w:ascii="Arial" w:hAnsi="Arial" w:cs="Arial"/>
                <w:sz w:val="14"/>
                <w:szCs w:val="14"/>
                <w:lang w:val="es-MX" w:eastAsia="es-MX"/>
              </w:rPr>
            </w:pPr>
          </w:p>
        </w:tc>
        <w:tc>
          <w:tcPr>
            <w:tcW w:w="0" w:type="auto"/>
            <w:vAlign w:val="center"/>
            <w:hideMark/>
          </w:tcPr>
          <w:p w:rsidR="00CA530F" w:rsidRPr="00CA530F" w:rsidRDefault="00CA530F" w:rsidP="00CA530F">
            <w:pPr>
              <w:jc w:val="center"/>
              <w:rPr>
                <w:rFonts w:ascii="Arial" w:hAnsi="Arial" w:cs="Arial"/>
                <w:sz w:val="14"/>
                <w:szCs w:val="14"/>
                <w:lang w:val="es-MX" w:eastAsia="es-MX"/>
              </w:rPr>
            </w:pPr>
          </w:p>
        </w:tc>
        <w:tc>
          <w:tcPr>
            <w:tcW w:w="0" w:type="auto"/>
            <w:vAlign w:val="center"/>
            <w:hideMark/>
          </w:tcPr>
          <w:p w:rsidR="00CA530F" w:rsidRPr="00CA530F" w:rsidRDefault="00CA530F" w:rsidP="00CA530F">
            <w:pPr>
              <w:jc w:val="center"/>
              <w:rPr>
                <w:rFonts w:ascii="Arial" w:hAnsi="Arial" w:cs="Arial"/>
                <w:sz w:val="14"/>
                <w:szCs w:val="14"/>
                <w:lang w:val="es-MX" w:eastAsia="es-MX"/>
              </w:rPr>
            </w:pPr>
          </w:p>
        </w:tc>
        <w:tc>
          <w:tcPr>
            <w:tcW w:w="0" w:type="auto"/>
            <w:vAlign w:val="center"/>
            <w:hideMark/>
          </w:tcPr>
          <w:p w:rsidR="00CA530F" w:rsidRPr="00CA530F" w:rsidRDefault="00CA530F" w:rsidP="00CA530F">
            <w:pPr>
              <w:jc w:val="center"/>
              <w:rPr>
                <w:rFonts w:ascii="Arial" w:hAnsi="Arial" w:cs="Arial"/>
                <w:sz w:val="14"/>
                <w:szCs w:val="14"/>
                <w:lang w:val="es-MX" w:eastAsia="es-MX"/>
              </w:rPr>
            </w:pPr>
          </w:p>
        </w:tc>
        <w:tc>
          <w:tcPr>
            <w:tcW w:w="0" w:type="auto"/>
            <w:vAlign w:val="center"/>
            <w:hideMark/>
          </w:tcPr>
          <w:p w:rsidR="00CA530F" w:rsidRPr="00CA530F" w:rsidRDefault="00CA530F" w:rsidP="00CA530F">
            <w:pPr>
              <w:jc w:val="center"/>
              <w:rPr>
                <w:rFonts w:ascii="Arial" w:hAnsi="Arial" w:cs="Arial"/>
                <w:sz w:val="14"/>
                <w:szCs w:val="14"/>
                <w:lang w:val="es-MX" w:eastAsia="es-MX"/>
              </w:rPr>
            </w:pPr>
          </w:p>
        </w:tc>
      </w:tr>
      <w:tr w:rsidR="00CA530F" w:rsidRPr="00CA530F" w:rsidTr="00CA530F">
        <w:trPr>
          <w:tblCellSpacing w:w="15" w:type="dxa"/>
          <w:jc w:val="center"/>
        </w:trPr>
        <w:tc>
          <w:tcPr>
            <w:tcW w:w="0" w:type="auto"/>
            <w:vAlign w:val="center"/>
            <w:hideMark/>
          </w:tcPr>
          <w:p w:rsidR="00CA530F" w:rsidRPr="00CA530F" w:rsidRDefault="00CA530F" w:rsidP="00CA530F">
            <w:pPr>
              <w:jc w:val="center"/>
              <w:rPr>
                <w:rFonts w:ascii="Arial" w:hAnsi="Arial" w:cs="Arial"/>
                <w:sz w:val="14"/>
                <w:szCs w:val="14"/>
                <w:lang w:val="es-MX" w:eastAsia="es-MX"/>
              </w:rPr>
            </w:pPr>
            <w:r w:rsidRPr="00CA530F">
              <w:rPr>
                <w:rFonts w:ascii="Arial" w:hAnsi="Arial" w:cs="Arial"/>
                <w:sz w:val="14"/>
                <w:szCs w:val="14"/>
                <w:lang w:val="es-MX" w:eastAsia="es-MX"/>
              </w:rPr>
              <w:t>Depreciación de bienes muebles</w:t>
            </w:r>
          </w:p>
        </w:tc>
        <w:tc>
          <w:tcPr>
            <w:tcW w:w="0" w:type="auto"/>
            <w:vAlign w:val="center"/>
            <w:hideMark/>
          </w:tcPr>
          <w:p w:rsidR="00CA530F" w:rsidRPr="00CA530F" w:rsidRDefault="00CA530F" w:rsidP="00CA530F">
            <w:pPr>
              <w:jc w:val="center"/>
              <w:rPr>
                <w:rFonts w:ascii="Arial" w:hAnsi="Arial" w:cs="Arial"/>
                <w:sz w:val="14"/>
                <w:szCs w:val="14"/>
                <w:lang w:val="es-MX" w:eastAsia="es-MX"/>
              </w:rPr>
            </w:pPr>
          </w:p>
        </w:tc>
        <w:tc>
          <w:tcPr>
            <w:tcW w:w="0" w:type="auto"/>
            <w:vAlign w:val="center"/>
            <w:hideMark/>
          </w:tcPr>
          <w:p w:rsidR="00CA530F" w:rsidRPr="00CA530F" w:rsidRDefault="00CA530F" w:rsidP="00CA530F">
            <w:pPr>
              <w:jc w:val="center"/>
              <w:rPr>
                <w:rFonts w:ascii="Arial" w:hAnsi="Arial" w:cs="Arial"/>
                <w:sz w:val="14"/>
                <w:szCs w:val="14"/>
                <w:lang w:val="es-MX" w:eastAsia="es-MX"/>
              </w:rPr>
            </w:pPr>
            <w:r w:rsidRPr="00CA530F">
              <w:rPr>
                <w:rFonts w:ascii="Arial" w:hAnsi="Arial" w:cs="Arial"/>
                <w:sz w:val="14"/>
                <w:szCs w:val="14"/>
                <w:lang w:val="es-MX" w:eastAsia="es-MX"/>
              </w:rPr>
              <w:t>8,824,736</w:t>
            </w:r>
          </w:p>
        </w:tc>
        <w:tc>
          <w:tcPr>
            <w:tcW w:w="0" w:type="auto"/>
            <w:vAlign w:val="center"/>
            <w:hideMark/>
          </w:tcPr>
          <w:p w:rsidR="00CA530F" w:rsidRPr="00CA530F" w:rsidRDefault="00CA530F" w:rsidP="00CA530F">
            <w:pPr>
              <w:jc w:val="center"/>
              <w:rPr>
                <w:rFonts w:ascii="Arial" w:hAnsi="Arial" w:cs="Arial"/>
                <w:sz w:val="14"/>
                <w:szCs w:val="14"/>
                <w:lang w:val="es-MX" w:eastAsia="es-MX"/>
              </w:rPr>
            </w:pPr>
          </w:p>
        </w:tc>
        <w:tc>
          <w:tcPr>
            <w:tcW w:w="0" w:type="auto"/>
            <w:vAlign w:val="center"/>
            <w:hideMark/>
          </w:tcPr>
          <w:p w:rsidR="00CA530F" w:rsidRPr="00CA530F" w:rsidRDefault="00CA530F" w:rsidP="00CA530F">
            <w:pPr>
              <w:jc w:val="center"/>
              <w:rPr>
                <w:rFonts w:ascii="Arial" w:hAnsi="Arial" w:cs="Arial"/>
                <w:sz w:val="14"/>
                <w:szCs w:val="14"/>
                <w:lang w:val="es-MX" w:eastAsia="es-MX"/>
              </w:rPr>
            </w:pPr>
            <w:r w:rsidRPr="00CA530F">
              <w:rPr>
                <w:rFonts w:ascii="Arial" w:hAnsi="Arial" w:cs="Arial"/>
                <w:sz w:val="14"/>
                <w:szCs w:val="14"/>
                <w:lang w:val="es-MX" w:eastAsia="es-MX"/>
              </w:rPr>
              <w:t>2,380,054</w:t>
            </w:r>
          </w:p>
        </w:tc>
        <w:tc>
          <w:tcPr>
            <w:tcW w:w="0" w:type="auto"/>
            <w:vAlign w:val="center"/>
            <w:hideMark/>
          </w:tcPr>
          <w:p w:rsidR="00CA530F" w:rsidRPr="00CA530F" w:rsidRDefault="00CA530F" w:rsidP="00CA530F">
            <w:pPr>
              <w:jc w:val="center"/>
              <w:rPr>
                <w:rFonts w:ascii="Arial" w:hAnsi="Arial" w:cs="Arial"/>
                <w:sz w:val="14"/>
                <w:szCs w:val="14"/>
                <w:lang w:val="es-MX" w:eastAsia="es-MX"/>
              </w:rPr>
            </w:pPr>
          </w:p>
        </w:tc>
        <w:tc>
          <w:tcPr>
            <w:tcW w:w="0" w:type="auto"/>
            <w:vAlign w:val="center"/>
            <w:hideMark/>
          </w:tcPr>
          <w:p w:rsidR="00CA530F" w:rsidRPr="00CA530F" w:rsidRDefault="00CA530F" w:rsidP="00CA530F">
            <w:pPr>
              <w:jc w:val="center"/>
              <w:rPr>
                <w:rFonts w:ascii="Arial" w:hAnsi="Arial" w:cs="Arial"/>
                <w:sz w:val="14"/>
                <w:szCs w:val="14"/>
                <w:lang w:val="es-MX" w:eastAsia="es-MX"/>
              </w:rPr>
            </w:pPr>
            <w:r w:rsidRPr="00CA530F">
              <w:rPr>
                <w:rFonts w:ascii="Arial" w:hAnsi="Arial" w:cs="Arial"/>
                <w:sz w:val="14"/>
                <w:szCs w:val="14"/>
                <w:lang w:val="es-MX" w:eastAsia="es-MX"/>
              </w:rPr>
              <w:t>6,444,682</w:t>
            </w:r>
          </w:p>
        </w:tc>
      </w:tr>
      <w:tr w:rsidR="00CA530F" w:rsidRPr="00CA530F" w:rsidTr="00CA530F">
        <w:trPr>
          <w:tblCellSpacing w:w="15" w:type="dxa"/>
          <w:jc w:val="center"/>
        </w:trPr>
        <w:tc>
          <w:tcPr>
            <w:tcW w:w="0" w:type="auto"/>
            <w:vAlign w:val="center"/>
            <w:hideMark/>
          </w:tcPr>
          <w:p w:rsidR="00CA530F" w:rsidRPr="00CA530F" w:rsidRDefault="00CA530F" w:rsidP="00CA530F">
            <w:pPr>
              <w:jc w:val="center"/>
              <w:rPr>
                <w:rFonts w:ascii="Arial" w:hAnsi="Arial" w:cs="Arial"/>
                <w:sz w:val="14"/>
                <w:szCs w:val="14"/>
                <w:lang w:val="es-MX" w:eastAsia="es-MX"/>
              </w:rPr>
            </w:pPr>
          </w:p>
        </w:tc>
        <w:tc>
          <w:tcPr>
            <w:tcW w:w="0" w:type="auto"/>
            <w:vAlign w:val="center"/>
            <w:hideMark/>
          </w:tcPr>
          <w:p w:rsidR="00CA530F" w:rsidRPr="00CA530F" w:rsidRDefault="00CA530F" w:rsidP="00CA530F">
            <w:pPr>
              <w:jc w:val="center"/>
              <w:rPr>
                <w:rFonts w:ascii="Arial" w:hAnsi="Arial" w:cs="Arial"/>
                <w:sz w:val="14"/>
                <w:szCs w:val="14"/>
                <w:lang w:val="es-MX" w:eastAsia="es-MX"/>
              </w:rPr>
            </w:pPr>
          </w:p>
        </w:tc>
        <w:tc>
          <w:tcPr>
            <w:tcW w:w="0" w:type="auto"/>
            <w:vAlign w:val="center"/>
            <w:hideMark/>
          </w:tcPr>
          <w:p w:rsidR="00CA530F" w:rsidRPr="00CA530F" w:rsidRDefault="00CA530F" w:rsidP="00CA530F">
            <w:pPr>
              <w:jc w:val="center"/>
              <w:rPr>
                <w:rFonts w:ascii="Arial" w:hAnsi="Arial" w:cs="Arial"/>
                <w:sz w:val="14"/>
                <w:szCs w:val="14"/>
                <w:lang w:val="es-MX" w:eastAsia="es-MX"/>
              </w:rPr>
            </w:pPr>
          </w:p>
        </w:tc>
        <w:tc>
          <w:tcPr>
            <w:tcW w:w="0" w:type="auto"/>
            <w:vAlign w:val="center"/>
            <w:hideMark/>
          </w:tcPr>
          <w:p w:rsidR="00CA530F" w:rsidRPr="00CA530F" w:rsidRDefault="00CA530F" w:rsidP="00CA530F">
            <w:pPr>
              <w:jc w:val="center"/>
              <w:rPr>
                <w:rFonts w:ascii="Arial" w:hAnsi="Arial" w:cs="Arial"/>
                <w:sz w:val="14"/>
                <w:szCs w:val="14"/>
                <w:lang w:val="es-MX" w:eastAsia="es-MX"/>
              </w:rPr>
            </w:pPr>
          </w:p>
        </w:tc>
        <w:tc>
          <w:tcPr>
            <w:tcW w:w="0" w:type="auto"/>
            <w:vAlign w:val="center"/>
            <w:hideMark/>
          </w:tcPr>
          <w:p w:rsidR="00CA530F" w:rsidRPr="00CA530F" w:rsidRDefault="00CA530F" w:rsidP="00CA530F">
            <w:pPr>
              <w:jc w:val="center"/>
              <w:rPr>
                <w:rFonts w:ascii="Arial" w:hAnsi="Arial" w:cs="Arial"/>
                <w:sz w:val="14"/>
                <w:szCs w:val="14"/>
                <w:lang w:val="es-MX" w:eastAsia="es-MX"/>
              </w:rPr>
            </w:pPr>
          </w:p>
        </w:tc>
        <w:tc>
          <w:tcPr>
            <w:tcW w:w="0" w:type="auto"/>
            <w:vAlign w:val="center"/>
            <w:hideMark/>
          </w:tcPr>
          <w:p w:rsidR="00CA530F" w:rsidRPr="00CA530F" w:rsidRDefault="00CA530F" w:rsidP="00CA530F">
            <w:pPr>
              <w:jc w:val="center"/>
              <w:rPr>
                <w:rFonts w:ascii="Arial" w:hAnsi="Arial" w:cs="Arial"/>
                <w:sz w:val="14"/>
                <w:szCs w:val="14"/>
                <w:lang w:val="es-MX" w:eastAsia="es-MX"/>
              </w:rPr>
            </w:pPr>
          </w:p>
        </w:tc>
        <w:tc>
          <w:tcPr>
            <w:tcW w:w="0" w:type="auto"/>
            <w:vAlign w:val="center"/>
            <w:hideMark/>
          </w:tcPr>
          <w:p w:rsidR="00CA530F" w:rsidRPr="00CA530F" w:rsidRDefault="00CA530F" w:rsidP="00CA530F">
            <w:pPr>
              <w:jc w:val="center"/>
              <w:rPr>
                <w:rFonts w:ascii="Arial" w:hAnsi="Arial" w:cs="Arial"/>
                <w:sz w:val="14"/>
                <w:szCs w:val="14"/>
                <w:lang w:val="es-MX" w:eastAsia="es-MX"/>
              </w:rPr>
            </w:pPr>
          </w:p>
        </w:tc>
      </w:tr>
      <w:tr w:rsidR="00CA530F" w:rsidRPr="00CA530F" w:rsidTr="00CA530F">
        <w:trPr>
          <w:tblCellSpacing w:w="15" w:type="dxa"/>
          <w:jc w:val="center"/>
        </w:trPr>
        <w:tc>
          <w:tcPr>
            <w:tcW w:w="0" w:type="auto"/>
            <w:vAlign w:val="center"/>
            <w:hideMark/>
          </w:tcPr>
          <w:p w:rsidR="00CA530F" w:rsidRPr="00CA530F" w:rsidRDefault="00CA530F" w:rsidP="00CA530F">
            <w:pPr>
              <w:jc w:val="center"/>
              <w:rPr>
                <w:rFonts w:ascii="Arial" w:hAnsi="Arial" w:cs="Arial"/>
                <w:b/>
                <w:bCs/>
                <w:sz w:val="14"/>
                <w:szCs w:val="14"/>
                <w:lang w:val="es-MX" w:eastAsia="es-MX"/>
              </w:rPr>
            </w:pPr>
            <w:r w:rsidRPr="00CA530F">
              <w:rPr>
                <w:rFonts w:ascii="Arial" w:hAnsi="Arial" w:cs="Arial"/>
                <w:b/>
                <w:bCs/>
                <w:sz w:val="14"/>
                <w:szCs w:val="14"/>
                <w:lang w:val="es-MX" w:eastAsia="es-MX"/>
              </w:rPr>
              <w:lastRenderedPageBreak/>
              <w:t>Total</w:t>
            </w:r>
          </w:p>
        </w:tc>
        <w:tc>
          <w:tcPr>
            <w:tcW w:w="0" w:type="auto"/>
            <w:vAlign w:val="center"/>
            <w:hideMark/>
          </w:tcPr>
          <w:p w:rsidR="00CA530F" w:rsidRPr="00CA530F" w:rsidRDefault="00CA530F" w:rsidP="00CA530F">
            <w:pPr>
              <w:jc w:val="center"/>
              <w:rPr>
                <w:rFonts w:ascii="Arial" w:hAnsi="Arial" w:cs="Arial"/>
                <w:b/>
                <w:bCs/>
                <w:sz w:val="14"/>
                <w:szCs w:val="14"/>
                <w:lang w:val="es-MX" w:eastAsia="es-MX"/>
              </w:rPr>
            </w:pPr>
            <w:r w:rsidRPr="00CA530F">
              <w:rPr>
                <w:rFonts w:ascii="Arial" w:hAnsi="Arial" w:cs="Arial"/>
                <w:b/>
                <w:bCs/>
                <w:sz w:val="14"/>
                <w:szCs w:val="14"/>
                <w:lang w:val="es-MX" w:eastAsia="es-MX"/>
              </w:rPr>
              <w:t>$</w:t>
            </w:r>
          </w:p>
        </w:tc>
        <w:tc>
          <w:tcPr>
            <w:tcW w:w="0" w:type="auto"/>
            <w:vAlign w:val="center"/>
            <w:hideMark/>
          </w:tcPr>
          <w:p w:rsidR="00CA530F" w:rsidRPr="00CA530F" w:rsidRDefault="00CA530F" w:rsidP="00CA530F">
            <w:pPr>
              <w:jc w:val="center"/>
              <w:rPr>
                <w:rFonts w:ascii="Arial" w:hAnsi="Arial" w:cs="Arial"/>
                <w:b/>
                <w:bCs/>
                <w:sz w:val="14"/>
                <w:szCs w:val="14"/>
                <w:lang w:val="es-MX" w:eastAsia="es-MX"/>
              </w:rPr>
            </w:pPr>
            <w:r w:rsidRPr="00CA530F">
              <w:rPr>
                <w:rFonts w:ascii="Arial" w:hAnsi="Arial" w:cs="Arial"/>
                <w:b/>
                <w:bCs/>
                <w:sz w:val="14"/>
                <w:szCs w:val="14"/>
                <w:lang w:val="es-MX" w:eastAsia="es-MX"/>
              </w:rPr>
              <w:t>15,194,199</w:t>
            </w:r>
          </w:p>
        </w:tc>
        <w:tc>
          <w:tcPr>
            <w:tcW w:w="0" w:type="auto"/>
            <w:vAlign w:val="center"/>
            <w:hideMark/>
          </w:tcPr>
          <w:p w:rsidR="00CA530F" w:rsidRPr="00CA530F" w:rsidRDefault="00CA530F" w:rsidP="00CA530F">
            <w:pPr>
              <w:jc w:val="center"/>
              <w:rPr>
                <w:rFonts w:ascii="Arial" w:hAnsi="Arial" w:cs="Arial"/>
                <w:b/>
                <w:bCs/>
                <w:sz w:val="14"/>
                <w:szCs w:val="14"/>
                <w:lang w:val="es-MX" w:eastAsia="es-MX"/>
              </w:rPr>
            </w:pPr>
            <w:r w:rsidRPr="00CA530F">
              <w:rPr>
                <w:rFonts w:ascii="Arial" w:hAnsi="Arial" w:cs="Arial"/>
                <w:b/>
                <w:bCs/>
                <w:sz w:val="14"/>
                <w:szCs w:val="14"/>
                <w:lang w:val="es-MX" w:eastAsia="es-MX"/>
              </w:rPr>
              <w:t>$</w:t>
            </w:r>
          </w:p>
        </w:tc>
        <w:tc>
          <w:tcPr>
            <w:tcW w:w="0" w:type="auto"/>
            <w:vAlign w:val="center"/>
            <w:hideMark/>
          </w:tcPr>
          <w:p w:rsidR="00CA530F" w:rsidRPr="00CA530F" w:rsidRDefault="00CA530F" w:rsidP="00CA530F">
            <w:pPr>
              <w:jc w:val="center"/>
              <w:rPr>
                <w:rFonts w:ascii="Arial" w:hAnsi="Arial" w:cs="Arial"/>
                <w:b/>
                <w:bCs/>
                <w:sz w:val="14"/>
                <w:szCs w:val="14"/>
                <w:lang w:val="es-MX" w:eastAsia="es-MX"/>
              </w:rPr>
            </w:pPr>
            <w:r w:rsidRPr="00CA530F">
              <w:rPr>
                <w:rFonts w:ascii="Arial" w:hAnsi="Arial" w:cs="Arial"/>
                <w:b/>
                <w:bCs/>
                <w:sz w:val="14"/>
                <w:szCs w:val="14"/>
                <w:lang w:val="es-MX" w:eastAsia="es-MX"/>
              </w:rPr>
              <w:t>3,802,663</w:t>
            </w:r>
          </w:p>
        </w:tc>
        <w:tc>
          <w:tcPr>
            <w:tcW w:w="0" w:type="auto"/>
            <w:vAlign w:val="center"/>
            <w:hideMark/>
          </w:tcPr>
          <w:p w:rsidR="00CA530F" w:rsidRPr="00CA530F" w:rsidRDefault="00CA530F" w:rsidP="00CA530F">
            <w:pPr>
              <w:jc w:val="center"/>
              <w:rPr>
                <w:rFonts w:ascii="Arial" w:hAnsi="Arial" w:cs="Arial"/>
                <w:b/>
                <w:bCs/>
                <w:sz w:val="14"/>
                <w:szCs w:val="14"/>
                <w:lang w:val="es-MX" w:eastAsia="es-MX"/>
              </w:rPr>
            </w:pPr>
            <w:r w:rsidRPr="00CA530F">
              <w:rPr>
                <w:rFonts w:ascii="Arial" w:hAnsi="Arial" w:cs="Arial"/>
                <w:b/>
                <w:bCs/>
                <w:sz w:val="14"/>
                <w:szCs w:val="14"/>
                <w:lang w:val="es-MX" w:eastAsia="es-MX"/>
              </w:rPr>
              <w:t>$</w:t>
            </w:r>
          </w:p>
        </w:tc>
        <w:tc>
          <w:tcPr>
            <w:tcW w:w="0" w:type="auto"/>
            <w:vAlign w:val="center"/>
            <w:hideMark/>
          </w:tcPr>
          <w:p w:rsidR="00CA530F" w:rsidRPr="00CA530F" w:rsidRDefault="00CA530F" w:rsidP="00CA530F">
            <w:pPr>
              <w:jc w:val="center"/>
              <w:rPr>
                <w:rFonts w:ascii="Arial" w:hAnsi="Arial" w:cs="Arial"/>
                <w:b/>
                <w:bCs/>
                <w:sz w:val="14"/>
                <w:szCs w:val="14"/>
                <w:lang w:val="es-MX" w:eastAsia="es-MX"/>
              </w:rPr>
            </w:pPr>
            <w:r w:rsidRPr="00CA530F">
              <w:rPr>
                <w:rFonts w:ascii="Arial" w:hAnsi="Arial" w:cs="Arial"/>
                <w:b/>
                <w:bCs/>
                <w:sz w:val="14"/>
                <w:szCs w:val="14"/>
                <w:lang w:val="es-MX" w:eastAsia="es-MX"/>
              </w:rPr>
              <w:t>11,391,536</w:t>
            </w:r>
          </w:p>
        </w:tc>
      </w:tr>
    </w:tbl>
    <w:p w:rsidR="00CA530F" w:rsidRPr="00CA530F" w:rsidRDefault="00CA530F" w:rsidP="00374B6D">
      <w:pPr>
        <w:spacing w:after="0" w:line="360" w:lineRule="auto"/>
        <w:contextualSpacing/>
        <w:jc w:val="both"/>
        <w:rPr>
          <w:rFonts w:ascii="Arial" w:hAnsi="Arial" w:cs="Arial"/>
          <w:sz w:val="24"/>
        </w:rPr>
      </w:pPr>
    </w:p>
    <w:p w:rsidR="00CA530F" w:rsidRDefault="00CA530F" w:rsidP="00CA530F">
      <w:pPr>
        <w:spacing w:after="0" w:line="360" w:lineRule="auto"/>
        <w:contextualSpacing/>
        <w:jc w:val="both"/>
        <w:rPr>
          <w:rFonts w:ascii="Arial" w:hAnsi="Arial" w:cs="Arial"/>
          <w:sz w:val="24"/>
        </w:rPr>
      </w:pPr>
    </w:p>
    <w:p w:rsidR="00CA530F" w:rsidRPr="00CA530F" w:rsidRDefault="00CA530F" w:rsidP="00CA530F">
      <w:pPr>
        <w:spacing w:after="0" w:line="360" w:lineRule="auto"/>
        <w:contextualSpacing/>
        <w:jc w:val="both"/>
        <w:rPr>
          <w:rFonts w:ascii="Arial" w:hAnsi="Arial" w:cs="Arial"/>
          <w:b/>
          <w:sz w:val="24"/>
        </w:rPr>
      </w:pPr>
      <w:r w:rsidRPr="00CA530F">
        <w:rPr>
          <w:rFonts w:ascii="Arial" w:hAnsi="Arial" w:cs="Arial"/>
          <w:b/>
          <w:sz w:val="24"/>
        </w:rPr>
        <w:t>Análisis de la Auditoría Superior del Estado</w:t>
      </w:r>
    </w:p>
    <w:p w:rsidR="00CA530F" w:rsidRDefault="00CA530F" w:rsidP="00CA530F">
      <w:pPr>
        <w:spacing w:after="0" w:line="360" w:lineRule="auto"/>
        <w:contextualSpacing/>
        <w:jc w:val="both"/>
        <w:rPr>
          <w:rFonts w:ascii="Arial" w:hAnsi="Arial" w:cs="Arial"/>
          <w:sz w:val="24"/>
        </w:rPr>
      </w:pPr>
    </w:p>
    <w:p w:rsidR="00CA530F" w:rsidRDefault="00CA530F" w:rsidP="00CA530F">
      <w:pPr>
        <w:spacing w:after="0" w:line="360" w:lineRule="auto"/>
        <w:contextualSpacing/>
        <w:jc w:val="both"/>
        <w:rPr>
          <w:rFonts w:ascii="Arial" w:hAnsi="Arial" w:cs="Arial"/>
          <w:sz w:val="24"/>
        </w:rPr>
      </w:pPr>
      <w:r>
        <w:rPr>
          <w:rFonts w:ascii="Arial" w:hAnsi="Arial" w:cs="Arial"/>
          <w:sz w:val="24"/>
        </w:rPr>
        <w:t>La Auditoría</w:t>
      </w:r>
      <w:r w:rsidRPr="00CA530F">
        <w:rPr>
          <w:rFonts w:ascii="Arial" w:hAnsi="Arial" w:cs="Arial"/>
          <w:sz w:val="24"/>
        </w:rPr>
        <w:t xml:space="preserve"> analizó la respuesta y documentación proporcionada por la Titular y Extitular del Ente Público,</w:t>
      </w:r>
      <w:r>
        <w:rPr>
          <w:rFonts w:ascii="Arial" w:hAnsi="Arial" w:cs="Arial"/>
          <w:sz w:val="24"/>
        </w:rPr>
        <w:t xml:space="preserve"> y determinó que esta observación se solventó</w:t>
      </w:r>
      <w:r w:rsidRPr="00CA530F">
        <w:rPr>
          <w:rFonts w:ascii="Arial" w:hAnsi="Arial" w:cs="Arial"/>
          <w:sz w:val="24"/>
        </w:rPr>
        <w:t xml:space="preserve"> parcialmente, </w:t>
      </w:r>
      <w:r w:rsidR="005C7DA2">
        <w:rPr>
          <w:rFonts w:ascii="Arial" w:hAnsi="Arial" w:cs="Arial"/>
          <w:sz w:val="24"/>
        </w:rPr>
        <w:t>ya que se mostró</w:t>
      </w:r>
      <w:r w:rsidRPr="00CA530F">
        <w:rPr>
          <w:rFonts w:ascii="Arial" w:hAnsi="Arial" w:cs="Arial"/>
          <w:sz w:val="24"/>
        </w:rPr>
        <w:t xml:space="preserve"> un comparativo de la depreciación del ejercicio 2015,</w:t>
      </w:r>
      <w:r w:rsidR="005C7DA2">
        <w:rPr>
          <w:rFonts w:ascii="Arial" w:hAnsi="Arial" w:cs="Arial"/>
          <w:sz w:val="24"/>
        </w:rPr>
        <w:t xml:space="preserve"> sin embargo, subsistieron diferencias, la cuales se</w:t>
      </w:r>
      <w:r w:rsidRPr="00CA530F">
        <w:rPr>
          <w:rFonts w:ascii="Arial" w:hAnsi="Arial" w:cs="Arial"/>
          <w:sz w:val="24"/>
        </w:rPr>
        <w:t xml:space="preserve"> integran como sigue:</w:t>
      </w:r>
    </w:p>
    <w:p w:rsidR="005C7DA2" w:rsidRDefault="005C7DA2" w:rsidP="00CA530F">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71"/>
        <w:gridCol w:w="158"/>
        <w:gridCol w:w="1138"/>
        <w:gridCol w:w="158"/>
        <w:gridCol w:w="2052"/>
        <w:gridCol w:w="158"/>
        <w:gridCol w:w="850"/>
      </w:tblGrid>
      <w:tr w:rsidR="005C7DA2" w:rsidRPr="005C7DA2" w:rsidTr="005C7DA2">
        <w:trPr>
          <w:tblCellSpacing w:w="15" w:type="dxa"/>
          <w:jc w:val="center"/>
        </w:trPr>
        <w:tc>
          <w:tcPr>
            <w:tcW w:w="0" w:type="auto"/>
            <w:shd w:val="clear" w:color="auto" w:fill="BFBFBF" w:themeFill="background1" w:themeFillShade="BF"/>
            <w:vAlign w:val="center"/>
            <w:hideMark/>
          </w:tcPr>
          <w:p w:rsidR="005C7DA2" w:rsidRPr="005C7DA2" w:rsidRDefault="005C7DA2" w:rsidP="005C7DA2">
            <w:pPr>
              <w:jc w:val="center"/>
              <w:rPr>
                <w:rFonts w:ascii="Arial" w:hAnsi="Arial" w:cs="Arial"/>
                <w:b/>
                <w:sz w:val="14"/>
                <w:szCs w:val="14"/>
                <w:u w:val="single"/>
                <w:lang w:val="es-MX" w:eastAsia="es-MX"/>
              </w:rPr>
            </w:pPr>
            <w:r w:rsidRPr="005C7DA2">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5C7DA2" w:rsidRPr="005C7DA2" w:rsidRDefault="005C7DA2" w:rsidP="005C7DA2">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5C7DA2" w:rsidRPr="005C7DA2" w:rsidRDefault="005C7DA2" w:rsidP="005C7DA2">
            <w:pPr>
              <w:jc w:val="center"/>
              <w:rPr>
                <w:rFonts w:ascii="Arial" w:hAnsi="Arial" w:cs="Arial"/>
                <w:b/>
                <w:sz w:val="14"/>
                <w:szCs w:val="14"/>
                <w:u w:val="single"/>
                <w:lang w:val="es-MX" w:eastAsia="es-MX"/>
              </w:rPr>
            </w:pPr>
            <w:r w:rsidRPr="005C7DA2">
              <w:rPr>
                <w:rFonts w:ascii="Arial" w:hAnsi="Arial" w:cs="Arial"/>
                <w:b/>
                <w:sz w:val="14"/>
                <w:szCs w:val="14"/>
                <w:u w:val="single"/>
                <w:lang w:val="es-MX" w:eastAsia="es-MX"/>
              </w:rPr>
              <w:t>Activo no circulante</w:t>
            </w:r>
          </w:p>
        </w:tc>
        <w:tc>
          <w:tcPr>
            <w:tcW w:w="0" w:type="auto"/>
            <w:shd w:val="clear" w:color="auto" w:fill="BFBFBF" w:themeFill="background1" w:themeFillShade="BF"/>
            <w:vAlign w:val="center"/>
            <w:hideMark/>
          </w:tcPr>
          <w:p w:rsidR="005C7DA2" w:rsidRPr="005C7DA2" w:rsidRDefault="005C7DA2" w:rsidP="005C7DA2">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5C7DA2" w:rsidRPr="005C7DA2" w:rsidRDefault="005C7DA2" w:rsidP="005C7DA2">
            <w:pPr>
              <w:jc w:val="center"/>
              <w:rPr>
                <w:rFonts w:ascii="Arial" w:hAnsi="Arial" w:cs="Arial"/>
                <w:b/>
                <w:sz w:val="14"/>
                <w:szCs w:val="14"/>
                <w:u w:val="single"/>
                <w:lang w:val="es-MX" w:eastAsia="es-MX"/>
              </w:rPr>
            </w:pPr>
            <w:r w:rsidRPr="005C7DA2">
              <w:rPr>
                <w:rFonts w:ascii="Arial" w:hAnsi="Arial" w:cs="Arial"/>
                <w:b/>
                <w:sz w:val="14"/>
                <w:szCs w:val="14"/>
                <w:u w:val="single"/>
                <w:lang w:val="es-MX" w:eastAsia="es-MX"/>
              </w:rPr>
              <w:t>Otros gastos y pérdidas extraordinarias</w:t>
            </w:r>
          </w:p>
        </w:tc>
        <w:tc>
          <w:tcPr>
            <w:tcW w:w="0" w:type="auto"/>
            <w:shd w:val="clear" w:color="auto" w:fill="BFBFBF" w:themeFill="background1" w:themeFillShade="BF"/>
            <w:vAlign w:val="center"/>
            <w:hideMark/>
          </w:tcPr>
          <w:p w:rsidR="005C7DA2" w:rsidRPr="005C7DA2" w:rsidRDefault="005C7DA2" w:rsidP="005C7DA2">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5C7DA2" w:rsidRPr="005C7DA2" w:rsidRDefault="005C7DA2" w:rsidP="005C7DA2">
            <w:pPr>
              <w:jc w:val="center"/>
              <w:rPr>
                <w:rFonts w:ascii="Arial" w:hAnsi="Arial" w:cs="Arial"/>
                <w:b/>
                <w:sz w:val="14"/>
                <w:szCs w:val="14"/>
                <w:u w:val="single"/>
                <w:lang w:val="es-MX" w:eastAsia="es-MX"/>
              </w:rPr>
            </w:pPr>
            <w:proofErr w:type="spellStart"/>
            <w:r w:rsidRPr="005C7DA2">
              <w:rPr>
                <w:rFonts w:ascii="Arial" w:hAnsi="Arial" w:cs="Arial"/>
                <w:b/>
                <w:sz w:val="14"/>
                <w:szCs w:val="14"/>
                <w:u w:val="single"/>
                <w:lang w:val="es-MX" w:eastAsia="es-MX"/>
              </w:rPr>
              <w:t>Dieferencia</w:t>
            </w:r>
            <w:proofErr w:type="spellEnd"/>
          </w:p>
        </w:tc>
      </w:tr>
      <w:tr w:rsidR="005C7DA2" w:rsidRPr="005C7DA2" w:rsidTr="005C7DA2">
        <w:trPr>
          <w:tblCellSpacing w:w="15" w:type="dxa"/>
          <w:jc w:val="center"/>
        </w:trPr>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Depreciación acumulada de edificios, construcciones e instalaciones</w:t>
            </w:r>
          </w:p>
        </w:tc>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w:t>
            </w:r>
          </w:p>
        </w:tc>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1,665,936</w:t>
            </w:r>
          </w:p>
        </w:tc>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w:t>
            </w:r>
          </w:p>
        </w:tc>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1,422,609</w:t>
            </w:r>
          </w:p>
        </w:tc>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w:t>
            </w:r>
          </w:p>
        </w:tc>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243,327</w:t>
            </w:r>
          </w:p>
        </w:tc>
      </w:tr>
      <w:tr w:rsidR="005C7DA2" w:rsidRPr="005C7DA2" w:rsidTr="005C7DA2">
        <w:trPr>
          <w:tblCellSpacing w:w="15" w:type="dxa"/>
          <w:jc w:val="center"/>
        </w:trPr>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Depreciación acumulada de maquinaria y equipo de operación</w:t>
            </w:r>
          </w:p>
        </w:tc>
        <w:tc>
          <w:tcPr>
            <w:tcW w:w="0" w:type="auto"/>
            <w:vAlign w:val="center"/>
            <w:hideMark/>
          </w:tcPr>
          <w:p w:rsidR="005C7DA2" w:rsidRPr="005C7DA2" w:rsidRDefault="005C7DA2" w:rsidP="005C7DA2">
            <w:pPr>
              <w:jc w:val="center"/>
              <w:rPr>
                <w:rFonts w:ascii="Arial" w:hAnsi="Arial" w:cs="Arial"/>
                <w:sz w:val="14"/>
                <w:szCs w:val="14"/>
                <w:lang w:val="es-MX" w:eastAsia="es-MX"/>
              </w:rPr>
            </w:pPr>
          </w:p>
        </w:tc>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686,419</w:t>
            </w:r>
          </w:p>
        </w:tc>
        <w:tc>
          <w:tcPr>
            <w:tcW w:w="0" w:type="auto"/>
            <w:vAlign w:val="center"/>
            <w:hideMark/>
          </w:tcPr>
          <w:p w:rsidR="005C7DA2" w:rsidRPr="005C7DA2" w:rsidRDefault="005C7DA2" w:rsidP="005C7DA2">
            <w:pPr>
              <w:jc w:val="center"/>
              <w:rPr>
                <w:rFonts w:ascii="Arial" w:hAnsi="Arial" w:cs="Arial"/>
                <w:sz w:val="14"/>
                <w:szCs w:val="14"/>
                <w:lang w:val="es-MX" w:eastAsia="es-MX"/>
              </w:rPr>
            </w:pPr>
          </w:p>
        </w:tc>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705,498</w:t>
            </w:r>
          </w:p>
        </w:tc>
        <w:tc>
          <w:tcPr>
            <w:tcW w:w="0" w:type="auto"/>
            <w:vAlign w:val="center"/>
            <w:hideMark/>
          </w:tcPr>
          <w:p w:rsidR="005C7DA2" w:rsidRPr="005C7DA2" w:rsidRDefault="005C7DA2" w:rsidP="005C7DA2">
            <w:pPr>
              <w:jc w:val="center"/>
              <w:rPr>
                <w:rFonts w:ascii="Arial" w:hAnsi="Arial" w:cs="Arial"/>
                <w:sz w:val="14"/>
                <w:szCs w:val="14"/>
                <w:lang w:val="es-MX" w:eastAsia="es-MX"/>
              </w:rPr>
            </w:pPr>
          </w:p>
        </w:tc>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(19,079)</w:t>
            </w:r>
          </w:p>
        </w:tc>
      </w:tr>
      <w:tr w:rsidR="005C7DA2" w:rsidRPr="005C7DA2" w:rsidTr="005C7DA2">
        <w:trPr>
          <w:tblCellSpacing w:w="15" w:type="dxa"/>
          <w:jc w:val="center"/>
        </w:trPr>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Depreciación acumulada de mobiliario y equipo de oficina</w:t>
            </w:r>
          </w:p>
        </w:tc>
        <w:tc>
          <w:tcPr>
            <w:tcW w:w="0" w:type="auto"/>
            <w:vAlign w:val="center"/>
            <w:hideMark/>
          </w:tcPr>
          <w:p w:rsidR="005C7DA2" w:rsidRPr="005C7DA2" w:rsidRDefault="005C7DA2" w:rsidP="005C7DA2">
            <w:pPr>
              <w:jc w:val="center"/>
              <w:rPr>
                <w:rFonts w:ascii="Arial" w:hAnsi="Arial" w:cs="Arial"/>
                <w:sz w:val="14"/>
                <w:szCs w:val="14"/>
                <w:lang w:val="es-MX" w:eastAsia="es-MX"/>
              </w:rPr>
            </w:pPr>
          </w:p>
        </w:tc>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378,228</w:t>
            </w:r>
          </w:p>
        </w:tc>
        <w:tc>
          <w:tcPr>
            <w:tcW w:w="0" w:type="auto"/>
            <w:vAlign w:val="center"/>
            <w:hideMark/>
          </w:tcPr>
          <w:p w:rsidR="005C7DA2" w:rsidRPr="005C7DA2" w:rsidRDefault="005C7DA2" w:rsidP="005C7DA2">
            <w:pPr>
              <w:jc w:val="center"/>
              <w:rPr>
                <w:rFonts w:ascii="Arial" w:hAnsi="Arial" w:cs="Arial"/>
                <w:sz w:val="14"/>
                <w:szCs w:val="14"/>
                <w:lang w:val="es-MX" w:eastAsia="es-MX"/>
              </w:rPr>
            </w:pPr>
          </w:p>
        </w:tc>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359,149</w:t>
            </w:r>
          </w:p>
        </w:tc>
        <w:tc>
          <w:tcPr>
            <w:tcW w:w="0" w:type="auto"/>
            <w:vAlign w:val="center"/>
            <w:hideMark/>
          </w:tcPr>
          <w:p w:rsidR="005C7DA2" w:rsidRPr="005C7DA2" w:rsidRDefault="005C7DA2" w:rsidP="005C7DA2">
            <w:pPr>
              <w:jc w:val="center"/>
              <w:rPr>
                <w:rFonts w:ascii="Arial" w:hAnsi="Arial" w:cs="Arial"/>
                <w:sz w:val="14"/>
                <w:szCs w:val="14"/>
                <w:lang w:val="es-MX" w:eastAsia="es-MX"/>
              </w:rPr>
            </w:pPr>
          </w:p>
        </w:tc>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19,079</w:t>
            </w:r>
          </w:p>
        </w:tc>
      </w:tr>
      <w:tr w:rsidR="005C7DA2" w:rsidRPr="005C7DA2" w:rsidTr="005C7DA2">
        <w:trPr>
          <w:tblCellSpacing w:w="15" w:type="dxa"/>
          <w:jc w:val="center"/>
        </w:trPr>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Depreciación acumulada de equipo de transporte</w:t>
            </w:r>
          </w:p>
        </w:tc>
        <w:tc>
          <w:tcPr>
            <w:tcW w:w="0" w:type="auto"/>
            <w:vAlign w:val="center"/>
            <w:hideMark/>
          </w:tcPr>
          <w:p w:rsidR="005C7DA2" w:rsidRPr="005C7DA2" w:rsidRDefault="005C7DA2" w:rsidP="005C7DA2">
            <w:pPr>
              <w:jc w:val="center"/>
              <w:rPr>
                <w:rFonts w:ascii="Arial" w:hAnsi="Arial" w:cs="Arial"/>
                <w:sz w:val="14"/>
                <w:szCs w:val="14"/>
                <w:lang w:val="es-MX" w:eastAsia="es-MX"/>
              </w:rPr>
            </w:pPr>
          </w:p>
        </w:tc>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133,805</w:t>
            </w:r>
          </w:p>
        </w:tc>
        <w:tc>
          <w:tcPr>
            <w:tcW w:w="0" w:type="auto"/>
            <w:vAlign w:val="center"/>
            <w:hideMark/>
          </w:tcPr>
          <w:p w:rsidR="005C7DA2" w:rsidRPr="005C7DA2" w:rsidRDefault="005C7DA2" w:rsidP="005C7DA2">
            <w:pPr>
              <w:jc w:val="center"/>
              <w:rPr>
                <w:rFonts w:ascii="Arial" w:hAnsi="Arial" w:cs="Arial"/>
                <w:sz w:val="14"/>
                <w:szCs w:val="14"/>
                <w:lang w:val="es-MX" w:eastAsia="es-MX"/>
              </w:rPr>
            </w:pPr>
          </w:p>
        </w:tc>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133,805</w:t>
            </w:r>
          </w:p>
        </w:tc>
        <w:tc>
          <w:tcPr>
            <w:tcW w:w="0" w:type="auto"/>
            <w:vAlign w:val="center"/>
            <w:hideMark/>
          </w:tcPr>
          <w:p w:rsidR="005C7DA2" w:rsidRPr="005C7DA2" w:rsidRDefault="005C7DA2" w:rsidP="005C7DA2">
            <w:pPr>
              <w:jc w:val="center"/>
              <w:rPr>
                <w:rFonts w:ascii="Arial" w:hAnsi="Arial" w:cs="Arial"/>
                <w:sz w:val="14"/>
                <w:szCs w:val="14"/>
                <w:lang w:val="es-MX" w:eastAsia="es-MX"/>
              </w:rPr>
            </w:pPr>
          </w:p>
        </w:tc>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0</w:t>
            </w:r>
          </w:p>
        </w:tc>
      </w:tr>
      <w:tr w:rsidR="005C7DA2" w:rsidRPr="005C7DA2" w:rsidTr="005C7DA2">
        <w:trPr>
          <w:tblCellSpacing w:w="15" w:type="dxa"/>
          <w:jc w:val="center"/>
        </w:trPr>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Depreciación acumulada de equipo de cómputo</w:t>
            </w:r>
          </w:p>
        </w:tc>
        <w:tc>
          <w:tcPr>
            <w:tcW w:w="0" w:type="auto"/>
            <w:vAlign w:val="center"/>
            <w:hideMark/>
          </w:tcPr>
          <w:p w:rsidR="005C7DA2" w:rsidRPr="005C7DA2" w:rsidRDefault="005C7DA2" w:rsidP="005C7DA2">
            <w:pPr>
              <w:jc w:val="center"/>
              <w:rPr>
                <w:rFonts w:ascii="Arial" w:hAnsi="Arial" w:cs="Arial"/>
                <w:sz w:val="14"/>
                <w:szCs w:val="14"/>
                <w:lang w:val="es-MX" w:eastAsia="es-MX"/>
              </w:rPr>
            </w:pPr>
          </w:p>
        </w:tc>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1,329,683</w:t>
            </w:r>
          </w:p>
        </w:tc>
        <w:tc>
          <w:tcPr>
            <w:tcW w:w="0" w:type="auto"/>
            <w:vAlign w:val="center"/>
            <w:hideMark/>
          </w:tcPr>
          <w:p w:rsidR="005C7DA2" w:rsidRPr="005C7DA2" w:rsidRDefault="005C7DA2" w:rsidP="005C7DA2">
            <w:pPr>
              <w:jc w:val="center"/>
              <w:rPr>
                <w:rFonts w:ascii="Arial" w:hAnsi="Arial" w:cs="Arial"/>
                <w:sz w:val="14"/>
                <w:szCs w:val="14"/>
                <w:lang w:val="es-MX" w:eastAsia="es-MX"/>
              </w:rPr>
            </w:pPr>
          </w:p>
        </w:tc>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1,181,602</w:t>
            </w:r>
          </w:p>
        </w:tc>
        <w:tc>
          <w:tcPr>
            <w:tcW w:w="0" w:type="auto"/>
            <w:vAlign w:val="center"/>
            <w:hideMark/>
          </w:tcPr>
          <w:p w:rsidR="005C7DA2" w:rsidRPr="005C7DA2" w:rsidRDefault="005C7DA2" w:rsidP="005C7DA2">
            <w:pPr>
              <w:jc w:val="center"/>
              <w:rPr>
                <w:rFonts w:ascii="Arial" w:hAnsi="Arial" w:cs="Arial"/>
                <w:sz w:val="14"/>
                <w:szCs w:val="14"/>
                <w:lang w:val="es-MX" w:eastAsia="es-MX"/>
              </w:rPr>
            </w:pPr>
          </w:p>
        </w:tc>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148,081</w:t>
            </w:r>
          </w:p>
        </w:tc>
      </w:tr>
      <w:tr w:rsidR="005C7DA2" w:rsidRPr="005C7DA2" w:rsidTr="005C7DA2">
        <w:trPr>
          <w:tblCellSpacing w:w="15" w:type="dxa"/>
          <w:jc w:val="center"/>
        </w:trPr>
        <w:tc>
          <w:tcPr>
            <w:tcW w:w="0" w:type="auto"/>
            <w:vAlign w:val="center"/>
            <w:hideMark/>
          </w:tcPr>
          <w:p w:rsidR="005C7DA2" w:rsidRPr="005C7DA2" w:rsidRDefault="005C7DA2" w:rsidP="005C7DA2">
            <w:pPr>
              <w:jc w:val="center"/>
              <w:rPr>
                <w:rFonts w:ascii="Arial" w:hAnsi="Arial" w:cs="Arial"/>
                <w:b/>
                <w:bCs/>
                <w:sz w:val="14"/>
                <w:szCs w:val="14"/>
                <w:lang w:val="es-MX" w:eastAsia="es-MX"/>
              </w:rPr>
            </w:pPr>
            <w:r w:rsidRPr="005C7DA2">
              <w:rPr>
                <w:rFonts w:ascii="Arial" w:hAnsi="Arial" w:cs="Arial"/>
                <w:b/>
                <w:bCs/>
                <w:sz w:val="14"/>
                <w:szCs w:val="14"/>
                <w:lang w:val="es-MX" w:eastAsia="es-MX"/>
              </w:rPr>
              <w:t>Total</w:t>
            </w:r>
          </w:p>
        </w:tc>
        <w:tc>
          <w:tcPr>
            <w:tcW w:w="0" w:type="auto"/>
            <w:vAlign w:val="center"/>
            <w:hideMark/>
          </w:tcPr>
          <w:p w:rsidR="005C7DA2" w:rsidRPr="005C7DA2" w:rsidRDefault="005C7DA2" w:rsidP="005C7DA2">
            <w:pPr>
              <w:jc w:val="center"/>
              <w:rPr>
                <w:rFonts w:ascii="Arial" w:hAnsi="Arial" w:cs="Arial"/>
                <w:b/>
                <w:bCs/>
                <w:sz w:val="14"/>
                <w:szCs w:val="14"/>
                <w:lang w:val="es-MX" w:eastAsia="es-MX"/>
              </w:rPr>
            </w:pPr>
            <w:r w:rsidRPr="005C7DA2">
              <w:rPr>
                <w:rFonts w:ascii="Arial" w:hAnsi="Arial" w:cs="Arial"/>
                <w:b/>
                <w:bCs/>
                <w:sz w:val="14"/>
                <w:szCs w:val="14"/>
                <w:lang w:val="es-MX" w:eastAsia="es-MX"/>
              </w:rPr>
              <w:t>$</w:t>
            </w:r>
          </w:p>
        </w:tc>
        <w:tc>
          <w:tcPr>
            <w:tcW w:w="0" w:type="auto"/>
            <w:vAlign w:val="center"/>
            <w:hideMark/>
          </w:tcPr>
          <w:p w:rsidR="005C7DA2" w:rsidRPr="005C7DA2" w:rsidRDefault="005C7DA2" w:rsidP="005C7DA2">
            <w:pPr>
              <w:jc w:val="center"/>
              <w:rPr>
                <w:rFonts w:ascii="Arial" w:hAnsi="Arial" w:cs="Arial"/>
                <w:b/>
                <w:bCs/>
                <w:sz w:val="14"/>
                <w:szCs w:val="14"/>
                <w:lang w:val="es-MX" w:eastAsia="es-MX"/>
              </w:rPr>
            </w:pPr>
            <w:r w:rsidRPr="005C7DA2">
              <w:rPr>
                <w:rFonts w:ascii="Arial" w:hAnsi="Arial" w:cs="Arial"/>
                <w:b/>
                <w:bCs/>
                <w:sz w:val="14"/>
                <w:szCs w:val="14"/>
                <w:lang w:val="es-MX" w:eastAsia="es-MX"/>
              </w:rPr>
              <w:t>4,194,071</w:t>
            </w:r>
          </w:p>
        </w:tc>
        <w:tc>
          <w:tcPr>
            <w:tcW w:w="0" w:type="auto"/>
            <w:vAlign w:val="center"/>
            <w:hideMark/>
          </w:tcPr>
          <w:p w:rsidR="005C7DA2" w:rsidRPr="005C7DA2" w:rsidRDefault="005C7DA2" w:rsidP="005C7DA2">
            <w:pPr>
              <w:jc w:val="center"/>
              <w:rPr>
                <w:rFonts w:ascii="Arial" w:hAnsi="Arial" w:cs="Arial"/>
                <w:b/>
                <w:bCs/>
                <w:sz w:val="14"/>
                <w:szCs w:val="14"/>
                <w:lang w:val="es-MX" w:eastAsia="es-MX"/>
              </w:rPr>
            </w:pPr>
            <w:r w:rsidRPr="005C7DA2">
              <w:rPr>
                <w:rFonts w:ascii="Arial" w:hAnsi="Arial" w:cs="Arial"/>
                <w:b/>
                <w:bCs/>
                <w:sz w:val="14"/>
                <w:szCs w:val="14"/>
                <w:lang w:val="es-MX" w:eastAsia="es-MX"/>
              </w:rPr>
              <w:t>$</w:t>
            </w:r>
          </w:p>
        </w:tc>
        <w:tc>
          <w:tcPr>
            <w:tcW w:w="0" w:type="auto"/>
            <w:vAlign w:val="center"/>
            <w:hideMark/>
          </w:tcPr>
          <w:p w:rsidR="005C7DA2" w:rsidRPr="005C7DA2" w:rsidRDefault="005C7DA2" w:rsidP="005C7DA2">
            <w:pPr>
              <w:jc w:val="center"/>
              <w:rPr>
                <w:rFonts w:ascii="Arial" w:hAnsi="Arial" w:cs="Arial"/>
                <w:b/>
                <w:bCs/>
                <w:sz w:val="14"/>
                <w:szCs w:val="14"/>
                <w:lang w:val="es-MX" w:eastAsia="es-MX"/>
              </w:rPr>
            </w:pPr>
            <w:r w:rsidRPr="005C7DA2">
              <w:rPr>
                <w:rFonts w:ascii="Arial" w:hAnsi="Arial" w:cs="Arial"/>
                <w:b/>
                <w:bCs/>
                <w:sz w:val="14"/>
                <w:szCs w:val="14"/>
                <w:lang w:val="es-MX" w:eastAsia="es-MX"/>
              </w:rPr>
              <w:t>3,802,663</w:t>
            </w:r>
          </w:p>
        </w:tc>
        <w:tc>
          <w:tcPr>
            <w:tcW w:w="0" w:type="auto"/>
            <w:vAlign w:val="center"/>
            <w:hideMark/>
          </w:tcPr>
          <w:p w:rsidR="005C7DA2" w:rsidRPr="005C7DA2" w:rsidRDefault="005C7DA2" w:rsidP="005C7DA2">
            <w:pPr>
              <w:jc w:val="center"/>
              <w:rPr>
                <w:rFonts w:ascii="Arial" w:hAnsi="Arial" w:cs="Arial"/>
                <w:b/>
                <w:bCs/>
                <w:sz w:val="14"/>
                <w:szCs w:val="14"/>
                <w:lang w:val="es-MX" w:eastAsia="es-MX"/>
              </w:rPr>
            </w:pPr>
            <w:r w:rsidRPr="005C7DA2">
              <w:rPr>
                <w:rFonts w:ascii="Arial" w:hAnsi="Arial" w:cs="Arial"/>
                <w:b/>
                <w:bCs/>
                <w:sz w:val="14"/>
                <w:szCs w:val="14"/>
                <w:lang w:val="es-MX" w:eastAsia="es-MX"/>
              </w:rPr>
              <w:t>$</w:t>
            </w:r>
          </w:p>
        </w:tc>
        <w:tc>
          <w:tcPr>
            <w:tcW w:w="0" w:type="auto"/>
            <w:vAlign w:val="center"/>
            <w:hideMark/>
          </w:tcPr>
          <w:p w:rsidR="005C7DA2" w:rsidRPr="005C7DA2" w:rsidRDefault="005C7DA2" w:rsidP="005C7DA2">
            <w:pPr>
              <w:jc w:val="center"/>
              <w:rPr>
                <w:rFonts w:ascii="Arial" w:hAnsi="Arial" w:cs="Arial"/>
                <w:b/>
                <w:bCs/>
                <w:sz w:val="14"/>
                <w:szCs w:val="14"/>
                <w:lang w:val="es-MX" w:eastAsia="es-MX"/>
              </w:rPr>
            </w:pPr>
            <w:r w:rsidRPr="005C7DA2">
              <w:rPr>
                <w:rFonts w:ascii="Arial" w:hAnsi="Arial" w:cs="Arial"/>
                <w:b/>
                <w:bCs/>
                <w:sz w:val="14"/>
                <w:szCs w:val="14"/>
                <w:lang w:val="es-MX" w:eastAsia="es-MX"/>
              </w:rPr>
              <w:t>391,408</w:t>
            </w:r>
          </w:p>
        </w:tc>
      </w:tr>
    </w:tbl>
    <w:p w:rsidR="005C7DA2" w:rsidRPr="00CA530F" w:rsidRDefault="005C7DA2" w:rsidP="00CA530F">
      <w:pPr>
        <w:spacing w:after="0" w:line="360" w:lineRule="auto"/>
        <w:contextualSpacing/>
        <w:jc w:val="both"/>
        <w:rPr>
          <w:rFonts w:ascii="Arial" w:hAnsi="Arial" w:cs="Arial"/>
          <w:sz w:val="24"/>
        </w:rPr>
      </w:pPr>
    </w:p>
    <w:p w:rsidR="005C7DA2" w:rsidRPr="005C7DA2" w:rsidRDefault="005C7DA2" w:rsidP="005C7DA2">
      <w:pPr>
        <w:spacing w:after="0" w:line="360" w:lineRule="auto"/>
        <w:contextualSpacing/>
        <w:jc w:val="both"/>
        <w:rPr>
          <w:rFonts w:ascii="Arial" w:hAnsi="Arial" w:cs="Arial"/>
          <w:b/>
          <w:sz w:val="24"/>
        </w:rPr>
      </w:pPr>
      <w:r w:rsidRPr="005C7DA2">
        <w:rPr>
          <w:rFonts w:ascii="Arial" w:hAnsi="Arial" w:cs="Arial"/>
          <w:b/>
          <w:sz w:val="24"/>
        </w:rPr>
        <w:t>Acción(es) o recomendación(es) emitida(s)</w:t>
      </w:r>
    </w:p>
    <w:p w:rsidR="005C7DA2" w:rsidRPr="005C7DA2" w:rsidRDefault="005C7DA2" w:rsidP="005C7DA2">
      <w:pPr>
        <w:spacing w:after="0" w:line="360" w:lineRule="auto"/>
        <w:contextualSpacing/>
        <w:jc w:val="both"/>
        <w:rPr>
          <w:rFonts w:ascii="Arial" w:hAnsi="Arial" w:cs="Arial"/>
          <w:i/>
          <w:sz w:val="24"/>
        </w:rPr>
      </w:pPr>
      <w:r w:rsidRPr="005C7DA2">
        <w:rPr>
          <w:rFonts w:ascii="Arial" w:hAnsi="Arial" w:cs="Arial"/>
          <w:i/>
          <w:sz w:val="24"/>
        </w:rPr>
        <w:t>Recomendaciones en Relación a la Gestión o Control Interno.</w:t>
      </w:r>
    </w:p>
    <w:p w:rsidR="005C7DA2" w:rsidRDefault="005C7DA2" w:rsidP="005C7DA2">
      <w:pPr>
        <w:spacing w:after="0" w:line="360" w:lineRule="auto"/>
        <w:contextualSpacing/>
        <w:jc w:val="both"/>
        <w:rPr>
          <w:rFonts w:ascii="Arial" w:hAnsi="Arial" w:cs="Arial"/>
          <w:sz w:val="24"/>
        </w:rPr>
      </w:pPr>
    </w:p>
    <w:p w:rsidR="00CA530F" w:rsidRPr="005C7DA2" w:rsidRDefault="005C7DA2" w:rsidP="005C7DA2">
      <w:pPr>
        <w:spacing w:after="0" w:line="360" w:lineRule="auto"/>
        <w:contextualSpacing/>
        <w:jc w:val="both"/>
        <w:rPr>
          <w:rFonts w:ascii="Arial" w:hAnsi="Arial" w:cs="Arial"/>
          <w:sz w:val="24"/>
        </w:rPr>
      </w:pPr>
      <w:r w:rsidRPr="005C7DA2">
        <w:rPr>
          <w:rFonts w:ascii="Arial" w:hAnsi="Arial" w:cs="Arial"/>
          <w:sz w:val="24"/>
        </w:rPr>
        <w:lastRenderedPageBreak/>
        <w:t>Realizar conciliaciones mensuales de la depreciación registrada tanto en el Estado de Situación Financiera en el grupo del Activo no circulante y en el Estado de Actividades dentro del grupo de Otros gastos y pérdidas extraordinarias.</w:t>
      </w:r>
    </w:p>
    <w:p w:rsidR="00CA530F" w:rsidRDefault="00CA530F" w:rsidP="00374B6D">
      <w:pPr>
        <w:spacing w:after="0" w:line="360" w:lineRule="auto"/>
        <w:contextualSpacing/>
        <w:jc w:val="both"/>
        <w:rPr>
          <w:rFonts w:ascii="Arial" w:hAnsi="Arial" w:cs="Arial"/>
          <w:b/>
          <w:sz w:val="24"/>
          <w:u w:val="single"/>
        </w:rPr>
      </w:pPr>
    </w:p>
    <w:p w:rsidR="005C7DA2" w:rsidRPr="005C7DA2" w:rsidRDefault="005C7DA2" w:rsidP="005C7DA2">
      <w:pPr>
        <w:spacing w:after="0" w:line="360" w:lineRule="auto"/>
        <w:contextualSpacing/>
        <w:jc w:val="both"/>
        <w:rPr>
          <w:rFonts w:ascii="Arial" w:hAnsi="Arial" w:cs="Arial"/>
          <w:b/>
          <w:sz w:val="24"/>
          <w:u w:val="single"/>
        </w:rPr>
      </w:pPr>
      <w:r w:rsidRPr="005C7DA2">
        <w:rPr>
          <w:rFonts w:ascii="Arial" w:hAnsi="Arial" w:cs="Arial"/>
          <w:b/>
          <w:sz w:val="24"/>
          <w:u w:val="single"/>
        </w:rPr>
        <w:t>PASIVO</w:t>
      </w:r>
    </w:p>
    <w:p w:rsidR="005C7DA2" w:rsidRPr="005C7DA2" w:rsidRDefault="005C7DA2" w:rsidP="005C7DA2">
      <w:pPr>
        <w:spacing w:after="0" w:line="360" w:lineRule="auto"/>
        <w:contextualSpacing/>
        <w:jc w:val="both"/>
        <w:rPr>
          <w:rFonts w:ascii="Arial" w:hAnsi="Arial" w:cs="Arial"/>
          <w:b/>
          <w:sz w:val="24"/>
          <w:u w:val="single"/>
        </w:rPr>
      </w:pPr>
      <w:r w:rsidRPr="005C7DA2">
        <w:rPr>
          <w:rFonts w:ascii="Arial" w:hAnsi="Arial" w:cs="Arial"/>
          <w:b/>
          <w:sz w:val="24"/>
          <w:u w:val="single"/>
        </w:rPr>
        <w:t>Pasivo circulante</w:t>
      </w:r>
    </w:p>
    <w:p w:rsidR="00CA530F" w:rsidRDefault="005C7DA2" w:rsidP="005C7DA2">
      <w:pPr>
        <w:spacing w:after="0" w:line="360" w:lineRule="auto"/>
        <w:contextualSpacing/>
        <w:jc w:val="both"/>
        <w:rPr>
          <w:rFonts w:ascii="Arial" w:hAnsi="Arial" w:cs="Arial"/>
          <w:b/>
          <w:sz w:val="24"/>
          <w:u w:val="single"/>
        </w:rPr>
      </w:pPr>
      <w:r w:rsidRPr="005C7DA2">
        <w:rPr>
          <w:rFonts w:ascii="Arial" w:hAnsi="Arial" w:cs="Arial"/>
          <w:b/>
          <w:sz w:val="24"/>
          <w:u w:val="single"/>
        </w:rPr>
        <w:t>Provisiones a corto plazo</w:t>
      </w:r>
    </w:p>
    <w:p w:rsidR="00CA530F" w:rsidRDefault="00CA530F" w:rsidP="00374B6D">
      <w:pPr>
        <w:spacing w:after="0" w:line="360" w:lineRule="auto"/>
        <w:contextualSpacing/>
        <w:jc w:val="both"/>
        <w:rPr>
          <w:rFonts w:ascii="Arial" w:hAnsi="Arial" w:cs="Arial"/>
          <w:b/>
          <w:sz w:val="24"/>
          <w:u w:val="single"/>
        </w:rPr>
      </w:pPr>
    </w:p>
    <w:p w:rsidR="005C7DA2" w:rsidRDefault="005C7DA2" w:rsidP="00374B6D">
      <w:pPr>
        <w:spacing w:after="0" w:line="360" w:lineRule="auto"/>
        <w:contextualSpacing/>
        <w:jc w:val="both"/>
        <w:rPr>
          <w:rFonts w:ascii="Arial" w:hAnsi="Arial" w:cs="Arial"/>
          <w:sz w:val="24"/>
        </w:rPr>
      </w:pPr>
      <w:r>
        <w:rPr>
          <w:rFonts w:ascii="Arial" w:hAnsi="Arial" w:cs="Arial"/>
          <w:sz w:val="24"/>
        </w:rPr>
        <w:t xml:space="preserve">10. </w:t>
      </w:r>
      <w:r w:rsidRPr="005C7DA2">
        <w:rPr>
          <w:rFonts w:ascii="Arial" w:hAnsi="Arial" w:cs="Arial"/>
          <w:sz w:val="24"/>
        </w:rPr>
        <w:t>En el proceso de revisión del rubro Provisiones a corto plazo al 31 de diciembre de 2015, se observó el registro de la "Reserva para Indemnizaciones" por $502,313 y la "Reserva para la prima de antigüedad" por $368,362, debiendo registrarse en el grupo del Pasivo no circulante, rubro de Provisiones a largo plazo (codificación 2.2.6.2 Provisiones para pensiones a largo plazo), contraviniendo lo señalado en el capítulo III Plan de Cuentas del Manual de Contabilidad Gubernamental, estableciendo su observancia obligatoria, de conformidad con el artículo 7 de la Ley General de Contabilidad Gubernamental.</w:t>
      </w:r>
    </w:p>
    <w:p w:rsidR="005C7DA2" w:rsidRDefault="005C7DA2" w:rsidP="005C7DA2">
      <w:pPr>
        <w:spacing w:after="0" w:line="360" w:lineRule="auto"/>
        <w:contextualSpacing/>
        <w:jc w:val="both"/>
        <w:rPr>
          <w:rFonts w:ascii="Arial" w:hAnsi="Arial" w:cs="Arial"/>
          <w:sz w:val="24"/>
        </w:rPr>
      </w:pPr>
    </w:p>
    <w:p w:rsidR="005C7DA2" w:rsidRPr="005C7DA2" w:rsidRDefault="005C7DA2" w:rsidP="005C7DA2">
      <w:pPr>
        <w:spacing w:after="0" w:line="360" w:lineRule="auto"/>
        <w:contextualSpacing/>
        <w:jc w:val="both"/>
        <w:rPr>
          <w:rFonts w:ascii="Arial" w:hAnsi="Arial" w:cs="Arial"/>
          <w:b/>
          <w:sz w:val="24"/>
        </w:rPr>
      </w:pPr>
      <w:r w:rsidRPr="005C7DA2">
        <w:rPr>
          <w:rFonts w:ascii="Arial" w:hAnsi="Arial" w:cs="Arial"/>
          <w:b/>
          <w:sz w:val="24"/>
        </w:rPr>
        <w:t>Análisis de la Auditoría Superior del Estado</w:t>
      </w:r>
    </w:p>
    <w:p w:rsidR="005C7DA2" w:rsidRDefault="005C7DA2" w:rsidP="005C7DA2">
      <w:pPr>
        <w:spacing w:after="0" w:line="360" w:lineRule="auto"/>
        <w:contextualSpacing/>
        <w:jc w:val="both"/>
        <w:rPr>
          <w:rFonts w:ascii="Arial" w:hAnsi="Arial" w:cs="Arial"/>
          <w:sz w:val="24"/>
        </w:rPr>
      </w:pPr>
    </w:p>
    <w:p w:rsidR="005C7DA2" w:rsidRPr="005C7DA2" w:rsidRDefault="005C7DA2" w:rsidP="005C7DA2">
      <w:pPr>
        <w:spacing w:after="0" w:line="360" w:lineRule="auto"/>
        <w:contextualSpacing/>
        <w:jc w:val="both"/>
        <w:rPr>
          <w:rFonts w:ascii="Arial" w:hAnsi="Arial" w:cs="Arial"/>
          <w:sz w:val="24"/>
        </w:rPr>
      </w:pPr>
      <w:r w:rsidRPr="005C7DA2">
        <w:rPr>
          <w:rFonts w:ascii="Arial" w:hAnsi="Arial" w:cs="Arial"/>
          <w:sz w:val="24"/>
        </w:rPr>
        <w:t>Se analizó la respuesta y documentación proporcionada por la Titular y Extitular del Ente Público,</w:t>
      </w:r>
      <w:r>
        <w:rPr>
          <w:rFonts w:ascii="Arial" w:hAnsi="Arial" w:cs="Arial"/>
          <w:sz w:val="24"/>
        </w:rPr>
        <w:t xml:space="preserve"> y la Auditoría determinó que esta observación se solventó</w:t>
      </w:r>
      <w:r w:rsidRPr="005C7DA2">
        <w:rPr>
          <w:rFonts w:ascii="Arial" w:hAnsi="Arial" w:cs="Arial"/>
          <w:sz w:val="24"/>
        </w:rPr>
        <w:t xml:space="preserve"> parcialmente, toda vez que el "asiento correctivo" presentado como evidencia en su respuesta no emana del sistema de contabilidad del Ente Público, </w:t>
      </w:r>
      <w:r w:rsidRPr="005C7DA2">
        <w:rPr>
          <w:rFonts w:ascii="Arial" w:hAnsi="Arial" w:cs="Arial"/>
          <w:sz w:val="24"/>
        </w:rPr>
        <w:lastRenderedPageBreak/>
        <w:t>además que la cuenta de pasivo que se cancela no es la mencionada en la observación.</w:t>
      </w:r>
    </w:p>
    <w:p w:rsidR="005C7DA2" w:rsidRDefault="005C7DA2" w:rsidP="005C7DA2">
      <w:pPr>
        <w:spacing w:after="0" w:line="360" w:lineRule="auto"/>
        <w:contextualSpacing/>
        <w:jc w:val="both"/>
        <w:rPr>
          <w:rFonts w:ascii="Arial" w:hAnsi="Arial" w:cs="Arial"/>
          <w:sz w:val="24"/>
        </w:rPr>
      </w:pPr>
    </w:p>
    <w:p w:rsidR="005C7DA2" w:rsidRPr="005C7DA2" w:rsidRDefault="005C7DA2" w:rsidP="005C7DA2">
      <w:pPr>
        <w:spacing w:after="0" w:line="360" w:lineRule="auto"/>
        <w:contextualSpacing/>
        <w:jc w:val="both"/>
        <w:rPr>
          <w:rFonts w:ascii="Arial" w:hAnsi="Arial" w:cs="Arial"/>
          <w:sz w:val="24"/>
        </w:rPr>
      </w:pPr>
      <w:r>
        <w:rPr>
          <w:rFonts w:ascii="Arial" w:hAnsi="Arial" w:cs="Arial"/>
          <w:sz w:val="24"/>
        </w:rPr>
        <w:t>La Auditoría informó que se daría</w:t>
      </w:r>
      <w:r w:rsidRPr="005C7DA2">
        <w:rPr>
          <w:rFonts w:ascii="Arial" w:hAnsi="Arial" w:cs="Arial"/>
          <w:sz w:val="24"/>
        </w:rPr>
        <w:t xml:space="preserve"> seguimiento a la correcta presentación de la reserva para indemnizaciones y para la prima de antig</w:t>
      </w:r>
      <w:r>
        <w:rPr>
          <w:rFonts w:ascii="Arial" w:hAnsi="Arial" w:cs="Arial"/>
          <w:sz w:val="24"/>
        </w:rPr>
        <w:t>üedad en la Cuenta Pública 2016</w:t>
      </w:r>
    </w:p>
    <w:p w:rsidR="005C7DA2" w:rsidRDefault="005C7DA2" w:rsidP="005C7DA2">
      <w:pPr>
        <w:spacing w:after="0" w:line="360" w:lineRule="auto"/>
        <w:contextualSpacing/>
        <w:jc w:val="both"/>
        <w:rPr>
          <w:rFonts w:ascii="Arial" w:hAnsi="Arial" w:cs="Arial"/>
          <w:b/>
          <w:sz w:val="24"/>
        </w:rPr>
      </w:pPr>
    </w:p>
    <w:p w:rsidR="005C7DA2" w:rsidRPr="005C7DA2" w:rsidRDefault="005C7DA2" w:rsidP="005C7DA2">
      <w:pPr>
        <w:spacing w:after="0" w:line="360" w:lineRule="auto"/>
        <w:contextualSpacing/>
        <w:jc w:val="both"/>
        <w:rPr>
          <w:rFonts w:ascii="Arial" w:hAnsi="Arial" w:cs="Arial"/>
          <w:b/>
          <w:sz w:val="24"/>
        </w:rPr>
      </w:pPr>
      <w:r w:rsidRPr="005C7DA2">
        <w:rPr>
          <w:rFonts w:ascii="Arial" w:hAnsi="Arial" w:cs="Arial"/>
          <w:b/>
          <w:sz w:val="24"/>
        </w:rPr>
        <w:t>Acción(es) o recomendación(es) emitida(s)</w:t>
      </w:r>
    </w:p>
    <w:p w:rsidR="005C7DA2" w:rsidRPr="005C7DA2" w:rsidRDefault="005C7DA2" w:rsidP="005C7DA2">
      <w:pPr>
        <w:spacing w:after="0" w:line="360" w:lineRule="auto"/>
        <w:contextualSpacing/>
        <w:jc w:val="both"/>
        <w:rPr>
          <w:rFonts w:ascii="Arial" w:hAnsi="Arial" w:cs="Arial"/>
          <w:i/>
          <w:sz w:val="24"/>
        </w:rPr>
      </w:pPr>
      <w:r w:rsidRPr="005C7DA2">
        <w:rPr>
          <w:rFonts w:ascii="Arial" w:hAnsi="Arial" w:cs="Arial"/>
          <w:i/>
          <w:sz w:val="24"/>
        </w:rPr>
        <w:t>Promoción de Fincamiento de Responsabilidad Administrativa.</w:t>
      </w:r>
    </w:p>
    <w:p w:rsidR="005C7DA2" w:rsidRDefault="005C7DA2" w:rsidP="00374B6D">
      <w:pPr>
        <w:spacing w:after="0" w:line="360" w:lineRule="auto"/>
        <w:contextualSpacing/>
        <w:jc w:val="both"/>
        <w:rPr>
          <w:rFonts w:ascii="Arial" w:hAnsi="Arial" w:cs="Arial"/>
          <w:sz w:val="24"/>
        </w:rPr>
      </w:pPr>
    </w:p>
    <w:p w:rsidR="005C7DA2" w:rsidRPr="005C7DA2" w:rsidRDefault="005C7DA2" w:rsidP="005C7DA2">
      <w:pPr>
        <w:spacing w:after="0" w:line="360" w:lineRule="auto"/>
        <w:contextualSpacing/>
        <w:jc w:val="both"/>
        <w:rPr>
          <w:rFonts w:ascii="Arial" w:hAnsi="Arial" w:cs="Arial"/>
          <w:b/>
          <w:sz w:val="24"/>
          <w:u w:val="single"/>
        </w:rPr>
      </w:pPr>
      <w:r w:rsidRPr="005C7DA2">
        <w:rPr>
          <w:rFonts w:ascii="Arial" w:hAnsi="Arial" w:cs="Arial"/>
          <w:b/>
          <w:sz w:val="24"/>
          <w:u w:val="single"/>
        </w:rPr>
        <w:t>Otros pasivos a corto plazo</w:t>
      </w:r>
    </w:p>
    <w:p w:rsidR="005C7DA2" w:rsidRPr="005C7DA2" w:rsidRDefault="005C7DA2" w:rsidP="005C7DA2">
      <w:pPr>
        <w:spacing w:after="0" w:line="360" w:lineRule="auto"/>
        <w:contextualSpacing/>
        <w:jc w:val="both"/>
        <w:rPr>
          <w:rFonts w:ascii="Arial" w:hAnsi="Arial" w:cs="Arial"/>
          <w:b/>
          <w:sz w:val="24"/>
          <w:u w:val="single"/>
        </w:rPr>
      </w:pPr>
      <w:r w:rsidRPr="005C7DA2">
        <w:rPr>
          <w:rFonts w:ascii="Arial" w:hAnsi="Arial" w:cs="Arial"/>
          <w:b/>
          <w:sz w:val="24"/>
          <w:u w:val="single"/>
        </w:rPr>
        <w:t>Contribuciones por pagar</w:t>
      </w:r>
    </w:p>
    <w:p w:rsidR="00CA530F" w:rsidRDefault="00CA530F" w:rsidP="00374B6D">
      <w:pPr>
        <w:spacing w:after="0" w:line="360" w:lineRule="auto"/>
        <w:contextualSpacing/>
        <w:jc w:val="both"/>
        <w:rPr>
          <w:rFonts w:ascii="Arial" w:hAnsi="Arial" w:cs="Arial"/>
          <w:b/>
          <w:sz w:val="24"/>
          <w:u w:val="single"/>
        </w:rPr>
      </w:pPr>
    </w:p>
    <w:p w:rsidR="005C7DA2" w:rsidRDefault="005C7DA2" w:rsidP="00374B6D">
      <w:pPr>
        <w:spacing w:after="0" w:line="360" w:lineRule="auto"/>
        <w:contextualSpacing/>
        <w:jc w:val="both"/>
        <w:rPr>
          <w:rFonts w:ascii="Arial" w:hAnsi="Arial" w:cs="Arial"/>
          <w:sz w:val="24"/>
        </w:rPr>
      </w:pPr>
      <w:r>
        <w:rPr>
          <w:rFonts w:ascii="Arial" w:hAnsi="Arial" w:cs="Arial"/>
          <w:sz w:val="24"/>
        </w:rPr>
        <w:t>11.</w:t>
      </w:r>
      <w:r w:rsidRPr="005C7DA2">
        <w:t xml:space="preserve"> </w:t>
      </w:r>
      <w:r w:rsidRPr="005C7DA2">
        <w:rPr>
          <w:rFonts w:ascii="Arial" w:hAnsi="Arial" w:cs="Arial"/>
          <w:sz w:val="24"/>
        </w:rPr>
        <w:t>El Ente Público tiene registrado al 31 de diciembre de 2015 impuestos retenidos no enterados de sueldos y salarios y honorarios profesionales por $6,333,037 los cuales presentan una antigüedad superior a tres años, contraviniendo lo establecido en los artículos 96 primero y penúltimo párrafo y 106 último párrafo de la Ley del Impuesto Sobre la Renta. Siendo su integración:</w:t>
      </w:r>
    </w:p>
    <w:p w:rsidR="005C7DA2" w:rsidRDefault="005C7DA2" w:rsidP="00374B6D">
      <w:pPr>
        <w:spacing w:after="0" w:line="360" w:lineRule="auto"/>
        <w:contextualSpacing/>
        <w:jc w:val="both"/>
        <w:rPr>
          <w:rFonts w:ascii="Arial" w:hAnsi="Arial" w:cs="Arial"/>
          <w:sz w:val="24"/>
        </w:rPr>
      </w:pPr>
    </w:p>
    <w:tbl>
      <w:tblPr>
        <w:tblW w:w="235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3"/>
        <w:gridCol w:w="1571"/>
        <w:gridCol w:w="405"/>
        <w:gridCol w:w="762"/>
      </w:tblGrid>
      <w:tr w:rsidR="005C7DA2" w:rsidRPr="005C7DA2" w:rsidTr="005C7DA2">
        <w:trPr>
          <w:tblCellSpacing w:w="15" w:type="dxa"/>
          <w:jc w:val="center"/>
        </w:trPr>
        <w:tc>
          <w:tcPr>
            <w:tcW w:w="0" w:type="auto"/>
            <w:shd w:val="clear" w:color="auto" w:fill="BFBFBF" w:themeFill="background1" w:themeFillShade="BF"/>
            <w:vAlign w:val="center"/>
            <w:hideMark/>
          </w:tcPr>
          <w:p w:rsidR="005C7DA2" w:rsidRPr="005C7DA2" w:rsidRDefault="005C7DA2" w:rsidP="005C7DA2">
            <w:pPr>
              <w:jc w:val="center"/>
              <w:rPr>
                <w:rFonts w:ascii="Arial" w:hAnsi="Arial" w:cs="Arial"/>
                <w:sz w:val="14"/>
                <w:szCs w:val="14"/>
                <w:u w:val="single"/>
                <w:lang w:val="es-MX" w:eastAsia="es-MX"/>
              </w:rPr>
            </w:pPr>
            <w:r w:rsidRPr="005C7DA2">
              <w:rPr>
                <w:rFonts w:ascii="Arial" w:hAnsi="Arial" w:cs="Arial"/>
                <w:sz w:val="14"/>
                <w:szCs w:val="14"/>
                <w:u w:val="single"/>
                <w:lang w:val="es-MX" w:eastAsia="es-MX"/>
              </w:rPr>
              <w:t>Año</w:t>
            </w:r>
          </w:p>
        </w:tc>
        <w:tc>
          <w:tcPr>
            <w:tcW w:w="2048" w:type="pct"/>
            <w:shd w:val="clear" w:color="auto" w:fill="BFBFBF" w:themeFill="background1" w:themeFillShade="BF"/>
            <w:vAlign w:val="center"/>
            <w:hideMark/>
          </w:tcPr>
          <w:p w:rsidR="005C7DA2" w:rsidRPr="005C7DA2" w:rsidRDefault="005C7DA2" w:rsidP="005C7DA2">
            <w:pPr>
              <w:jc w:val="center"/>
              <w:rPr>
                <w:rFonts w:ascii="Arial" w:hAnsi="Arial" w:cs="Arial"/>
                <w:sz w:val="14"/>
                <w:szCs w:val="14"/>
                <w:u w:val="single"/>
                <w:lang w:val="es-MX" w:eastAsia="es-MX"/>
              </w:rPr>
            </w:pPr>
            <w:r w:rsidRPr="005C7DA2">
              <w:rPr>
                <w:rFonts w:ascii="Arial" w:hAnsi="Arial" w:cs="Arial"/>
                <w:sz w:val="14"/>
                <w:szCs w:val="14"/>
                <w:u w:val="single"/>
                <w:lang w:val="es-MX" w:eastAsia="es-MX"/>
              </w:rPr>
              <w:t>Período</w:t>
            </w:r>
          </w:p>
        </w:tc>
        <w:tc>
          <w:tcPr>
            <w:tcW w:w="0" w:type="auto"/>
            <w:shd w:val="clear" w:color="auto" w:fill="BFBFBF" w:themeFill="background1" w:themeFillShade="BF"/>
            <w:vAlign w:val="center"/>
            <w:hideMark/>
          </w:tcPr>
          <w:p w:rsidR="005C7DA2" w:rsidRPr="005C7DA2" w:rsidRDefault="005C7DA2" w:rsidP="005C7DA2">
            <w:pPr>
              <w:jc w:val="center"/>
              <w:rPr>
                <w:rFonts w:ascii="Arial" w:hAnsi="Arial" w:cs="Arial"/>
                <w:sz w:val="14"/>
                <w:szCs w:val="14"/>
                <w:u w:val="single"/>
                <w:lang w:val="es-MX" w:eastAsia="es-MX"/>
              </w:rPr>
            </w:pPr>
          </w:p>
        </w:tc>
        <w:tc>
          <w:tcPr>
            <w:tcW w:w="953" w:type="pct"/>
            <w:shd w:val="clear" w:color="auto" w:fill="BFBFBF" w:themeFill="background1" w:themeFillShade="BF"/>
            <w:vAlign w:val="center"/>
            <w:hideMark/>
          </w:tcPr>
          <w:p w:rsidR="005C7DA2" w:rsidRPr="005C7DA2" w:rsidRDefault="005C7DA2" w:rsidP="005C7DA2">
            <w:pPr>
              <w:jc w:val="center"/>
              <w:rPr>
                <w:rFonts w:ascii="Arial" w:hAnsi="Arial" w:cs="Arial"/>
                <w:sz w:val="14"/>
                <w:szCs w:val="14"/>
                <w:u w:val="single"/>
                <w:lang w:val="es-MX" w:eastAsia="es-MX"/>
              </w:rPr>
            </w:pPr>
            <w:r w:rsidRPr="005C7DA2">
              <w:rPr>
                <w:rFonts w:ascii="Arial" w:hAnsi="Arial" w:cs="Arial"/>
                <w:sz w:val="14"/>
                <w:szCs w:val="14"/>
                <w:u w:val="single"/>
                <w:lang w:val="es-MX" w:eastAsia="es-MX"/>
              </w:rPr>
              <w:t>Saldo</w:t>
            </w:r>
          </w:p>
        </w:tc>
      </w:tr>
      <w:tr w:rsidR="005C7DA2" w:rsidRPr="005C7DA2" w:rsidTr="005C7DA2">
        <w:trPr>
          <w:tblCellSpacing w:w="15" w:type="dxa"/>
          <w:jc w:val="center"/>
        </w:trPr>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2013</w:t>
            </w:r>
          </w:p>
        </w:tc>
        <w:tc>
          <w:tcPr>
            <w:tcW w:w="2048"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Septiembre a diciembre</w:t>
            </w:r>
          </w:p>
        </w:tc>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w:t>
            </w:r>
          </w:p>
        </w:tc>
        <w:tc>
          <w:tcPr>
            <w:tcW w:w="953"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985,502</w:t>
            </w:r>
          </w:p>
        </w:tc>
      </w:tr>
      <w:tr w:rsidR="005C7DA2" w:rsidRPr="005C7DA2" w:rsidTr="005C7DA2">
        <w:trPr>
          <w:tblCellSpacing w:w="15" w:type="dxa"/>
          <w:jc w:val="center"/>
        </w:trPr>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2014</w:t>
            </w:r>
          </w:p>
        </w:tc>
        <w:tc>
          <w:tcPr>
            <w:tcW w:w="2048"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Enero a diciembre</w:t>
            </w:r>
          </w:p>
        </w:tc>
        <w:tc>
          <w:tcPr>
            <w:tcW w:w="0" w:type="auto"/>
            <w:vAlign w:val="center"/>
            <w:hideMark/>
          </w:tcPr>
          <w:p w:rsidR="005C7DA2" w:rsidRPr="005C7DA2" w:rsidRDefault="005C7DA2" w:rsidP="005C7DA2">
            <w:pPr>
              <w:jc w:val="center"/>
              <w:rPr>
                <w:rFonts w:ascii="Arial" w:hAnsi="Arial" w:cs="Arial"/>
                <w:sz w:val="14"/>
                <w:szCs w:val="14"/>
                <w:lang w:val="es-MX" w:eastAsia="es-MX"/>
              </w:rPr>
            </w:pPr>
          </w:p>
        </w:tc>
        <w:tc>
          <w:tcPr>
            <w:tcW w:w="953"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2,468,730</w:t>
            </w:r>
          </w:p>
        </w:tc>
      </w:tr>
      <w:tr w:rsidR="005C7DA2" w:rsidRPr="005C7DA2" w:rsidTr="005C7DA2">
        <w:trPr>
          <w:tblCellSpacing w:w="15" w:type="dxa"/>
          <w:jc w:val="center"/>
        </w:trPr>
        <w:tc>
          <w:tcPr>
            <w:tcW w:w="0" w:type="auto"/>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2015</w:t>
            </w:r>
          </w:p>
        </w:tc>
        <w:tc>
          <w:tcPr>
            <w:tcW w:w="2048"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Enero a diciembre</w:t>
            </w:r>
          </w:p>
        </w:tc>
        <w:tc>
          <w:tcPr>
            <w:tcW w:w="0" w:type="auto"/>
            <w:vAlign w:val="center"/>
            <w:hideMark/>
          </w:tcPr>
          <w:p w:rsidR="005C7DA2" w:rsidRPr="005C7DA2" w:rsidRDefault="005C7DA2" w:rsidP="005C7DA2">
            <w:pPr>
              <w:jc w:val="center"/>
              <w:rPr>
                <w:rFonts w:ascii="Arial" w:hAnsi="Arial" w:cs="Arial"/>
                <w:sz w:val="14"/>
                <w:szCs w:val="14"/>
                <w:lang w:val="es-MX" w:eastAsia="es-MX"/>
              </w:rPr>
            </w:pPr>
          </w:p>
        </w:tc>
        <w:tc>
          <w:tcPr>
            <w:tcW w:w="953"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2,878,805</w:t>
            </w:r>
          </w:p>
        </w:tc>
      </w:tr>
      <w:tr w:rsidR="005C7DA2" w:rsidRPr="005C7DA2" w:rsidTr="005C7DA2">
        <w:trPr>
          <w:tblCellSpacing w:w="15" w:type="dxa"/>
          <w:jc w:val="center"/>
        </w:trPr>
        <w:tc>
          <w:tcPr>
            <w:tcW w:w="0" w:type="auto"/>
            <w:vAlign w:val="center"/>
            <w:hideMark/>
          </w:tcPr>
          <w:p w:rsidR="005C7DA2" w:rsidRPr="005C7DA2" w:rsidRDefault="005C7DA2" w:rsidP="005C7DA2">
            <w:pPr>
              <w:jc w:val="center"/>
              <w:rPr>
                <w:rFonts w:ascii="Arial" w:hAnsi="Arial" w:cs="Arial"/>
                <w:b/>
                <w:bCs/>
                <w:sz w:val="14"/>
                <w:szCs w:val="14"/>
                <w:lang w:val="es-MX" w:eastAsia="es-MX"/>
              </w:rPr>
            </w:pPr>
            <w:r w:rsidRPr="005C7DA2">
              <w:rPr>
                <w:rFonts w:ascii="Arial" w:hAnsi="Arial" w:cs="Arial"/>
                <w:b/>
                <w:bCs/>
                <w:sz w:val="14"/>
                <w:szCs w:val="14"/>
                <w:lang w:val="es-MX" w:eastAsia="es-MX"/>
              </w:rPr>
              <w:lastRenderedPageBreak/>
              <w:t>Total</w:t>
            </w:r>
          </w:p>
        </w:tc>
        <w:tc>
          <w:tcPr>
            <w:tcW w:w="2048" w:type="pct"/>
            <w:vAlign w:val="center"/>
            <w:hideMark/>
          </w:tcPr>
          <w:p w:rsidR="005C7DA2" w:rsidRPr="005C7DA2" w:rsidRDefault="005C7DA2" w:rsidP="005C7DA2">
            <w:pPr>
              <w:jc w:val="center"/>
              <w:rPr>
                <w:rFonts w:ascii="Arial" w:hAnsi="Arial" w:cs="Arial"/>
                <w:b/>
                <w:bCs/>
                <w:sz w:val="14"/>
                <w:szCs w:val="14"/>
                <w:lang w:val="es-MX" w:eastAsia="es-MX"/>
              </w:rPr>
            </w:pPr>
          </w:p>
        </w:tc>
        <w:tc>
          <w:tcPr>
            <w:tcW w:w="0" w:type="auto"/>
            <w:vAlign w:val="center"/>
            <w:hideMark/>
          </w:tcPr>
          <w:p w:rsidR="005C7DA2" w:rsidRPr="005C7DA2" w:rsidRDefault="005C7DA2" w:rsidP="005C7DA2">
            <w:pPr>
              <w:jc w:val="center"/>
              <w:rPr>
                <w:rFonts w:ascii="Arial" w:hAnsi="Arial" w:cs="Arial"/>
                <w:b/>
                <w:bCs/>
                <w:sz w:val="14"/>
                <w:szCs w:val="14"/>
                <w:lang w:val="es-MX" w:eastAsia="es-MX"/>
              </w:rPr>
            </w:pPr>
            <w:r w:rsidRPr="005C7DA2">
              <w:rPr>
                <w:rFonts w:ascii="Arial" w:hAnsi="Arial" w:cs="Arial"/>
                <w:b/>
                <w:bCs/>
                <w:sz w:val="14"/>
                <w:szCs w:val="14"/>
                <w:lang w:val="es-MX" w:eastAsia="es-MX"/>
              </w:rPr>
              <w:t>$</w:t>
            </w:r>
          </w:p>
        </w:tc>
        <w:tc>
          <w:tcPr>
            <w:tcW w:w="953" w:type="pct"/>
            <w:vAlign w:val="center"/>
            <w:hideMark/>
          </w:tcPr>
          <w:p w:rsidR="005C7DA2" w:rsidRPr="005C7DA2" w:rsidRDefault="005C7DA2" w:rsidP="005C7DA2">
            <w:pPr>
              <w:jc w:val="center"/>
              <w:rPr>
                <w:rFonts w:ascii="Arial" w:hAnsi="Arial" w:cs="Arial"/>
                <w:b/>
                <w:bCs/>
                <w:sz w:val="14"/>
                <w:szCs w:val="14"/>
                <w:lang w:val="es-MX" w:eastAsia="es-MX"/>
              </w:rPr>
            </w:pPr>
            <w:r w:rsidRPr="005C7DA2">
              <w:rPr>
                <w:rFonts w:ascii="Arial" w:hAnsi="Arial" w:cs="Arial"/>
                <w:b/>
                <w:bCs/>
                <w:sz w:val="14"/>
                <w:szCs w:val="14"/>
                <w:lang w:val="es-MX" w:eastAsia="es-MX"/>
              </w:rPr>
              <w:t>6,333,037</w:t>
            </w:r>
          </w:p>
        </w:tc>
      </w:tr>
    </w:tbl>
    <w:p w:rsidR="005C7DA2" w:rsidRPr="005C7DA2" w:rsidRDefault="005C7DA2" w:rsidP="00374B6D">
      <w:pPr>
        <w:spacing w:after="0" w:line="360" w:lineRule="auto"/>
        <w:contextualSpacing/>
        <w:jc w:val="both"/>
        <w:rPr>
          <w:rFonts w:ascii="Arial" w:hAnsi="Arial" w:cs="Arial"/>
          <w:sz w:val="24"/>
        </w:rPr>
      </w:pPr>
      <w:r>
        <w:rPr>
          <w:rFonts w:ascii="Arial" w:hAnsi="Arial" w:cs="Arial"/>
          <w:sz w:val="24"/>
        </w:rPr>
        <w:t xml:space="preserve"> </w:t>
      </w:r>
    </w:p>
    <w:p w:rsidR="00CA530F" w:rsidRPr="005C7DA2" w:rsidRDefault="005C7DA2" w:rsidP="00374B6D">
      <w:pPr>
        <w:spacing w:after="0" w:line="360" w:lineRule="auto"/>
        <w:contextualSpacing/>
        <w:jc w:val="both"/>
        <w:rPr>
          <w:rFonts w:ascii="Arial" w:hAnsi="Arial" w:cs="Arial"/>
          <w:sz w:val="24"/>
        </w:rPr>
      </w:pPr>
      <w:r w:rsidRPr="005C7DA2">
        <w:rPr>
          <w:rFonts w:ascii="Arial" w:hAnsi="Arial" w:cs="Arial"/>
          <w:sz w:val="24"/>
        </w:rPr>
        <w:t>Cabe mencionar que al momento de que estos impuestos sean enterados se verán afectados por recargos y actualización en los términos de lo establecido por los artículos 17-A y 21 del Código Fiscal de la Federación, por lo que representará un posible daño a la Hacienda Pública, además del riesgo de ser sancionado con las mismas penas del delito de defraudación fiscal que señala el artículo 109 del Código Fiscal de la Federación en su fracción II, que dice: "Omita enterar a las autoridades fiscales, dentro del plazo que la ley establezca, las cantidades que por concepto de contribuciones hubiere retenido o recaudado".</w:t>
      </w:r>
    </w:p>
    <w:p w:rsidR="00CA530F" w:rsidRDefault="00CA530F" w:rsidP="00374B6D">
      <w:pPr>
        <w:spacing w:after="0" w:line="360" w:lineRule="auto"/>
        <w:contextualSpacing/>
        <w:jc w:val="both"/>
        <w:rPr>
          <w:rFonts w:ascii="Arial" w:hAnsi="Arial" w:cs="Arial"/>
          <w:b/>
          <w:sz w:val="24"/>
          <w:u w:val="single"/>
        </w:rPr>
      </w:pPr>
    </w:p>
    <w:p w:rsidR="005C7DA2" w:rsidRPr="005C7DA2" w:rsidRDefault="005C7DA2" w:rsidP="005C7DA2">
      <w:pPr>
        <w:spacing w:after="0" w:line="360" w:lineRule="auto"/>
        <w:contextualSpacing/>
        <w:jc w:val="both"/>
        <w:rPr>
          <w:rFonts w:ascii="Arial" w:hAnsi="Arial" w:cs="Arial"/>
          <w:b/>
          <w:sz w:val="24"/>
        </w:rPr>
      </w:pPr>
      <w:r w:rsidRPr="005C7DA2">
        <w:rPr>
          <w:rFonts w:ascii="Arial" w:hAnsi="Arial" w:cs="Arial"/>
          <w:b/>
          <w:sz w:val="24"/>
        </w:rPr>
        <w:t>Análisis de la Auditoría Superior del Estado</w:t>
      </w:r>
    </w:p>
    <w:p w:rsidR="005C7DA2" w:rsidRDefault="005C7DA2" w:rsidP="005C7DA2">
      <w:pPr>
        <w:spacing w:after="0" w:line="360" w:lineRule="auto"/>
        <w:contextualSpacing/>
        <w:jc w:val="both"/>
        <w:rPr>
          <w:rFonts w:ascii="Arial" w:hAnsi="Arial" w:cs="Arial"/>
          <w:sz w:val="24"/>
        </w:rPr>
      </w:pPr>
    </w:p>
    <w:p w:rsidR="005C7DA2" w:rsidRPr="005C7DA2" w:rsidRDefault="005C7DA2" w:rsidP="005C7DA2">
      <w:pPr>
        <w:spacing w:after="0" w:line="360" w:lineRule="auto"/>
        <w:contextualSpacing/>
        <w:jc w:val="both"/>
        <w:rPr>
          <w:rFonts w:ascii="Arial" w:hAnsi="Arial" w:cs="Arial"/>
          <w:sz w:val="24"/>
        </w:rPr>
      </w:pPr>
      <w:r w:rsidRPr="005C7DA2">
        <w:rPr>
          <w:rFonts w:ascii="Arial" w:hAnsi="Arial" w:cs="Arial"/>
          <w:sz w:val="24"/>
        </w:rPr>
        <w:t>Derivado del análisis de la respuesta presentada por el Titular y Extitular del Ente Público,</w:t>
      </w:r>
      <w:r>
        <w:rPr>
          <w:rFonts w:ascii="Arial" w:hAnsi="Arial" w:cs="Arial"/>
          <w:sz w:val="24"/>
        </w:rPr>
        <w:t xml:space="preserve"> la Auditoría determinó esta observación se solventó</w:t>
      </w:r>
      <w:r w:rsidRPr="005C7DA2">
        <w:rPr>
          <w:rFonts w:ascii="Arial" w:hAnsi="Arial" w:cs="Arial"/>
          <w:sz w:val="24"/>
        </w:rPr>
        <w:t xml:space="preserve"> parcialmente, toda vez que si bien</w:t>
      </w:r>
      <w:r>
        <w:rPr>
          <w:rFonts w:ascii="Arial" w:hAnsi="Arial" w:cs="Arial"/>
          <w:sz w:val="24"/>
        </w:rPr>
        <w:t xml:space="preserve"> el Ente proporcionó la</w:t>
      </w:r>
      <w:r w:rsidRPr="005C7DA2">
        <w:rPr>
          <w:rFonts w:ascii="Arial" w:hAnsi="Arial" w:cs="Arial"/>
          <w:sz w:val="24"/>
        </w:rPr>
        <w:t xml:space="preserve"> evidencia documental de los pagos de impuestos correspondientes a los meses de enero a mayo de 2014 por $1,205,420</w:t>
      </w:r>
      <w:r>
        <w:rPr>
          <w:rFonts w:ascii="Arial" w:hAnsi="Arial" w:cs="Arial"/>
          <w:sz w:val="24"/>
        </w:rPr>
        <w:t xml:space="preserve"> así como las</w:t>
      </w:r>
      <w:r w:rsidRPr="005C7DA2">
        <w:rPr>
          <w:rFonts w:ascii="Arial" w:hAnsi="Arial" w:cs="Arial"/>
          <w:sz w:val="24"/>
        </w:rPr>
        <w:t xml:space="preserve"> gestiones</w:t>
      </w:r>
      <w:r>
        <w:rPr>
          <w:rFonts w:ascii="Arial" w:hAnsi="Arial" w:cs="Arial"/>
          <w:sz w:val="24"/>
        </w:rPr>
        <w:t>,</w:t>
      </w:r>
      <w:r w:rsidRPr="005C7DA2">
        <w:rPr>
          <w:rFonts w:ascii="Arial" w:hAnsi="Arial" w:cs="Arial"/>
          <w:sz w:val="24"/>
        </w:rPr>
        <w:t xml:space="preserve"> solicitando los recursos pendientes de entregar por parte de la Secretaría de Finanzas y Tesorería General del Estado; no </w:t>
      </w:r>
      <w:r>
        <w:rPr>
          <w:rFonts w:ascii="Arial" w:hAnsi="Arial" w:cs="Arial"/>
          <w:sz w:val="24"/>
        </w:rPr>
        <w:t>siendo liquidada en su</w:t>
      </w:r>
      <w:r w:rsidRPr="005C7DA2">
        <w:rPr>
          <w:rFonts w:ascii="Arial" w:hAnsi="Arial" w:cs="Arial"/>
          <w:sz w:val="24"/>
        </w:rPr>
        <w:t xml:space="preserve"> totalidad del saldo</w:t>
      </w:r>
      <w:r>
        <w:rPr>
          <w:rFonts w:ascii="Arial" w:hAnsi="Arial" w:cs="Arial"/>
          <w:sz w:val="24"/>
        </w:rPr>
        <w:t>.</w:t>
      </w:r>
    </w:p>
    <w:p w:rsidR="005C7DA2" w:rsidRPr="005C7DA2" w:rsidRDefault="005C7DA2" w:rsidP="005C7DA2">
      <w:pPr>
        <w:spacing w:after="0" w:line="360" w:lineRule="auto"/>
        <w:contextualSpacing/>
        <w:jc w:val="both"/>
        <w:rPr>
          <w:rFonts w:ascii="Arial" w:hAnsi="Arial" w:cs="Arial"/>
          <w:sz w:val="24"/>
        </w:rPr>
      </w:pPr>
    </w:p>
    <w:p w:rsidR="005C7DA2" w:rsidRPr="005C7DA2" w:rsidRDefault="005C7DA2" w:rsidP="005C7DA2">
      <w:pPr>
        <w:spacing w:after="0" w:line="360" w:lineRule="auto"/>
        <w:contextualSpacing/>
        <w:jc w:val="both"/>
        <w:rPr>
          <w:rFonts w:ascii="Arial" w:hAnsi="Arial" w:cs="Arial"/>
          <w:b/>
          <w:sz w:val="24"/>
        </w:rPr>
      </w:pPr>
      <w:r w:rsidRPr="005C7DA2">
        <w:rPr>
          <w:rFonts w:ascii="Arial" w:hAnsi="Arial" w:cs="Arial"/>
          <w:b/>
          <w:sz w:val="24"/>
        </w:rPr>
        <w:t>Acción(es) o recomendación(es) emitida(s)</w:t>
      </w:r>
    </w:p>
    <w:p w:rsidR="005C7DA2" w:rsidRPr="005C7DA2" w:rsidRDefault="005C7DA2" w:rsidP="005C7DA2">
      <w:pPr>
        <w:spacing w:after="0" w:line="360" w:lineRule="auto"/>
        <w:contextualSpacing/>
        <w:jc w:val="both"/>
        <w:rPr>
          <w:rFonts w:ascii="Arial" w:hAnsi="Arial" w:cs="Arial"/>
          <w:i/>
          <w:sz w:val="24"/>
        </w:rPr>
      </w:pPr>
      <w:r w:rsidRPr="005C7DA2">
        <w:rPr>
          <w:rFonts w:ascii="Arial" w:hAnsi="Arial" w:cs="Arial"/>
          <w:i/>
          <w:sz w:val="24"/>
        </w:rPr>
        <w:t>Promoción de Fincamiento de Responsabilidad Administrativa.</w:t>
      </w:r>
    </w:p>
    <w:p w:rsidR="005C7DA2" w:rsidRPr="005C7DA2" w:rsidRDefault="005C7DA2" w:rsidP="005C7DA2">
      <w:pPr>
        <w:spacing w:after="0" w:line="360" w:lineRule="auto"/>
        <w:contextualSpacing/>
        <w:jc w:val="both"/>
        <w:rPr>
          <w:rFonts w:ascii="Arial" w:hAnsi="Arial" w:cs="Arial"/>
          <w:i/>
          <w:sz w:val="24"/>
        </w:rPr>
      </w:pPr>
      <w:r w:rsidRPr="005C7DA2">
        <w:rPr>
          <w:rFonts w:ascii="Arial" w:hAnsi="Arial" w:cs="Arial"/>
          <w:i/>
          <w:sz w:val="24"/>
        </w:rPr>
        <w:t>Promoción del Ejercicio de la Facultad de Comprobación Fiscal.</w:t>
      </w:r>
    </w:p>
    <w:p w:rsidR="00CA530F" w:rsidRPr="005C7DA2" w:rsidRDefault="00CA530F" w:rsidP="00374B6D">
      <w:pPr>
        <w:spacing w:after="0" w:line="360" w:lineRule="auto"/>
        <w:contextualSpacing/>
        <w:jc w:val="both"/>
        <w:rPr>
          <w:rFonts w:ascii="Arial" w:hAnsi="Arial" w:cs="Arial"/>
          <w:sz w:val="24"/>
        </w:rPr>
      </w:pPr>
    </w:p>
    <w:p w:rsidR="005C7DA2" w:rsidRPr="005C7DA2" w:rsidRDefault="005C7DA2" w:rsidP="005C7DA2">
      <w:pPr>
        <w:spacing w:after="0" w:line="360" w:lineRule="auto"/>
        <w:contextualSpacing/>
        <w:jc w:val="both"/>
        <w:rPr>
          <w:rFonts w:ascii="Arial" w:hAnsi="Arial" w:cs="Arial"/>
          <w:b/>
          <w:sz w:val="24"/>
          <w:u w:val="single"/>
        </w:rPr>
      </w:pPr>
      <w:r w:rsidRPr="005C7DA2">
        <w:rPr>
          <w:rFonts w:ascii="Arial" w:hAnsi="Arial" w:cs="Arial"/>
          <w:b/>
          <w:sz w:val="24"/>
          <w:u w:val="single"/>
        </w:rPr>
        <w:t>GASTOS Y OTRAS PÉRDIDAS</w:t>
      </w:r>
    </w:p>
    <w:p w:rsidR="005C7DA2" w:rsidRPr="005C7DA2" w:rsidRDefault="005C7DA2" w:rsidP="005C7DA2">
      <w:pPr>
        <w:spacing w:after="0" w:line="360" w:lineRule="auto"/>
        <w:contextualSpacing/>
        <w:jc w:val="both"/>
        <w:rPr>
          <w:rFonts w:ascii="Arial" w:hAnsi="Arial" w:cs="Arial"/>
          <w:b/>
          <w:sz w:val="24"/>
          <w:u w:val="single"/>
        </w:rPr>
      </w:pPr>
      <w:r w:rsidRPr="005C7DA2">
        <w:rPr>
          <w:rFonts w:ascii="Arial" w:hAnsi="Arial" w:cs="Arial"/>
          <w:b/>
          <w:sz w:val="24"/>
          <w:u w:val="single"/>
        </w:rPr>
        <w:t>Gastos de funcionamiento</w:t>
      </w:r>
    </w:p>
    <w:p w:rsidR="005C7DA2" w:rsidRPr="005C7DA2" w:rsidRDefault="005C7DA2" w:rsidP="005C7DA2">
      <w:pPr>
        <w:spacing w:after="0" w:line="360" w:lineRule="auto"/>
        <w:contextualSpacing/>
        <w:jc w:val="both"/>
        <w:rPr>
          <w:rFonts w:ascii="Arial" w:hAnsi="Arial" w:cs="Arial"/>
          <w:b/>
          <w:sz w:val="24"/>
          <w:u w:val="single"/>
        </w:rPr>
      </w:pPr>
      <w:r w:rsidRPr="005C7DA2">
        <w:rPr>
          <w:rFonts w:ascii="Arial" w:hAnsi="Arial" w:cs="Arial"/>
          <w:b/>
          <w:sz w:val="24"/>
          <w:u w:val="single"/>
        </w:rPr>
        <w:t>Servicios personales</w:t>
      </w:r>
    </w:p>
    <w:p w:rsidR="00CA530F" w:rsidRDefault="005C7DA2" w:rsidP="005C7DA2">
      <w:pPr>
        <w:spacing w:after="0" w:line="360" w:lineRule="auto"/>
        <w:contextualSpacing/>
        <w:jc w:val="both"/>
        <w:rPr>
          <w:rFonts w:ascii="Arial" w:hAnsi="Arial" w:cs="Arial"/>
          <w:b/>
          <w:sz w:val="24"/>
          <w:u w:val="single"/>
        </w:rPr>
      </w:pPr>
      <w:r w:rsidRPr="005C7DA2">
        <w:rPr>
          <w:rFonts w:ascii="Arial" w:hAnsi="Arial" w:cs="Arial"/>
          <w:b/>
          <w:sz w:val="24"/>
          <w:u w:val="single"/>
        </w:rPr>
        <w:t>Otras prestaciones sociales y económicas</w:t>
      </w:r>
    </w:p>
    <w:p w:rsidR="005C7DA2" w:rsidRDefault="005C7DA2" w:rsidP="005C7DA2">
      <w:pPr>
        <w:spacing w:after="0" w:line="360" w:lineRule="auto"/>
        <w:contextualSpacing/>
        <w:jc w:val="both"/>
        <w:rPr>
          <w:rFonts w:ascii="Arial" w:hAnsi="Arial" w:cs="Arial"/>
          <w:b/>
          <w:sz w:val="24"/>
          <w:u w:val="single"/>
        </w:rPr>
      </w:pPr>
    </w:p>
    <w:p w:rsidR="005C7DA2" w:rsidRPr="005C7DA2" w:rsidRDefault="005C7DA2" w:rsidP="005C7DA2">
      <w:pPr>
        <w:spacing w:after="0" w:line="360" w:lineRule="auto"/>
        <w:contextualSpacing/>
        <w:jc w:val="both"/>
        <w:rPr>
          <w:rFonts w:ascii="Arial" w:hAnsi="Arial" w:cs="Arial"/>
          <w:sz w:val="24"/>
        </w:rPr>
      </w:pPr>
      <w:r>
        <w:rPr>
          <w:rFonts w:ascii="Arial" w:hAnsi="Arial" w:cs="Arial"/>
          <w:sz w:val="24"/>
        </w:rPr>
        <w:t xml:space="preserve">12. </w:t>
      </w:r>
      <w:r w:rsidRPr="005C7DA2">
        <w:rPr>
          <w:rFonts w:ascii="Arial" w:hAnsi="Arial" w:cs="Arial"/>
          <w:sz w:val="24"/>
        </w:rPr>
        <w:t>Al 31 de diciembre de 2015, se observó que 25 empleados que prestaron sus servicios en el Ente Público no contaron con servicio de seguridad social o gastos médicos, incumpliendo con lo establecido en los artículos 3 y 58 de la Ley del Instituto de Seguridad y Servicios Sociales de los Trabajadores del Estado de Nuevo León.</w:t>
      </w:r>
    </w:p>
    <w:p w:rsidR="005C7DA2" w:rsidRDefault="005C7DA2" w:rsidP="005C7DA2">
      <w:pPr>
        <w:spacing w:after="0" w:line="360" w:lineRule="auto"/>
        <w:contextualSpacing/>
        <w:jc w:val="both"/>
        <w:rPr>
          <w:rFonts w:ascii="Arial" w:hAnsi="Arial" w:cs="Arial"/>
          <w:sz w:val="24"/>
        </w:rPr>
      </w:pPr>
    </w:p>
    <w:p w:rsidR="005C7DA2" w:rsidRDefault="005C7DA2" w:rsidP="005C7DA2">
      <w:pPr>
        <w:spacing w:after="0" w:line="360" w:lineRule="auto"/>
        <w:contextualSpacing/>
        <w:jc w:val="both"/>
        <w:rPr>
          <w:rFonts w:ascii="Arial" w:hAnsi="Arial" w:cs="Arial"/>
          <w:sz w:val="24"/>
        </w:rPr>
      </w:pPr>
      <w:r w:rsidRPr="005C7DA2">
        <w:rPr>
          <w:rFonts w:ascii="Arial" w:hAnsi="Arial" w:cs="Arial"/>
          <w:sz w:val="24"/>
        </w:rPr>
        <w:t>El personal que no contaba con esta prestación es el siguiente de acuerdo a su número de empleado:</w:t>
      </w:r>
    </w:p>
    <w:p w:rsidR="005C7DA2" w:rsidRDefault="005C7DA2" w:rsidP="005C7DA2">
      <w:pPr>
        <w:spacing w:after="0" w:line="360" w:lineRule="auto"/>
        <w:contextualSpacing/>
        <w:jc w:val="both"/>
        <w:rPr>
          <w:rFonts w:ascii="Arial" w:hAnsi="Arial" w:cs="Arial"/>
          <w:sz w:val="24"/>
        </w:rPr>
      </w:pPr>
    </w:p>
    <w:tbl>
      <w:tblPr>
        <w:tblW w:w="7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6"/>
      </w:tblGrid>
      <w:tr w:rsidR="005C7DA2" w:rsidRPr="005C7DA2" w:rsidTr="005C7DA2">
        <w:trPr>
          <w:tblHeader/>
          <w:tblCellSpacing w:w="15" w:type="dxa"/>
          <w:jc w:val="center"/>
        </w:trPr>
        <w:tc>
          <w:tcPr>
            <w:tcW w:w="4751" w:type="pct"/>
            <w:shd w:val="clear" w:color="auto" w:fill="BFBFBF" w:themeFill="background1" w:themeFillShade="BF"/>
            <w:vAlign w:val="center"/>
            <w:hideMark/>
          </w:tcPr>
          <w:p w:rsidR="005C7DA2" w:rsidRPr="005C7DA2" w:rsidRDefault="005C7DA2" w:rsidP="005C7DA2">
            <w:pPr>
              <w:jc w:val="center"/>
              <w:rPr>
                <w:rFonts w:ascii="Arial" w:hAnsi="Arial" w:cs="Arial"/>
                <w:b/>
                <w:sz w:val="14"/>
                <w:szCs w:val="14"/>
                <w:u w:val="single"/>
                <w:lang w:val="es-MX" w:eastAsia="es-MX"/>
              </w:rPr>
            </w:pPr>
            <w:r w:rsidRPr="005C7DA2">
              <w:rPr>
                <w:rFonts w:ascii="Arial" w:hAnsi="Arial" w:cs="Arial"/>
                <w:b/>
                <w:sz w:val="14"/>
                <w:szCs w:val="14"/>
                <w:u w:val="single"/>
                <w:lang w:val="es-MX" w:eastAsia="es-MX"/>
              </w:rPr>
              <w:t>No. de empleado</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1001</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1002</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1013</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1029</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1032</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1034</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1041</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1042</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lastRenderedPageBreak/>
              <w:t>1071</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1073</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1076</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1079</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1090</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1091</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1094</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1095</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1098</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1099</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2033</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2047</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2050</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4011</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5009</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6001</w:t>
            </w:r>
          </w:p>
        </w:tc>
      </w:tr>
      <w:tr w:rsidR="005C7DA2" w:rsidRPr="005C7DA2" w:rsidTr="005C7DA2">
        <w:trPr>
          <w:tblCellSpacing w:w="15" w:type="dxa"/>
          <w:jc w:val="center"/>
        </w:trPr>
        <w:tc>
          <w:tcPr>
            <w:tcW w:w="4751" w:type="pct"/>
            <w:vAlign w:val="center"/>
            <w:hideMark/>
          </w:tcPr>
          <w:p w:rsidR="005C7DA2" w:rsidRPr="005C7DA2" w:rsidRDefault="005C7DA2" w:rsidP="005C7DA2">
            <w:pPr>
              <w:jc w:val="center"/>
              <w:rPr>
                <w:rFonts w:ascii="Arial" w:hAnsi="Arial" w:cs="Arial"/>
                <w:sz w:val="14"/>
                <w:szCs w:val="14"/>
                <w:lang w:val="es-MX" w:eastAsia="es-MX"/>
              </w:rPr>
            </w:pPr>
            <w:r w:rsidRPr="005C7DA2">
              <w:rPr>
                <w:rFonts w:ascii="Arial" w:hAnsi="Arial" w:cs="Arial"/>
                <w:sz w:val="14"/>
                <w:szCs w:val="14"/>
                <w:lang w:val="es-MX" w:eastAsia="es-MX"/>
              </w:rPr>
              <w:t>6024</w:t>
            </w:r>
          </w:p>
        </w:tc>
      </w:tr>
    </w:tbl>
    <w:p w:rsidR="005C7DA2" w:rsidRDefault="005C7DA2" w:rsidP="005C7DA2">
      <w:pPr>
        <w:spacing w:after="0" w:line="360" w:lineRule="auto"/>
        <w:contextualSpacing/>
        <w:jc w:val="both"/>
        <w:rPr>
          <w:rFonts w:ascii="Arial" w:hAnsi="Arial" w:cs="Arial"/>
          <w:sz w:val="24"/>
        </w:rPr>
      </w:pPr>
    </w:p>
    <w:p w:rsidR="005C7DA2" w:rsidRPr="005C7DA2" w:rsidRDefault="005C7DA2" w:rsidP="005C7DA2">
      <w:pPr>
        <w:spacing w:after="0" w:line="360" w:lineRule="auto"/>
        <w:contextualSpacing/>
        <w:jc w:val="both"/>
        <w:rPr>
          <w:rFonts w:ascii="Arial" w:hAnsi="Arial" w:cs="Arial"/>
          <w:b/>
          <w:sz w:val="24"/>
        </w:rPr>
      </w:pPr>
      <w:r w:rsidRPr="005C7DA2">
        <w:rPr>
          <w:rFonts w:ascii="Arial" w:hAnsi="Arial" w:cs="Arial"/>
          <w:b/>
          <w:sz w:val="24"/>
        </w:rPr>
        <w:t>Acción(es) o recomendación(es) emitida(s)</w:t>
      </w:r>
    </w:p>
    <w:p w:rsidR="005C7DA2" w:rsidRPr="005C7DA2" w:rsidRDefault="005C7DA2" w:rsidP="005C7DA2">
      <w:pPr>
        <w:spacing w:after="0" w:line="360" w:lineRule="auto"/>
        <w:contextualSpacing/>
        <w:jc w:val="both"/>
        <w:rPr>
          <w:rFonts w:ascii="Arial" w:hAnsi="Arial" w:cs="Arial"/>
          <w:i/>
          <w:sz w:val="24"/>
        </w:rPr>
      </w:pPr>
      <w:r w:rsidRPr="005C7DA2">
        <w:rPr>
          <w:rFonts w:ascii="Arial" w:hAnsi="Arial" w:cs="Arial"/>
          <w:i/>
          <w:sz w:val="24"/>
        </w:rPr>
        <w:t>Promoción de Fincamiento de Responsabilidad Administrativa.</w:t>
      </w:r>
    </w:p>
    <w:p w:rsidR="00CA530F" w:rsidRDefault="00CA530F" w:rsidP="00374B6D">
      <w:pPr>
        <w:spacing w:after="0" w:line="360" w:lineRule="auto"/>
        <w:contextualSpacing/>
        <w:jc w:val="both"/>
        <w:rPr>
          <w:rFonts w:ascii="Arial" w:hAnsi="Arial" w:cs="Arial"/>
          <w:b/>
          <w:sz w:val="24"/>
          <w:u w:val="single"/>
        </w:rPr>
      </w:pPr>
    </w:p>
    <w:p w:rsidR="005C7DA2" w:rsidRDefault="005C7DA2" w:rsidP="00374B6D">
      <w:pPr>
        <w:spacing w:after="0" w:line="360" w:lineRule="auto"/>
        <w:contextualSpacing/>
        <w:jc w:val="both"/>
        <w:rPr>
          <w:rFonts w:ascii="Arial" w:hAnsi="Arial" w:cs="Arial"/>
          <w:b/>
          <w:sz w:val="24"/>
          <w:u w:val="single"/>
        </w:rPr>
      </w:pPr>
    </w:p>
    <w:p w:rsidR="005C7DA2" w:rsidRPr="005C7DA2" w:rsidRDefault="005C7DA2" w:rsidP="005C7DA2">
      <w:pPr>
        <w:spacing w:after="0" w:line="360" w:lineRule="auto"/>
        <w:contextualSpacing/>
        <w:jc w:val="both"/>
        <w:rPr>
          <w:rFonts w:ascii="Arial" w:hAnsi="Arial" w:cs="Arial"/>
          <w:b/>
          <w:sz w:val="24"/>
          <w:u w:val="single"/>
        </w:rPr>
      </w:pPr>
      <w:r w:rsidRPr="005C7DA2">
        <w:rPr>
          <w:rFonts w:ascii="Arial" w:hAnsi="Arial" w:cs="Arial"/>
          <w:b/>
          <w:sz w:val="24"/>
          <w:u w:val="single"/>
        </w:rPr>
        <w:lastRenderedPageBreak/>
        <w:t>Materiales y suministros</w:t>
      </w:r>
    </w:p>
    <w:p w:rsidR="005C7DA2" w:rsidRDefault="005C7DA2" w:rsidP="005C7DA2">
      <w:pPr>
        <w:spacing w:after="0" w:line="360" w:lineRule="auto"/>
        <w:contextualSpacing/>
        <w:jc w:val="both"/>
        <w:rPr>
          <w:rFonts w:ascii="Arial" w:hAnsi="Arial" w:cs="Arial"/>
          <w:b/>
          <w:sz w:val="24"/>
          <w:u w:val="single"/>
        </w:rPr>
      </w:pPr>
      <w:r w:rsidRPr="005C7DA2">
        <w:rPr>
          <w:rFonts w:ascii="Arial" w:hAnsi="Arial" w:cs="Arial"/>
          <w:b/>
          <w:sz w:val="24"/>
          <w:u w:val="single"/>
        </w:rPr>
        <w:t>General</w:t>
      </w:r>
    </w:p>
    <w:p w:rsidR="005C7DA2" w:rsidRDefault="005C7DA2" w:rsidP="005C7DA2">
      <w:pPr>
        <w:spacing w:after="0" w:line="360" w:lineRule="auto"/>
        <w:contextualSpacing/>
        <w:jc w:val="both"/>
        <w:rPr>
          <w:rFonts w:ascii="Arial" w:hAnsi="Arial" w:cs="Arial"/>
          <w:b/>
          <w:sz w:val="24"/>
          <w:u w:val="single"/>
        </w:rPr>
      </w:pPr>
    </w:p>
    <w:p w:rsidR="005C7DA2" w:rsidRDefault="005C7DA2" w:rsidP="005C7DA2">
      <w:pPr>
        <w:spacing w:after="0" w:line="360" w:lineRule="auto"/>
        <w:contextualSpacing/>
        <w:jc w:val="both"/>
        <w:rPr>
          <w:rFonts w:ascii="Arial" w:hAnsi="Arial" w:cs="Arial"/>
          <w:sz w:val="24"/>
        </w:rPr>
      </w:pPr>
      <w:r>
        <w:rPr>
          <w:rFonts w:ascii="Arial" w:hAnsi="Arial" w:cs="Arial"/>
          <w:sz w:val="24"/>
        </w:rPr>
        <w:t xml:space="preserve">13. </w:t>
      </w:r>
      <w:r w:rsidRPr="005C7DA2">
        <w:rPr>
          <w:rFonts w:ascii="Arial" w:hAnsi="Arial" w:cs="Arial"/>
          <w:sz w:val="24"/>
        </w:rPr>
        <w:t>El Ente Público recibió durante el ejercicio 2015 servicios proporcionados por el proveedor Horacio Félix Martínez Orta por concepto de suministro y recarga de tóner por $77,233, observando que dicho proveedor no se encuentra inscrito en el Padrón, incumpliendo con lo establecido en los artículos 1 y 23 de la Ley de Adquisiciones, Arrendamientos y Contratación de Servicios del Estado de Nuevo León y a lo señalado en el artículo 23 del reglamento de la citada Ley.</w:t>
      </w:r>
    </w:p>
    <w:p w:rsidR="005C7DA2" w:rsidRDefault="005C7DA2" w:rsidP="005C7DA2">
      <w:pPr>
        <w:spacing w:after="0" w:line="360" w:lineRule="auto"/>
        <w:contextualSpacing/>
        <w:jc w:val="both"/>
        <w:rPr>
          <w:rFonts w:ascii="Arial" w:hAnsi="Arial" w:cs="Arial"/>
          <w:sz w:val="24"/>
        </w:rPr>
      </w:pPr>
    </w:p>
    <w:p w:rsidR="005C7DA2" w:rsidRPr="005C7DA2" w:rsidRDefault="005C7DA2" w:rsidP="005C7DA2">
      <w:pPr>
        <w:spacing w:after="0" w:line="360" w:lineRule="auto"/>
        <w:contextualSpacing/>
        <w:jc w:val="both"/>
        <w:rPr>
          <w:rFonts w:ascii="Arial" w:hAnsi="Arial" w:cs="Arial"/>
          <w:b/>
          <w:sz w:val="24"/>
        </w:rPr>
      </w:pPr>
      <w:r w:rsidRPr="005C7DA2">
        <w:rPr>
          <w:rFonts w:ascii="Arial" w:hAnsi="Arial" w:cs="Arial"/>
          <w:b/>
          <w:sz w:val="24"/>
        </w:rPr>
        <w:t>Análisis de la Auditoría Superior del Estado</w:t>
      </w:r>
    </w:p>
    <w:p w:rsidR="005C7DA2" w:rsidRDefault="005C7DA2" w:rsidP="005C7DA2">
      <w:pPr>
        <w:spacing w:after="0" w:line="360" w:lineRule="auto"/>
        <w:contextualSpacing/>
        <w:jc w:val="both"/>
        <w:rPr>
          <w:rFonts w:ascii="Arial" w:hAnsi="Arial" w:cs="Arial"/>
          <w:sz w:val="24"/>
        </w:rPr>
      </w:pPr>
    </w:p>
    <w:p w:rsidR="005C7DA2" w:rsidRPr="005C7DA2" w:rsidRDefault="005C7DA2" w:rsidP="005C7DA2">
      <w:pPr>
        <w:spacing w:after="0" w:line="360" w:lineRule="auto"/>
        <w:contextualSpacing/>
        <w:jc w:val="both"/>
        <w:rPr>
          <w:rFonts w:ascii="Arial" w:hAnsi="Arial" w:cs="Arial"/>
          <w:sz w:val="24"/>
        </w:rPr>
      </w:pPr>
      <w:r>
        <w:rPr>
          <w:rFonts w:ascii="Arial" w:hAnsi="Arial" w:cs="Arial"/>
          <w:sz w:val="24"/>
        </w:rPr>
        <w:t>La Auditoría</w:t>
      </w:r>
      <w:r w:rsidRPr="005C7DA2">
        <w:rPr>
          <w:rFonts w:ascii="Arial" w:hAnsi="Arial" w:cs="Arial"/>
          <w:sz w:val="24"/>
        </w:rPr>
        <w:t xml:space="preserve"> analizó la respuesta presentada por el Titular y Extitular del Ente Público,</w:t>
      </w:r>
      <w:r>
        <w:rPr>
          <w:rFonts w:ascii="Arial" w:hAnsi="Arial" w:cs="Arial"/>
          <w:sz w:val="24"/>
        </w:rPr>
        <w:t xml:space="preserve"> y determinó que esta observación se solventó</w:t>
      </w:r>
      <w:r w:rsidRPr="005C7DA2">
        <w:rPr>
          <w:rFonts w:ascii="Arial" w:hAnsi="Arial" w:cs="Arial"/>
          <w:sz w:val="24"/>
        </w:rPr>
        <w:t xml:space="preserve"> parcialmente, aún y cuando presentan gestiones para que el proveedor se registre en el padrón de Gobierno del Estado y manifiestan la problemática que presentan al localizarse fuera del área metropolitana de Monterrey, este argumento no se contempla dentro de las excepciones establecidas en el Reglamento de la Ley de Adquisiciones, Arrendamientos y Contratación de Servicios del Estado de Nuevo León. Se dará seguimiento del cumplimiento de la citada Ley así como a su reglamento en la revisión de la Cuenta Pública 2016.</w:t>
      </w:r>
    </w:p>
    <w:p w:rsidR="005C7DA2" w:rsidRPr="005C7DA2" w:rsidRDefault="005C7DA2" w:rsidP="005C7DA2">
      <w:pPr>
        <w:spacing w:after="0" w:line="360" w:lineRule="auto"/>
        <w:contextualSpacing/>
        <w:jc w:val="both"/>
        <w:rPr>
          <w:rFonts w:ascii="Arial" w:hAnsi="Arial" w:cs="Arial"/>
          <w:sz w:val="24"/>
        </w:rPr>
      </w:pPr>
    </w:p>
    <w:p w:rsidR="005C7DA2" w:rsidRPr="005C7DA2" w:rsidRDefault="005C7DA2" w:rsidP="005C7DA2">
      <w:pPr>
        <w:spacing w:after="0" w:line="360" w:lineRule="auto"/>
        <w:contextualSpacing/>
        <w:jc w:val="both"/>
        <w:rPr>
          <w:rFonts w:ascii="Arial" w:hAnsi="Arial" w:cs="Arial"/>
          <w:b/>
          <w:sz w:val="24"/>
        </w:rPr>
      </w:pPr>
      <w:r w:rsidRPr="005C7DA2">
        <w:rPr>
          <w:rFonts w:ascii="Arial" w:hAnsi="Arial" w:cs="Arial"/>
          <w:b/>
          <w:sz w:val="24"/>
        </w:rPr>
        <w:t>Acción(es) o recomendación(es) emitida(s)</w:t>
      </w:r>
    </w:p>
    <w:p w:rsidR="005C7DA2" w:rsidRPr="005C7DA2" w:rsidRDefault="005C7DA2" w:rsidP="005C7DA2">
      <w:pPr>
        <w:spacing w:after="0" w:line="360" w:lineRule="auto"/>
        <w:contextualSpacing/>
        <w:jc w:val="both"/>
        <w:rPr>
          <w:rFonts w:ascii="Arial" w:hAnsi="Arial" w:cs="Arial"/>
          <w:i/>
          <w:sz w:val="24"/>
        </w:rPr>
      </w:pPr>
      <w:r w:rsidRPr="005C7DA2">
        <w:rPr>
          <w:rFonts w:ascii="Arial" w:hAnsi="Arial" w:cs="Arial"/>
          <w:i/>
          <w:sz w:val="24"/>
        </w:rPr>
        <w:t>Promoción de Fincamiento de Responsabilidad Administrativa.</w:t>
      </w:r>
    </w:p>
    <w:p w:rsidR="00EC1740" w:rsidRPr="00EC1740" w:rsidRDefault="00EC1740" w:rsidP="00EC1740">
      <w:pPr>
        <w:spacing w:after="0" w:line="360" w:lineRule="auto"/>
        <w:contextualSpacing/>
        <w:jc w:val="both"/>
        <w:rPr>
          <w:rFonts w:ascii="Arial" w:hAnsi="Arial" w:cs="Arial"/>
          <w:b/>
          <w:sz w:val="24"/>
          <w:u w:val="single"/>
        </w:rPr>
      </w:pPr>
      <w:r w:rsidRPr="00EC1740">
        <w:rPr>
          <w:rFonts w:ascii="Arial" w:hAnsi="Arial" w:cs="Arial"/>
          <w:b/>
          <w:sz w:val="24"/>
          <w:u w:val="single"/>
        </w:rPr>
        <w:lastRenderedPageBreak/>
        <w:t>Servicios generales</w:t>
      </w:r>
    </w:p>
    <w:p w:rsidR="005C7DA2" w:rsidRPr="00EC1740" w:rsidRDefault="00EC1740" w:rsidP="00EC1740">
      <w:pPr>
        <w:spacing w:after="0" w:line="360" w:lineRule="auto"/>
        <w:contextualSpacing/>
        <w:jc w:val="both"/>
        <w:rPr>
          <w:rFonts w:ascii="Arial" w:hAnsi="Arial" w:cs="Arial"/>
          <w:b/>
          <w:sz w:val="24"/>
          <w:u w:val="single"/>
        </w:rPr>
      </w:pPr>
      <w:r w:rsidRPr="00EC1740">
        <w:rPr>
          <w:rFonts w:ascii="Arial" w:hAnsi="Arial" w:cs="Arial"/>
          <w:b/>
          <w:sz w:val="24"/>
          <w:u w:val="single"/>
        </w:rPr>
        <w:t>Penas, multas, accesorios y actualizaciones</w:t>
      </w:r>
    </w:p>
    <w:p w:rsidR="00CA530F" w:rsidRDefault="00CA530F" w:rsidP="00374B6D">
      <w:pPr>
        <w:spacing w:after="0" w:line="360" w:lineRule="auto"/>
        <w:contextualSpacing/>
        <w:jc w:val="both"/>
        <w:rPr>
          <w:rFonts w:ascii="Arial" w:hAnsi="Arial" w:cs="Arial"/>
          <w:b/>
          <w:sz w:val="24"/>
          <w:u w:val="single"/>
        </w:rPr>
      </w:pPr>
    </w:p>
    <w:p w:rsidR="00EC1740" w:rsidRDefault="00EC1740" w:rsidP="00374B6D">
      <w:pPr>
        <w:spacing w:after="0" w:line="360" w:lineRule="auto"/>
        <w:contextualSpacing/>
        <w:jc w:val="both"/>
        <w:rPr>
          <w:rFonts w:ascii="Arial" w:hAnsi="Arial" w:cs="Arial"/>
          <w:sz w:val="24"/>
        </w:rPr>
      </w:pPr>
      <w:r>
        <w:rPr>
          <w:rFonts w:ascii="Arial" w:hAnsi="Arial" w:cs="Arial"/>
          <w:sz w:val="24"/>
        </w:rPr>
        <w:t xml:space="preserve">14. </w:t>
      </w:r>
      <w:r w:rsidRPr="00EC1740">
        <w:rPr>
          <w:rFonts w:ascii="Arial" w:hAnsi="Arial" w:cs="Arial"/>
          <w:sz w:val="24"/>
        </w:rPr>
        <w:t>De la revisión a la cuenta de servicios generales, se observó que se efectuaron erogaciones por actualización y recargos e intereses moratorios por $381,099, de acuerdo a lo siguiente:</w:t>
      </w:r>
    </w:p>
    <w:p w:rsidR="00EC1740" w:rsidRDefault="00EC1740" w:rsidP="00374B6D">
      <w:pPr>
        <w:spacing w:after="0" w:line="360" w:lineRule="auto"/>
        <w:contextualSpacing/>
        <w:jc w:val="both"/>
        <w:rPr>
          <w:rFonts w:ascii="Arial" w:hAnsi="Arial" w:cs="Arial"/>
          <w:sz w:val="24"/>
        </w:rPr>
      </w:pPr>
    </w:p>
    <w:tbl>
      <w:tblPr>
        <w:tblW w:w="442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95"/>
        <w:gridCol w:w="158"/>
        <w:gridCol w:w="609"/>
      </w:tblGrid>
      <w:tr w:rsidR="00EC1740" w:rsidRPr="00EC1740" w:rsidTr="00EC1740">
        <w:trPr>
          <w:tblCellSpacing w:w="15" w:type="dxa"/>
          <w:jc w:val="center"/>
        </w:trPr>
        <w:tc>
          <w:tcPr>
            <w:tcW w:w="0" w:type="auto"/>
            <w:shd w:val="clear" w:color="auto" w:fill="BFBFBF" w:themeFill="background1" w:themeFillShade="BF"/>
            <w:vAlign w:val="center"/>
            <w:hideMark/>
          </w:tcPr>
          <w:p w:rsidR="00EC1740" w:rsidRPr="00EC1740" w:rsidRDefault="00EC1740" w:rsidP="00EC1740">
            <w:pPr>
              <w:jc w:val="center"/>
              <w:rPr>
                <w:rFonts w:ascii="Arial" w:hAnsi="Arial" w:cs="Arial"/>
                <w:b/>
                <w:sz w:val="14"/>
                <w:szCs w:val="14"/>
                <w:u w:val="single"/>
                <w:lang w:val="es-MX" w:eastAsia="es-MX"/>
              </w:rPr>
            </w:pPr>
            <w:r w:rsidRPr="00EC1740">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EC1740" w:rsidRPr="00EC1740" w:rsidRDefault="00EC1740" w:rsidP="00EC1740">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EC1740" w:rsidRPr="00EC1740" w:rsidRDefault="00EC1740" w:rsidP="00EC1740">
            <w:pPr>
              <w:jc w:val="center"/>
              <w:rPr>
                <w:rFonts w:ascii="Arial" w:hAnsi="Arial" w:cs="Arial"/>
                <w:b/>
                <w:sz w:val="14"/>
                <w:szCs w:val="14"/>
                <w:u w:val="single"/>
                <w:lang w:val="es-MX" w:eastAsia="es-MX"/>
              </w:rPr>
            </w:pPr>
            <w:r w:rsidRPr="00EC1740">
              <w:rPr>
                <w:rFonts w:ascii="Arial" w:hAnsi="Arial" w:cs="Arial"/>
                <w:b/>
                <w:sz w:val="14"/>
                <w:szCs w:val="14"/>
                <w:u w:val="single"/>
                <w:lang w:val="es-MX" w:eastAsia="es-MX"/>
              </w:rPr>
              <w:t>Importe</w:t>
            </w:r>
          </w:p>
        </w:tc>
      </w:tr>
      <w:tr w:rsidR="00EC1740" w:rsidRPr="00EC1740" w:rsidTr="00EC1740">
        <w:trPr>
          <w:tblCellSpacing w:w="15" w:type="dxa"/>
          <w:jc w:val="center"/>
        </w:trPr>
        <w:tc>
          <w:tcPr>
            <w:tcW w:w="0" w:type="auto"/>
            <w:vAlign w:val="center"/>
            <w:hideMark/>
          </w:tcPr>
          <w:p w:rsidR="00EC1740" w:rsidRPr="00EC1740" w:rsidRDefault="00EC1740" w:rsidP="00EC1740">
            <w:pPr>
              <w:jc w:val="center"/>
              <w:rPr>
                <w:rFonts w:ascii="Arial" w:hAnsi="Arial" w:cs="Arial"/>
                <w:sz w:val="14"/>
                <w:szCs w:val="14"/>
                <w:lang w:val="es-MX" w:eastAsia="es-MX"/>
              </w:rPr>
            </w:pPr>
            <w:r w:rsidRPr="00EC1740">
              <w:rPr>
                <w:rFonts w:ascii="Arial" w:hAnsi="Arial" w:cs="Arial"/>
                <w:sz w:val="14"/>
                <w:szCs w:val="14"/>
                <w:lang w:val="es-MX" w:eastAsia="es-MX"/>
              </w:rPr>
              <w:t>Actualización y recargos derivado de enterar en forma extemporánea el pago por concepto de Impuesto sobre la renta [retenciones por salarios, asimilados a salarios y servicios profesionales].</w:t>
            </w:r>
          </w:p>
        </w:tc>
        <w:tc>
          <w:tcPr>
            <w:tcW w:w="0" w:type="auto"/>
            <w:vAlign w:val="center"/>
            <w:hideMark/>
          </w:tcPr>
          <w:p w:rsidR="00EC1740" w:rsidRPr="00EC1740" w:rsidRDefault="00EC1740" w:rsidP="00EC1740">
            <w:pPr>
              <w:jc w:val="center"/>
              <w:rPr>
                <w:rFonts w:ascii="Arial" w:hAnsi="Arial" w:cs="Arial"/>
                <w:sz w:val="14"/>
                <w:szCs w:val="14"/>
                <w:lang w:val="es-MX" w:eastAsia="es-MX"/>
              </w:rPr>
            </w:pPr>
            <w:r w:rsidRPr="00EC1740">
              <w:rPr>
                <w:rFonts w:ascii="Arial" w:hAnsi="Arial" w:cs="Arial"/>
                <w:sz w:val="14"/>
                <w:szCs w:val="14"/>
                <w:lang w:val="es-MX" w:eastAsia="es-MX"/>
              </w:rPr>
              <w:t>$</w:t>
            </w:r>
          </w:p>
        </w:tc>
        <w:tc>
          <w:tcPr>
            <w:tcW w:w="0" w:type="auto"/>
            <w:vAlign w:val="center"/>
            <w:hideMark/>
          </w:tcPr>
          <w:p w:rsidR="00EC1740" w:rsidRPr="00EC1740" w:rsidRDefault="00EC1740" w:rsidP="00EC1740">
            <w:pPr>
              <w:jc w:val="center"/>
              <w:rPr>
                <w:rFonts w:ascii="Arial" w:hAnsi="Arial" w:cs="Arial"/>
                <w:sz w:val="14"/>
                <w:szCs w:val="14"/>
                <w:lang w:val="es-MX" w:eastAsia="es-MX"/>
              </w:rPr>
            </w:pPr>
            <w:r w:rsidRPr="00EC1740">
              <w:rPr>
                <w:rFonts w:ascii="Arial" w:hAnsi="Arial" w:cs="Arial"/>
                <w:sz w:val="14"/>
                <w:szCs w:val="14"/>
                <w:lang w:val="es-MX" w:eastAsia="es-MX"/>
              </w:rPr>
              <w:t>358,989</w:t>
            </w:r>
          </w:p>
        </w:tc>
      </w:tr>
      <w:tr w:rsidR="00EC1740" w:rsidRPr="00EC1740" w:rsidTr="00EC1740">
        <w:trPr>
          <w:tblCellSpacing w:w="15" w:type="dxa"/>
          <w:jc w:val="center"/>
        </w:trPr>
        <w:tc>
          <w:tcPr>
            <w:tcW w:w="0" w:type="auto"/>
            <w:vAlign w:val="center"/>
            <w:hideMark/>
          </w:tcPr>
          <w:p w:rsidR="00EC1740" w:rsidRPr="00EC1740" w:rsidRDefault="00EC1740" w:rsidP="00EC1740">
            <w:pPr>
              <w:jc w:val="center"/>
              <w:rPr>
                <w:rFonts w:ascii="Arial" w:hAnsi="Arial" w:cs="Arial"/>
                <w:sz w:val="14"/>
                <w:szCs w:val="14"/>
                <w:lang w:val="es-MX" w:eastAsia="es-MX"/>
              </w:rPr>
            </w:pPr>
            <w:r w:rsidRPr="00EC1740">
              <w:rPr>
                <w:rFonts w:ascii="Arial" w:hAnsi="Arial" w:cs="Arial"/>
                <w:sz w:val="14"/>
                <w:szCs w:val="14"/>
                <w:lang w:val="es-MX" w:eastAsia="es-MX"/>
              </w:rPr>
              <w:t xml:space="preserve">Intereses moratorios por pago extemporáneo de las cuotas y aportaciones al </w:t>
            </w:r>
            <w:proofErr w:type="spellStart"/>
            <w:r w:rsidRPr="00EC1740">
              <w:rPr>
                <w:rFonts w:ascii="Arial" w:hAnsi="Arial" w:cs="Arial"/>
                <w:sz w:val="14"/>
                <w:szCs w:val="14"/>
                <w:lang w:val="es-MX" w:eastAsia="es-MX"/>
              </w:rPr>
              <w:t>Isssteleon</w:t>
            </w:r>
            <w:proofErr w:type="spellEnd"/>
            <w:r w:rsidRPr="00EC1740">
              <w:rPr>
                <w:rFonts w:ascii="Arial" w:hAnsi="Arial" w:cs="Arial"/>
                <w:sz w:val="14"/>
                <w:szCs w:val="14"/>
                <w:lang w:val="es-MX" w:eastAsia="es-MX"/>
              </w:rPr>
              <w:t>.</w:t>
            </w:r>
          </w:p>
        </w:tc>
        <w:tc>
          <w:tcPr>
            <w:tcW w:w="0" w:type="auto"/>
            <w:vAlign w:val="center"/>
            <w:hideMark/>
          </w:tcPr>
          <w:p w:rsidR="00EC1740" w:rsidRPr="00EC1740" w:rsidRDefault="00EC1740" w:rsidP="00EC1740">
            <w:pPr>
              <w:jc w:val="center"/>
              <w:rPr>
                <w:rFonts w:ascii="Arial" w:hAnsi="Arial" w:cs="Arial"/>
                <w:sz w:val="14"/>
                <w:szCs w:val="14"/>
                <w:lang w:val="es-MX" w:eastAsia="es-MX"/>
              </w:rPr>
            </w:pPr>
          </w:p>
        </w:tc>
        <w:tc>
          <w:tcPr>
            <w:tcW w:w="0" w:type="auto"/>
            <w:vAlign w:val="center"/>
            <w:hideMark/>
          </w:tcPr>
          <w:p w:rsidR="00EC1740" w:rsidRPr="00EC1740" w:rsidRDefault="00EC1740" w:rsidP="00EC1740">
            <w:pPr>
              <w:jc w:val="center"/>
              <w:rPr>
                <w:rFonts w:ascii="Arial" w:hAnsi="Arial" w:cs="Arial"/>
                <w:sz w:val="14"/>
                <w:szCs w:val="14"/>
                <w:lang w:val="es-MX" w:eastAsia="es-MX"/>
              </w:rPr>
            </w:pPr>
            <w:r w:rsidRPr="00EC1740">
              <w:rPr>
                <w:rFonts w:ascii="Arial" w:hAnsi="Arial" w:cs="Arial"/>
                <w:sz w:val="14"/>
                <w:szCs w:val="14"/>
                <w:lang w:val="es-MX" w:eastAsia="es-MX"/>
              </w:rPr>
              <w:t>22,110</w:t>
            </w:r>
          </w:p>
        </w:tc>
      </w:tr>
      <w:tr w:rsidR="00EC1740" w:rsidRPr="00EC1740" w:rsidTr="00EC1740">
        <w:trPr>
          <w:tblCellSpacing w:w="15" w:type="dxa"/>
          <w:jc w:val="center"/>
        </w:trPr>
        <w:tc>
          <w:tcPr>
            <w:tcW w:w="0" w:type="auto"/>
            <w:vAlign w:val="center"/>
            <w:hideMark/>
          </w:tcPr>
          <w:p w:rsidR="00EC1740" w:rsidRPr="00EC1740" w:rsidRDefault="00EC1740" w:rsidP="00EC1740">
            <w:pPr>
              <w:jc w:val="center"/>
              <w:rPr>
                <w:rFonts w:ascii="Arial" w:hAnsi="Arial" w:cs="Arial"/>
                <w:b/>
                <w:bCs/>
                <w:sz w:val="14"/>
                <w:szCs w:val="14"/>
                <w:lang w:val="es-MX" w:eastAsia="es-MX"/>
              </w:rPr>
            </w:pPr>
            <w:r w:rsidRPr="00EC1740">
              <w:rPr>
                <w:rFonts w:ascii="Arial" w:hAnsi="Arial" w:cs="Arial"/>
                <w:b/>
                <w:bCs/>
                <w:sz w:val="14"/>
                <w:szCs w:val="14"/>
                <w:lang w:val="es-MX" w:eastAsia="es-MX"/>
              </w:rPr>
              <w:t>Total</w:t>
            </w:r>
          </w:p>
        </w:tc>
        <w:tc>
          <w:tcPr>
            <w:tcW w:w="0" w:type="auto"/>
            <w:vAlign w:val="center"/>
            <w:hideMark/>
          </w:tcPr>
          <w:p w:rsidR="00EC1740" w:rsidRPr="00EC1740" w:rsidRDefault="00EC1740" w:rsidP="00EC1740">
            <w:pPr>
              <w:jc w:val="center"/>
              <w:rPr>
                <w:rFonts w:ascii="Arial" w:hAnsi="Arial" w:cs="Arial"/>
                <w:b/>
                <w:bCs/>
                <w:sz w:val="14"/>
                <w:szCs w:val="14"/>
                <w:lang w:val="es-MX" w:eastAsia="es-MX"/>
              </w:rPr>
            </w:pPr>
            <w:r w:rsidRPr="00EC1740">
              <w:rPr>
                <w:rFonts w:ascii="Arial" w:hAnsi="Arial" w:cs="Arial"/>
                <w:b/>
                <w:bCs/>
                <w:sz w:val="14"/>
                <w:szCs w:val="14"/>
                <w:lang w:val="es-MX" w:eastAsia="es-MX"/>
              </w:rPr>
              <w:t>$</w:t>
            </w:r>
          </w:p>
        </w:tc>
        <w:tc>
          <w:tcPr>
            <w:tcW w:w="0" w:type="auto"/>
            <w:vAlign w:val="center"/>
            <w:hideMark/>
          </w:tcPr>
          <w:p w:rsidR="00EC1740" w:rsidRPr="00EC1740" w:rsidRDefault="00EC1740" w:rsidP="00EC1740">
            <w:pPr>
              <w:jc w:val="center"/>
              <w:rPr>
                <w:rFonts w:ascii="Arial" w:hAnsi="Arial" w:cs="Arial"/>
                <w:b/>
                <w:bCs/>
                <w:sz w:val="14"/>
                <w:szCs w:val="14"/>
                <w:lang w:val="es-MX" w:eastAsia="es-MX"/>
              </w:rPr>
            </w:pPr>
            <w:r w:rsidRPr="00EC1740">
              <w:rPr>
                <w:rFonts w:ascii="Arial" w:hAnsi="Arial" w:cs="Arial"/>
                <w:b/>
                <w:bCs/>
                <w:sz w:val="14"/>
                <w:szCs w:val="14"/>
                <w:lang w:val="es-MX" w:eastAsia="es-MX"/>
              </w:rPr>
              <w:t>381,099</w:t>
            </w:r>
          </w:p>
        </w:tc>
      </w:tr>
    </w:tbl>
    <w:p w:rsidR="00EC1740" w:rsidRPr="00EC1740" w:rsidRDefault="00EC1740" w:rsidP="00374B6D">
      <w:pPr>
        <w:spacing w:after="0" w:line="360" w:lineRule="auto"/>
        <w:contextualSpacing/>
        <w:jc w:val="both"/>
        <w:rPr>
          <w:rFonts w:ascii="Arial" w:hAnsi="Arial" w:cs="Arial"/>
          <w:sz w:val="24"/>
        </w:rPr>
      </w:pPr>
    </w:p>
    <w:p w:rsidR="00CA530F" w:rsidRPr="00EC1740" w:rsidRDefault="00EC1740" w:rsidP="00374B6D">
      <w:pPr>
        <w:spacing w:after="0" w:line="360" w:lineRule="auto"/>
        <w:contextualSpacing/>
        <w:jc w:val="both"/>
        <w:rPr>
          <w:rFonts w:ascii="Arial" w:hAnsi="Arial" w:cs="Arial"/>
          <w:sz w:val="24"/>
        </w:rPr>
      </w:pPr>
      <w:r w:rsidRPr="00EC1740">
        <w:rPr>
          <w:rFonts w:ascii="Arial" w:hAnsi="Arial" w:cs="Arial"/>
          <w:sz w:val="24"/>
        </w:rPr>
        <w:t>Lo anterior se derivó del incumplimiento de los artículos 96 primero y penúltimo párrafo y 106 primero y último párrafo de la Ley del Impuesto Sobre la Renta, y 27 de la Ley del Instituto de Seguridad y Servicios Sociales de los Trabajadores del Estado de Nuevo León.</w:t>
      </w:r>
    </w:p>
    <w:p w:rsidR="00CA530F" w:rsidRDefault="00CA530F" w:rsidP="00374B6D">
      <w:pPr>
        <w:spacing w:after="0" w:line="360" w:lineRule="auto"/>
        <w:contextualSpacing/>
        <w:jc w:val="both"/>
        <w:rPr>
          <w:rFonts w:ascii="Arial" w:hAnsi="Arial" w:cs="Arial"/>
          <w:b/>
          <w:sz w:val="24"/>
          <w:u w:val="single"/>
        </w:rPr>
      </w:pPr>
    </w:p>
    <w:p w:rsidR="00EC1740" w:rsidRPr="00EC1740" w:rsidRDefault="00EC1740" w:rsidP="00EC1740">
      <w:pPr>
        <w:spacing w:after="0" w:line="360" w:lineRule="auto"/>
        <w:contextualSpacing/>
        <w:jc w:val="both"/>
        <w:rPr>
          <w:rFonts w:ascii="Arial" w:hAnsi="Arial" w:cs="Arial"/>
          <w:b/>
          <w:sz w:val="24"/>
        </w:rPr>
      </w:pPr>
      <w:r w:rsidRPr="00EC1740">
        <w:rPr>
          <w:rFonts w:ascii="Arial" w:hAnsi="Arial" w:cs="Arial"/>
          <w:b/>
          <w:sz w:val="24"/>
        </w:rPr>
        <w:t>Análisis de la Auditoría Superior del Estado</w:t>
      </w:r>
    </w:p>
    <w:p w:rsidR="00EC1740" w:rsidRDefault="00EC1740" w:rsidP="00EC1740">
      <w:pPr>
        <w:spacing w:after="0" w:line="360" w:lineRule="auto"/>
        <w:contextualSpacing/>
        <w:jc w:val="both"/>
        <w:rPr>
          <w:rFonts w:ascii="Arial" w:hAnsi="Arial" w:cs="Arial"/>
          <w:sz w:val="24"/>
        </w:rPr>
      </w:pPr>
    </w:p>
    <w:p w:rsidR="00EC1740" w:rsidRPr="00EC1740" w:rsidRDefault="00EC1740" w:rsidP="00EC1740">
      <w:pPr>
        <w:spacing w:after="0" w:line="360" w:lineRule="auto"/>
        <w:contextualSpacing/>
        <w:jc w:val="both"/>
        <w:rPr>
          <w:rFonts w:ascii="Arial" w:hAnsi="Arial" w:cs="Arial"/>
          <w:sz w:val="24"/>
        </w:rPr>
      </w:pPr>
      <w:r>
        <w:rPr>
          <w:rFonts w:ascii="Arial" w:hAnsi="Arial" w:cs="Arial"/>
          <w:sz w:val="24"/>
        </w:rPr>
        <w:t xml:space="preserve">La Auditoría analizó </w:t>
      </w:r>
      <w:r w:rsidRPr="00EC1740">
        <w:rPr>
          <w:rFonts w:ascii="Arial" w:hAnsi="Arial" w:cs="Arial"/>
          <w:sz w:val="24"/>
        </w:rPr>
        <w:t>la respuesta presentada por el Titular y Extitular del Ente Público,</w:t>
      </w:r>
      <w:r>
        <w:rPr>
          <w:rFonts w:ascii="Arial" w:hAnsi="Arial" w:cs="Arial"/>
          <w:sz w:val="24"/>
        </w:rPr>
        <w:t xml:space="preserve"> y determinó que</w:t>
      </w:r>
      <w:r w:rsidRPr="00EC1740">
        <w:rPr>
          <w:rFonts w:ascii="Arial" w:hAnsi="Arial" w:cs="Arial"/>
          <w:sz w:val="24"/>
        </w:rPr>
        <w:t xml:space="preserve"> esta observación</w:t>
      </w:r>
      <w:r>
        <w:rPr>
          <w:rFonts w:ascii="Arial" w:hAnsi="Arial" w:cs="Arial"/>
          <w:sz w:val="24"/>
        </w:rPr>
        <w:t xml:space="preserve"> se solventó</w:t>
      </w:r>
      <w:r w:rsidRPr="00EC1740">
        <w:rPr>
          <w:rFonts w:ascii="Arial" w:hAnsi="Arial" w:cs="Arial"/>
          <w:sz w:val="24"/>
        </w:rPr>
        <w:t xml:space="preserve"> parcialmente, </w:t>
      </w:r>
      <w:r>
        <w:rPr>
          <w:rFonts w:ascii="Arial" w:hAnsi="Arial" w:cs="Arial"/>
          <w:sz w:val="24"/>
        </w:rPr>
        <w:t xml:space="preserve">ya que </w:t>
      </w:r>
      <w:r w:rsidRPr="00EC1740">
        <w:rPr>
          <w:rFonts w:ascii="Arial" w:hAnsi="Arial" w:cs="Arial"/>
          <w:sz w:val="24"/>
        </w:rPr>
        <w:t>si bien</w:t>
      </w:r>
      <w:r>
        <w:rPr>
          <w:rFonts w:ascii="Arial" w:hAnsi="Arial" w:cs="Arial"/>
          <w:sz w:val="24"/>
        </w:rPr>
        <w:t xml:space="preserve"> el Ente</w:t>
      </w:r>
      <w:r w:rsidRPr="00EC1740">
        <w:rPr>
          <w:rFonts w:ascii="Arial" w:hAnsi="Arial" w:cs="Arial"/>
          <w:sz w:val="24"/>
        </w:rPr>
        <w:t xml:space="preserve"> en s</w:t>
      </w:r>
      <w:r>
        <w:rPr>
          <w:rFonts w:ascii="Arial" w:hAnsi="Arial" w:cs="Arial"/>
          <w:sz w:val="24"/>
        </w:rPr>
        <w:t>u respuesta argumentó</w:t>
      </w:r>
      <w:r w:rsidRPr="00EC1740">
        <w:rPr>
          <w:rFonts w:ascii="Arial" w:hAnsi="Arial" w:cs="Arial"/>
          <w:sz w:val="24"/>
        </w:rPr>
        <w:t xml:space="preserve"> que el retras</w:t>
      </w:r>
      <w:r>
        <w:rPr>
          <w:rFonts w:ascii="Arial" w:hAnsi="Arial" w:cs="Arial"/>
          <w:sz w:val="24"/>
        </w:rPr>
        <w:t>o del pago se debió a que no habían</w:t>
      </w:r>
      <w:r w:rsidRPr="00EC1740">
        <w:rPr>
          <w:rFonts w:ascii="Arial" w:hAnsi="Arial" w:cs="Arial"/>
          <w:sz w:val="24"/>
        </w:rPr>
        <w:t xml:space="preserve"> recibido la totalidad de las aportaciones aprobadas,</w:t>
      </w:r>
      <w:r>
        <w:rPr>
          <w:rFonts w:ascii="Arial" w:hAnsi="Arial" w:cs="Arial"/>
          <w:sz w:val="24"/>
        </w:rPr>
        <w:t xml:space="preserve"> y no presentaron </w:t>
      </w:r>
      <w:r>
        <w:rPr>
          <w:rFonts w:ascii="Arial" w:hAnsi="Arial" w:cs="Arial"/>
          <w:sz w:val="24"/>
        </w:rPr>
        <w:lastRenderedPageBreak/>
        <w:t>evidencia que justificara</w:t>
      </w:r>
      <w:r w:rsidRPr="00EC1740">
        <w:rPr>
          <w:rFonts w:ascii="Arial" w:hAnsi="Arial" w:cs="Arial"/>
          <w:sz w:val="24"/>
        </w:rPr>
        <w:t xml:space="preserve"> la falta de recursos para hacer frente a sus obligaciones.</w:t>
      </w:r>
    </w:p>
    <w:p w:rsidR="00EC1740" w:rsidRPr="00EC1740" w:rsidRDefault="00EC1740" w:rsidP="00EC1740">
      <w:pPr>
        <w:spacing w:after="0" w:line="360" w:lineRule="auto"/>
        <w:contextualSpacing/>
        <w:jc w:val="both"/>
        <w:rPr>
          <w:rFonts w:ascii="Arial" w:hAnsi="Arial" w:cs="Arial"/>
          <w:sz w:val="24"/>
        </w:rPr>
      </w:pPr>
    </w:p>
    <w:p w:rsidR="00EC1740" w:rsidRPr="00EC1740" w:rsidRDefault="00EC1740" w:rsidP="00EC1740">
      <w:pPr>
        <w:spacing w:after="0" w:line="360" w:lineRule="auto"/>
        <w:contextualSpacing/>
        <w:jc w:val="both"/>
        <w:rPr>
          <w:rFonts w:ascii="Arial" w:hAnsi="Arial" w:cs="Arial"/>
          <w:b/>
          <w:sz w:val="24"/>
        </w:rPr>
      </w:pPr>
      <w:r w:rsidRPr="00EC1740">
        <w:rPr>
          <w:rFonts w:ascii="Arial" w:hAnsi="Arial" w:cs="Arial"/>
          <w:b/>
          <w:sz w:val="24"/>
        </w:rPr>
        <w:t>Acción(es) o recomendación(es) emitida(s)</w:t>
      </w:r>
    </w:p>
    <w:p w:rsidR="00EC1740" w:rsidRPr="00EC1740" w:rsidRDefault="00EC1740" w:rsidP="00EC1740">
      <w:pPr>
        <w:spacing w:after="0" w:line="360" w:lineRule="auto"/>
        <w:contextualSpacing/>
        <w:jc w:val="both"/>
        <w:rPr>
          <w:rFonts w:ascii="Arial" w:hAnsi="Arial" w:cs="Arial"/>
          <w:i/>
          <w:sz w:val="24"/>
        </w:rPr>
      </w:pPr>
      <w:r w:rsidRPr="00EC1740">
        <w:rPr>
          <w:rFonts w:ascii="Arial" w:hAnsi="Arial" w:cs="Arial"/>
          <w:i/>
          <w:sz w:val="24"/>
        </w:rPr>
        <w:t>Pliego Presuntivos de Responsabilidades.</w:t>
      </w:r>
    </w:p>
    <w:p w:rsidR="00EC1740" w:rsidRPr="00EC1740" w:rsidRDefault="00EC1740" w:rsidP="00EC1740">
      <w:pPr>
        <w:spacing w:after="0" w:line="360" w:lineRule="auto"/>
        <w:contextualSpacing/>
        <w:jc w:val="both"/>
        <w:rPr>
          <w:rFonts w:ascii="Arial" w:hAnsi="Arial" w:cs="Arial"/>
          <w:i/>
          <w:sz w:val="24"/>
        </w:rPr>
      </w:pPr>
      <w:r w:rsidRPr="00EC1740">
        <w:rPr>
          <w:rFonts w:ascii="Arial" w:hAnsi="Arial" w:cs="Arial"/>
          <w:i/>
          <w:sz w:val="24"/>
        </w:rPr>
        <w:t>Promoción de Fincamiento de Responsabilidad Administrativa.</w:t>
      </w:r>
    </w:p>
    <w:p w:rsidR="00EC1740" w:rsidRPr="00EC1740" w:rsidRDefault="00EC1740" w:rsidP="00374B6D">
      <w:pPr>
        <w:spacing w:after="0" w:line="360" w:lineRule="auto"/>
        <w:contextualSpacing/>
        <w:jc w:val="both"/>
        <w:rPr>
          <w:rFonts w:ascii="Arial" w:hAnsi="Arial" w:cs="Arial"/>
          <w:sz w:val="24"/>
        </w:rPr>
      </w:pPr>
    </w:p>
    <w:p w:rsidR="00EC1740" w:rsidRDefault="00614918" w:rsidP="00374B6D">
      <w:pPr>
        <w:spacing w:after="0" w:line="360" w:lineRule="auto"/>
        <w:contextualSpacing/>
        <w:jc w:val="both"/>
        <w:rPr>
          <w:rFonts w:ascii="Arial" w:hAnsi="Arial" w:cs="Arial"/>
          <w:b/>
          <w:sz w:val="24"/>
          <w:u w:val="single"/>
        </w:rPr>
      </w:pPr>
      <w:r w:rsidRPr="00614918">
        <w:rPr>
          <w:rFonts w:ascii="Arial" w:hAnsi="Arial" w:cs="Arial"/>
          <w:b/>
          <w:sz w:val="24"/>
          <w:u w:val="single"/>
        </w:rPr>
        <w:t>Servicios de instalación, reparación, mantenimiento y conservación</w:t>
      </w:r>
    </w:p>
    <w:p w:rsidR="00614918" w:rsidRDefault="00614918" w:rsidP="00374B6D">
      <w:pPr>
        <w:spacing w:after="0" w:line="360" w:lineRule="auto"/>
        <w:contextualSpacing/>
        <w:jc w:val="both"/>
        <w:rPr>
          <w:rFonts w:ascii="Arial" w:hAnsi="Arial" w:cs="Arial"/>
          <w:b/>
          <w:sz w:val="24"/>
          <w:u w:val="single"/>
        </w:rPr>
      </w:pPr>
    </w:p>
    <w:p w:rsidR="00614918" w:rsidRDefault="00614918" w:rsidP="00374B6D">
      <w:pPr>
        <w:spacing w:after="0" w:line="360" w:lineRule="auto"/>
        <w:contextualSpacing/>
        <w:jc w:val="both"/>
        <w:rPr>
          <w:rFonts w:ascii="Arial" w:hAnsi="Arial" w:cs="Arial"/>
          <w:sz w:val="24"/>
        </w:rPr>
      </w:pPr>
      <w:r>
        <w:rPr>
          <w:rFonts w:ascii="Arial" w:hAnsi="Arial" w:cs="Arial"/>
          <w:sz w:val="24"/>
        </w:rPr>
        <w:t xml:space="preserve">15. </w:t>
      </w:r>
      <w:r w:rsidRPr="00614918">
        <w:rPr>
          <w:rFonts w:ascii="Arial" w:hAnsi="Arial" w:cs="Arial"/>
          <w:sz w:val="24"/>
        </w:rPr>
        <w:t>El Ente Público no realizó afectaciones presupuestarias y contables por la totalidad de los servicios de instalación del sistema de riego recibidos en el ejercicio 2015, los cuales fueron contratados con el proveedor Ricardo Javier Elizondo González por $100,352, incumpliendo con lo establecido en el Acuerdo por el que se emiten los postulados básicos de contabilidad en específico al postulado número 8) "Devengo Contable" en concordancia con el artículo 34 de la Ley General de Contabilidad Gubernamental.</w:t>
      </w:r>
    </w:p>
    <w:p w:rsidR="00614918" w:rsidRDefault="00614918" w:rsidP="00614918">
      <w:pPr>
        <w:spacing w:after="0" w:line="360" w:lineRule="auto"/>
        <w:contextualSpacing/>
        <w:jc w:val="both"/>
        <w:rPr>
          <w:rFonts w:ascii="Arial" w:hAnsi="Arial" w:cs="Arial"/>
          <w:sz w:val="24"/>
        </w:rPr>
      </w:pPr>
    </w:p>
    <w:p w:rsidR="00614918" w:rsidRPr="00614918" w:rsidRDefault="00614918" w:rsidP="00614918">
      <w:pPr>
        <w:spacing w:after="0" w:line="360" w:lineRule="auto"/>
        <w:contextualSpacing/>
        <w:jc w:val="both"/>
        <w:rPr>
          <w:rFonts w:ascii="Arial" w:hAnsi="Arial" w:cs="Arial"/>
          <w:b/>
          <w:sz w:val="24"/>
        </w:rPr>
      </w:pPr>
      <w:r w:rsidRPr="00614918">
        <w:rPr>
          <w:rFonts w:ascii="Arial" w:hAnsi="Arial" w:cs="Arial"/>
          <w:b/>
          <w:sz w:val="24"/>
        </w:rPr>
        <w:t>Análisis de la Auditoría Superior del Estado</w:t>
      </w:r>
    </w:p>
    <w:p w:rsidR="00614918" w:rsidRDefault="00614918" w:rsidP="00614918">
      <w:pPr>
        <w:spacing w:after="0" w:line="360" w:lineRule="auto"/>
        <w:contextualSpacing/>
        <w:jc w:val="both"/>
        <w:rPr>
          <w:rFonts w:ascii="Arial" w:hAnsi="Arial" w:cs="Arial"/>
          <w:sz w:val="24"/>
        </w:rPr>
      </w:pPr>
    </w:p>
    <w:p w:rsidR="00614918" w:rsidRDefault="00614918" w:rsidP="00614918">
      <w:pPr>
        <w:spacing w:after="0" w:line="360" w:lineRule="auto"/>
        <w:contextualSpacing/>
        <w:jc w:val="both"/>
        <w:rPr>
          <w:rFonts w:ascii="Arial" w:hAnsi="Arial" w:cs="Arial"/>
          <w:sz w:val="24"/>
        </w:rPr>
      </w:pPr>
      <w:r>
        <w:rPr>
          <w:rFonts w:ascii="Arial" w:hAnsi="Arial" w:cs="Arial"/>
          <w:sz w:val="24"/>
        </w:rPr>
        <w:t>La Auditoría</w:t>
      </w:r>
      <w:r w:rsidRPr="00614918">
        <w:rPr>
          <w:rFonts w:ascii="Arial" w:hAnsi="Arial" w:cs="Arial"/>
          <w:sz w:val="24"/>
        </w:rPr>
        <w:t xml:space="preserve"> analizó la respuesta presentada por el Titular y Extitular del Ente Público,</w:t>
      </w:r>
      <w:r>
        <w:rPr>
          <w:rFonts w:ascii="Arial" w:hAnsi="Arial" w:cs="Arial"/>
          <w:sz w:val="24"/>
        </w:rPr>
        <w:t xml:space="preserve"> y determinó que esta observación se solventó</w:t>
      </w:r>
      <w:r w:rsidRPr="00614918">
        <w:rPr>
          <w:rFonts w:ascii="Arial" w:hAnsi="Arial" w:cs="Arial"/>
          <w:sz w:val="24"/>
        </w:rPr>
        <w:t xml:space="preserve"> parcialmente,</w:t>
      </w:r>
      <w:r>
        <w:rPr>
          <w:rFonts w:ascii="Arial" w:hAnsi="Arial" w:cs="Arial"/>
          <w:sz w:val="24"/>
        </w:rPr>
        <w:t xml:space="preserve"> ya que si bien se mostraron</w:t>
      </w:r>
      <w:r w:rsidRPr="00614918">
        <w:rPr>
          <w:rFonts w:ascii="Arial" w:hAnsi="Arial" w:cs="Arial"/>
          <w:sz w:val="24"/>
        </w:rPr>
        <w:t xml:space="preserve"> las facturas y pagos realizados al proveedor, en la respuesta se omitió presentar evidencia documental del registro contable y presupuestal del servicio contratado, así como de los trabajos recib</w:t>
      </w:r>
      <w:r>
        <w:rPr>
          <w:rFonts w:ascii="Arial" w:hAnsi="Arial" w:cs="Arial"/>
          <w:sz w:val="24"/>
        </w:rPr>
        <w:t>idos por parte del Ente Público.</w:t>
      </w:r>
    </w:p>
    <w:p w:rsidR="00614918" w:rsidRPr="00614918" w:rsidRDefault="00614918" w:rsidP="00614918">
      <w:pPr>
        <w:spacing w:after="0" w:line="360" w:lineRule="auto"/>
        <w:contextualSpacing/>
        <w:jc w:val="both"/>
        <w:rPr>
          <w:rFonts w:ascii="Arial" w:hAnsi="Arial" w:cs="Arial"/>
          <w:b/>
          <w:sz w:val="24"/>
        </w:rPr>
      </w:pPr>
      <w:r w:rsidRPr="00614918">
        <w:rPr>
          <w:rFonts w:ascii="Arial" w:hAnsi="Arial" w:cs="Arial"/>
          <w:b/>
          <w:sz w:val="24"/>
        </w:rPr>
        <w:lastRenderedPageBreak/>
        <w:t>Acción(es) o recomendación(es) emitida(s)</w:t>
      </w:r>
    </w:p>
    <w:p w:rsidR="00614918" w:rsidRPr="00614918" w:rsidRDefault="00614918" w:rsidP="00614918">
      <w:pPr>
        <w:spacing w:after="0" w:line="360" w:lineRule="auto"/>
        <w:contextualSpacing/>
        <w:jc w:val="both"/>
        <w:rPr>
          <w:rFonts w:ascii="Arial" w:hAnsi="Arial" w:cs="Arial"/>
          <w:i/>
          <w:sz w:val="24"/>
        </w:rPr>
      </w:pPr>
      <w:r w:rsidRPr="00614918">
        <w:rPr>
          <w:rFonts w:ascii="Arial" w:hAnsi="Arial" w:cs="Arial"/>
          <w:i/>
          <w:sz w:val="24"/>
        </w:rPr>
        <w:t>Promoción de Fincamiento de Responsabilidad Administrativa.</w:t>
      </w:r>
    </w:p>
    <w:p w:rsidR="00614918" w:rsidRPr="00614918" w:rsidRDefault="00614918" w:rsidP="00374B6D">
      <w:pPr>
        <w:spacing w:after="0" w:line="360" w:lineRule="auto"/>
        <w:contextualSpacing/>
        <w:jc w:val="both"/>
        <w:rPr>
          <w:rFonts w:ascii="Arial" w:hAnsi="Arial" w:cs="Arial"/>
          <w:sz w:val="24"/>
        </w:rPr>
      </w:pPr>
    </w:p>
    <w:p w:rsidR="00614918" w:rsidRPr="00614918" w:rsidRDefault="00614918" w:rsidP="00614918">
      <w:pPr>
        <w:spacing w:after="0" w:line="360" w:lineRule="auto"/>
        <w:contextualSpacing/>
        <w:jc w:val="both"/>
        <w:rPr>
          <w:rFonts w:ascii="Arial" w:hAnsi="Arial" w:cs="Arial"/>
          <w:b/>
          <w:sz w:val="24"/>
          <w:u w:val="single"/>
        </w:rPr>
      </w:pPr>
      <w:r w:rsidRPr="00614918">
        <w:rPr>
          <w:rFonts w:ascii="Arial" w:hAnsi="Arial" w:cs="Arial"/>
          <w:b/>
          <w:sz w:val="24"/>
          <w:u w:val="single"/>
        </w:rPr>
        <w:t>Transferencias, asignaciones, subsidios y otras ayudas</w:t>
      </w:r>
    </w:p>
    <w:p w:rsidR="00CA530F" w:rsidRDefault="00614918" w:rsidP="00614918">
      <w:pPr>
        <w:spacing w:after="0" w:line="360" w:lineRule="auto"/>
        <w:contextualSpacing/>
        <w:jc w:val="both"/>
        <w:rPr>
          <w:rFonts w:ascii="Arial" w:hAnsi="Arial" w:cs="Arial"/>
          <w:b/>
          <w:sz w:val="24"/>
          <w:u w:val="single"/>
        </w:rPr>
      </w:pPr>
      <w:r w:rsidRPr="00614918">
        <w:rPr>
          <w:rFonts w:ascii="Arial" w:hAnsi="Arial" w:cs="Arial"/>
          <w:b/>
          <w:sz w:val="24"/>
          <w:u w:val="single"/>
        </w:rPr>
        <w:t>Ayudas sociales</w:t>
      </w:r>
    </w:p>
    <w:p w:rsidR="00614918" w:rsidRDefault="00614918" w:rsidP="00614918">
      <w:pPr>
        <w:spacing w:after="0" w:line="360" w:lineRule="auto"/>
        <w:contextualSpacing/>
        <w:jc w:val="both"/>
        <w:rPr>
          <w:rFonts w:ascii="Arial" w:hAnsi="Arial" w:cs="Arial"/>
          <w:b/>
          <w:sz w:val="24"/>
          <w:u w:val="single"/>
        </w:rPr>
      </w:pPr>
    </w:p>
    <w:p w:rsidR="00614918" w:rsidRDefault="00614918" w:rsidP="00614918">
      <w:pPr>
        <w:spacing w:after="0" w:line="360" w:lineRule="auto"/>
        <w:contextualSpacing/>
        <w:jc w:val="both"/>
        <w:rPr>
          <w:rFonts w:ascii="Arial" w:hAnsi="Arial" w:cs="Arial"/>
          <w:sz w:val="24"/>
        </w:rPr>
      </w:pPr>
      <w:r>
        <w:rPr>
          <w:rFonts w:ascii="Arial" w:hAnsi="Arial" w:cs="Arial"/>
          <w:sz w:val="24"/>
        </w:rPr>
        <w:t xml:space="preserve">16. </w:t>
      </w:r>
      <w:r w:rsidRPr="00614918">
        <w:rPr>
          <w:rFonts w:ascii="Arial" w:hAnsi="Arial" w:cs="Arial"/>
          <w:sz w:val="24"/>
        </w:rPr>
        <w:t>El Ente Público realizó afectaciones contables en el ejercicio 2015 por concepto de apoyo a estudiantes que prestaron servicio social durante el ejercicio 2014 por $522,000, incumpliendo con lo establecido en el Acuerdo por el que se emiten los postulados básicos de contabilidad en específico al postulado número 8) "Devengo Contable" en concordancia con el artículo 34 de la Ley General de Contabilidad Gubernamental.</w:t>
      </w:r>
    </w:p>
    <w:p w:rsidR="00614918" w:rsidRDefault="00614918" w:rsidP="00614918">
      <w:pPr>
        <w:spacing w:after="0" w:line="360" w:lineRule="auto"/>
        <w:contextualSpacing/>
        <w:jc w:val="both"/>
        <w:rPr>
          <w:rFonts w:ascii="Arial" w:hAnsi="Arial" w:cs="Arial"/>
          <w:sz w:val="24"/>
        </w:rPr>
      </w:pPr>
    </w:p>
    <w:p w:rsidR="00614918" w:rsidRPr="00614918" w:rsidRDefault="00614918" w:rsidP="00614918">
      <w:pPr>
        <w:spacing w:after="0" w:line="360" w:lineRule="auto"/>
        <w:contextualSpacing/>
        <w:jc w:val="both"/>
        <w:rPr>
          <w:rFonts w:ascii="Arial" w:hAnsi="Arial" w:cs="Arial"/>
          <w:b/>
          <w:sz w:val="24"/>
        </w:rPr>
      </w:pPr>
      <w:r w:rsidRPr="00614918">
        <w:rPr>
          <w:rFonts w:ascii="Arial" w:hAnsi="Arial" w:cs="Arial"/>
          <w:b/>
          <w:sz w:val="24"/>
        </w:rPr>
        <w:t>Acción(es) o recomendación(es) emitida(s)</w:t>
      </w:r>
    </w:p>
    <w:p w:rsidR="00614918" w:rsidRPr="00614918" w:rsidRDefault="00614918" w:rsidP="00614918">
      <w:pPr>
        <w:spacing w:after="0" w:line="360" w:lineRule="auto"/>
        <w:contextualSpacing/>
        <w:jc w:val="both"/>
        <w:rPr>
          <w:rFonts w:ascii="Arial" w:hAnsi="Arial" w:cs="Arial"/>
          <w:i/>
          <w:sz w:val="24"/>
        </w:rPr>
      </w:pPr>
      <w:r w:rsidRPr="00614918">
        <w:rPr>
          <w:rFonts w:ascii="Arial" w:hAnsi="Arial" w:cs="Arial"/>
          <w:i/>
          <w:sz w:val="24"/>
        </w:rPr>
        <w:t>Promoción de Fincamiento de Responsabilidad Administrativa.</w:t>
      </w:r>
    </w:p>
    <w:p w:rsidR="00614918" w:rsidRPr="00614918" w:rsidRDefault="00614918" w:rsidP="00614918">
      <w:pPr>
        <w:spacing w:after="0" w:line="360" w:lineRule="auto"/>
        <w:contextualSpacing/>
        <w:jc w:val="both"/>
        <w:rPr>
          <w:rFonts w:ascii="Arial" w:hAnsi="Arial" w:cs="Arial"/>
          <w:sz w:val="24"/>
        </w:rPr>
      </w:pPr>
    </w:p>
    <w:p w:rsidR="002542EB" w:rsidRPr="00374B6D" w:rsidRDefault="00F91789" w:rsidP="00374B6D">
      <w:pPr>
        <w:spacing w:after="0" w:line="360" w:lineRule="auto"/>
        <w:contextualSpacing/>
        <w:jc w:val="both"/>
        <w:rPr>
          <w:rFonts w:ascii="Arial" w:hAnsi="Arial" w:cs="Arial"/>
          <w:i/>
          <w:sz w:val="24"/>
        </w:rPr>
      </w:pPr>
      <w:r>
        <w:rPr>
          <w:rFonts w:ascii="Arial" w:hAnsi="Arial" w:cs="Arial"/>
          <w:b/>
          <w:bCs/>
          <w:sz w:val="24"/>
        </w:rPr>
        <w:t>T</w:t>
      </w:r>
      <w:r w:rsidR="002542EB" w:rsidRPr="00B67BEE">
        <w:rPr>
          <w:rFonts w:ascii="Arial" w:hAnsi="Arial" w:cs="Arial"/>
          <w:b/>
          <w:bCs/>
          <w:sz w:val="24"/>
        </w:rPr>
        <w:t>rámite y resultados obtenidos, derivados de las solicitudes formuladas por</w:t>
      </w:r>
      <w:r w:rsidR="002542EB">
        <w:rPr>
          <w:rFonts w:ascii="Arial" w:hAnsi="Arial" w:cs="Arial"/>
          <w:b/>
          <w:bCs/>
          <w:sz w:val="24"/>
        </w:rPr>
        <w:t xml:space="preserve"> este</w:t>
      </w:r>
      <w:r w:rsidR="002542EB" w:rsidRPr="00B67BEE">
        <w:rPr>
          <w:rFonts w:ascii="Arial" w:hAnsi="Arial" w:cs="Arial"/>
          <w:b/>
          <w:bCs/>
          <w:sz w:val="24"/>
        </w:rPr>
        <w:t xml:space="preserve"> H. Congreso del Estado.</w:t>
      </w:r>
    </w:p>
    <w:p w:rsidR="002542EB" w:rsidRPr="00B67BEE" w:rsidRDefault="002542EB" w:rsidP="002542EB">
      <w:pPr>
        <w:spacing w:after="0"/>
        <w:rPr>
          <w:rFonts w:ascii="Arial" w:hAnsi="Arial" w:cs="Arial"/>
          <w:b/>
          <w:sz w:val="24"/>
        </w:rPr>
      </w:pPr>
    </w:p>
    <w:p w:rsidR="00F91789" w:rsidRDefault="002542EB" w:rsidP="00F91789">
      <w:pPr>
        <w:spacing w:after="0" w:line="360" w:lineRule="auto"/>
        <w:ind w:firstLine="709"/>
        <w:jc w:val="both"/>
        <w:rPr>
          <w:rFonts w:ascii="Arial" w:hAnsi="Arial" w:cs="Arial"/>
          <w:sz w:val="24"/>
        </w:rPr>
      </w:pPr>
      <w:r>
        <w:rPr>
          <w:rFonts w:ascii="Arial" w:hAnsi="Arial" w:cs="Arial"/>
          <w:sz w:val="24"/>
        </w:rPr>
        <w:t>En</w:t>
      </w:r>
      <w:r w:rsidR="00F91789">
        <w:rPr>
          <w:rFonts w:ascii="Arial" w:hAnsi="Arial" w:cs="Arial"/>
          <w:sz w:val="24"/>
        </w:rPr>
        <w:t xml:space="preserve"> el apartado VIII del Informe de Resultados la Auditoría nos informa que</w:t>
      </w:r>
      <w:r>
        <w:rPr>
          <w:rFonts w:ascii="Arial" w:hAnsi="Arial" w:cs="Arial"/>
          <w:sz w:val="24"/>
        </w:rPr>
        <w:t xml:space="preserve"> no se recibieron solicitudes relacionadas con la</w:t>
      </w:r>
      <w:r w:rsidR="00F91789">
        <w:rPr>
          <w:rFonts w:ascii="Arial" w:hAnsi="Arial" w:cs="Arial"/>
          <w:sz w:val="24"/>
        </w:rPr>
        <w:t xml:space="preserve"> revisión de la</w:t>
      </w:r>
      <w:r>
        <w:rPr>
          <w:rFonts w:ascii="Arial" w:hAnsi="Arial" w:cs="Arial"/>
          <w:sz w:val="24"/>
        </w:rPr>
        <w:t xml:space="preserve"> Cuenta Pública</w:t>
      </w:r>
      <w:r w:rsidR="00F91789">
        <w:rPr>
          <w:rFonts w:ascii="Arial" w:hAnsi="Arial" w:cs="Arial"/>
          <w:sz w:val="24"/>
        </w:rPr>
        <w:t xml:space="preserve"> del ejercicio fiscal 2015.</w:t>
      </w:r>
      <w:r>
        <w:rPr>
          <w:rFonts w:ascii="Arial" w:hAnsi="Arial" w:cs="Arial"/>
          <w:sz w:val="24"/>
        </w:rPr>
        <w:t xml:space="preserve"> </w:t>
      </w:r>
    </w:p>
    <w:p w:rsidR="00F91789" w:rsidRDefault="00F91789" w:rsidP="00F91789">
      <w:pPr>
        <w:spacing w:after="0" w:line="360" w:lineRule="auto"/>
        <w:ind w:firstLine="709"/>
        <w:jc w:val="both"/>
        <w:rPr>
          <w:rFonts w:ascii="Arial" w:hAnsi="Arial" w:cs="Arial"/>
          <w:sz w:val="24"/>
        </w:rPr>
      </w:pPr>
    </w:p>
    <w:p w:rsidR="002542EB" w:rsidRPr="00F91789" w:rsidRDefault="002542EB" w:rsidP="00F91789">
      <w:pPr>
        <w:spacing w:after="0" w:line="360" w:lineRule="auto"/>
        <w:ind w:firstLine="709"/>
        <w:jc w:val="both"/>
        <w:rPr>
          <w:rFonts w:ascii="Arial" w:hAnsi="Arial" w:cs="Arial"/>
          <w:sz w:val="24"/>
        </w:rPr>
      </w:pPr>
      <w:r w:rsidRPr="00B67BEE">
        <w:rPr>
          <w:rFonts w:ascii="Arial" w:hAnsi="Arial" w:cs="Arial"/>
          <w:b/>
          <w:bCs/>
          <w:sz w:val="24"/>
        </w:rPr>
        <w:t>Resultados de la revisión de situación excepcional.</w:t>
      </w:r>
    </w:p>
    <w:p w:rsidR="002542EB" w:rsidRPr="00B67BEE" w:rsidRDefault="002542EB" w:rsidP="002542EB">
      <w:pPr>
        <w:spacing w:after="0"/>
        <w:rPr>
          <w:rFonts w:ascii="Arial" w:hAnsi="Arial" w:cs="Arial"/>
          <w:b/>
          <w:bCs/>
          <w:sz w:val="24"/>
        </w:rPr>
      </w:pPr>
    </w:p>
    <w:p w:rsidR="002542EB" w:rsidRPr="00B67BEE" w:rsidRDefault="002542EB" w:rsidP="002542EB">
      <w:pPr>
        <w:spacing w:after="0" w:line="360" w:lineRule="auto"/>
        <w:ind w:firstLine="709"/>
        <w:jc w:val="both"/>
        <w:rPr>
          <w:rFonts w:ascii="Arial" w:hAnsi="Arial" w:cs="Arial"/>
          <w:bCs/>
          <w:sz w:val="24"/>
        </w:rPr>
      </w:pPr>
      <w:r w:rsidRPr="00B67BEE">
        <w:rPr>
          <w:rFonts w:ascii="Arial" w:hAnsi="Arial" w:cs="Arial"/>
          <w:bCs/>
          <w:sz w:val="24"/>
        </w:rPr>
        <w:lastRenderedPageBreak/>
        <w:t>En relación a la Cuenta Pública objeto de revisión,</w:t>
      </w:r>
      <w:r>
        <w:rPr>
          <w:rFonts w:ascii="Arial" w:hAnsi="Arial" w:cs="Arial"/>
          <w:bCs/>
          <w:sz w:val="24"/>
        </w:rPr>
        <w:t xml:space="preserve"> el Órgano Técnico Fiscalizador nos indica</w:t>
      </w:r>
      <w:r w:rsidR="00F91789">
        <w:rPr>
          <w:rFonts w:ascii="Arial" w:hAnsi="Arial" w:cs="Arial"/>
          <w:bCs/>
          <w:sz w:val="24"/>
        </w:rPr>
        <w:t xml:space="preserve"> en el apartado IX del Informe de resultados</w:t>
      </w:r>
      <w:r>
        <w:rPr>
          <w:rFonts w:ascii="Arial" w:hAnsi="Arial" w:cs="Arial"/>
          <w:bCs/>
          <w:sz w:val="24"/>
        </w:rPr>
        <w:t xml:space="preserve"> que</w:t>
      </w:r>
      <w:r w:rsidRPr="00B67BEE">
        <w:rPr>
          <w:rFonts w:ascii="Arial" w:hAnsi="Arial" w:cs="Arial"/>
          <w:bCs/>
          <w:sz w:val="24"/>
        </w:rPr>
        <w:t xml:space="preserve"> no se recibieron denuncias para la revisión de situaciones excepcionales,</w:t>
      </w:r>
      <w:r>
        <w:rPr>
          <w:rFonts w:ascii="Arial" w:hAnsi="Arial" w:cs="Arial"/>
          <w:bCs/>
          <w:sz w:val="24"/>
        </w:rPr>
        <w:t xml:space="preserve"> en</w:t>
      </w:r>
      <w:r w:rsidRPr="00B67BEE">
        <w:rPr>
          <w:rFonts w:ascii="Arial" w:hAnsi="Arial" w:cs="Arial"/>
          <w:bCs/>
          <w:sz w:val="24"/>
        </w:rPr>
        <w:t xml:space="preserve"> los términos preceptuados en los artículos 136 último párrafo de la Constitución Política del </w:t>
      </w:r>
      <w:r>
        <w:rPr>
          <w:rFonts w:ascii="Arial" w:hAnsi="Arial" w:cs="Arial"/>
          <w:bCs/>
          <w:sz w:val="24"/>
        </w:rPr>
        <w:t>Estado;</w:t>
      </w:r>
      <w:r w:rsidRPr="00B67BEE">
        <w:rPr>
          <w:rFonts w:ascii="Arial" w:hAnsi="Arial" w:cs="Arial"/>
          <w:bCs/>
          <w:sz w:val="24"/>
        </w:rPr>
        <w:t xml:space="preserve"> 37 y 39 de la Ley de Fiscalización Superior del Estado de Nuevo León.</w:t>
      </w:r>
    </w:p>
    <w:p w:rsidR="002542EB" w:rsidRPr="00B67BEE" w:rsidRDefault="002542EB" w:rsidP="002542EB">
      <w:pPr>
        <w:spacing w:after="0"/>
        <w:jc w:val="both"/>
        <w:rPr>
          <w:rFonts w:ascii="Arial" w:hAnsi="Arial" w:cs="Arial"/>
          <w:bCs/>
          <w:sz w:val="24"/>
        </w:rPr>
      </w:pPr>
    </w:p>
    <w:p w:rsidR="002542EB" w:rsidRPr="00B67BEE" w:rsidRDefault="002542EB" w:rsidP="00F91789">
      <w:pPr>
        <w:pStyle w:val="Prrafodelista"/>
        <w:spacing w:after="0"/>
        <w:ind w:left="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Pr>
          <w:rFonts w:ascii="Arial" w:eastAsia="Times New Roman" w:hAnsi="Arial" w:cs="Arial"/>
          <w:b/>
          <w:bCs/>
          <w:sz w:val="24"/>
          <w:szCs w:val="24"/>
          <w:lang w:eastAsia="es-MX"/>
        </w:rPr>
        <w:t>s anteriores.</w:t>
      </w:r>
    </w:p>
    <w:p w:rsidR="002542EB" w:rsidRDefault="002542EB" w:rsidP="002542EB">
      <w:pPr>
        <w:spacing w:after="0"/>
        <w:rPr>
          <w:rFonts w:ascii="Arial" w:hAnsi="Arial" w:cs="Arial"/>
          <w:bCs/>
          <w:sz w:val="24"/>
        </w:rPr>
      </w:pPr>
    </w:p>
    <w:p w:rsidR="002542EB" w:rsidRDefault="00F91789" w:rsidP="002542EB">
      <w:pPr>
        <w:spacing w:after="0" w:line="360" w:lineRule="auto"/>
        <w:ind w:firstLine="709"/>
        <w:contextualSpacing/>
        <w:jc w:val="both"/>
        <w:rPr>
          <w:rFonts w:ascii="Arial" w:eastAsia="Times New Roman" w:hAnsi="Arial" w:cs="Arial"/>
          <w:bCs/>
          <w:sz w:val="24"/>
          <w:szCs w:val="24"/>
          <w:lang w:eastAsia="es-MX"/>
        </w:rPr>
      </w:pPr>
      <w:r>
        <w:rPr>
          <w:rFonts w:ascii="Arial" w:hAnsi="Arial" w:cs="Arial"/>
          <w:bCs/>
          <w:sz w:val="24"/>
        </w:rPr>
        <w:t>En apartado X del Informe allegado por</w:t>
      </w:r>
      <w:r w:rsidR="002542EB">
        <w:rPr>
          <w:rFonts w:ascii="Arial" w:hAnsi="Arial" w:cs="Arial"/>
          <w:bCs/>
          <w:sz w:val="24"/>
        </w:rPr>
        <w:t xml:space="preserve"> la Auditoría</w:t>
      </w:r>
      <w:r>
        <w:rPr>
          <w:rFonts w:ascii="Arial" w:hAnsi="Arial" w:cs="Arial"/>
          <w:bCs/>
          <w:sz w:val="24"/>
        </w:rPr>
        <w:t>, esta</w:t>
      </w:r>
      <w:r w:rsidR="002542EB">
        <w:rPr>
          <w:rFonts w:ascii="Arial" w:hAnsi="Arial" w:cs="Arial"/>
          <w:bCs/>
          <w:sz w:val="24"/>
        </w:rPr>
        <w:t xml:space="preserve"> nos presenta una síntesis de las acciones y recomendaciones que con motivo de la revisión de las Cuentas Públicas</w:t>
      </w:r>
      <w:r>
        <w:rPr>
          <w:rFonts w:ascii="Arial" w:hAnsi="Arial" w:cs="Arial"/>
          <w:bCs/>
          <w:sz w:val="24"/>
        </w:rPr>
        <w:t xml:space="preserve"> de los ejercicios</w:t>
      </w:r>
      <w:r w:rsidR="002542EB">
        <w:rPr>
          <w:rFonts w:ascii="Arial" w:hAnsi="Arial" w:cs="Arial"/>
          <w:bCs/>
          <w:sz w:val="24"/>
        </w:rPr>
        <w:t xml:space="preserve"> anteriores</w:t>
      </w:r>
      <w:r>
        <w:rPr>
          <w:rFonts w:ascii="Arial" w:eastAsia="Times New Roman" w:hAnsi="Arial" w:cs="Arial"/>
          <w:bCs/>
          <w:sz w:val="24"/>
          <w:szCs w:val="24"/>
          <w:lang w:eastAsia="es-MX"/>
        </w:rPr>
        <w:t xml:space="preserve"> 2011, 2012, 2013 y 2014, al respecto nos</w:t>
      </w:r>
      <w:r w:rsidR="00B54B51">
        <w:rPr>
          <w:rFonts w:ascii="Arial" w:eastAsia="Times New Roman" w:hAnsi="Arial" w:cs="Arial"/>
          <w:bCs/>
          <w:sz w:val="24"/>
          <w:szCs w:val="24"/>
          <w:lang w:eastAsia="es-MX"/>
        </w:rPr>
        <w:t xml:space="preserve"> indica que no existen acciones derivadas de observaciones pendientes de atención por parte del Ente público, ni de dictamen técnico por parte de la Auditoría.</w:t>
      </w:r>
      <w:r w:rsidR="002542EB">
        <w:rPr>
          <w:rFonts w:ascii="Arial" w:eastAsia="Times New Roman" w:hAnsi="Arial" w:cs="Arial"/>
          <w:bCs/>
          <w:sz w:val="24"/>
          <w:szCs w:val="24"/>
          <w:lang w:eastAsia="es-MX"/>
        </w:rPr>
        <w:t xml:space="preserve"> </w:t>
      </w:r>
    </w:p>
    <w:p w:rsidR="00B54B51" w:rsidRDefault="00B54B51" w:rsidP="002542EB">
      <w:pPr>
        <w:spacing w:after="0" w:line="360" w:lineRule="auto"/>
        <w:ind w:firstLine="709"/>
        <w:contextualSpacing/>
        <w:jc w:val="both"/>
        <w:rPr>
          <w:rFonts w:ascii="Arial" w:eastAsia="Times New Roman" w:hAnsi="Arial" w:cs="Arial"/>
          <w:bCs/>
          <w:sz w:val="24"/>
          <w:szCs w:val="24"/>
          <w:lang w:eastAsia="es-MX"/>
        </w:rPr>
      </w:pPr>
    </w:p>
    <w:p w:rsidR="002542EB" w:rsidRDefault="002542EB" w:rsidP="002542EB">
      <w:pPr>
        <w:spacing w:after="0" w:line="360" w:lineRule="auto"/>
        <w:ind w:firstLine="708"/>
        <w:contextualSpacing/>
        <w:jc w:val="both"/>
        <w:rPr>
          <w:rFonts w:ascii="Arial" w:hAnsi="Arial" w:cs="Arial"/>
          <w:sz w:val="24"/>
        </w:rPr>
      </w:pPr>
      <w:r w:rsidRPr="006C36DE">
        <w:rPr>
          <w:rFonts w:ascii="Arial" w:hAnsi="Arial" w:cs="Arial"/>
          <w:sz w:val="24"/>
        </w:rPr>
        <w:t xml:space="preserve">Una vez que hemos dado cuenta del contenido del </w:t>
      </w:r>
      <w:r>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Pr>
          <w:rFonts w:ascii="Arial" w:hAnsi="Arial" w:cs="Arial"/>
          <w:sz w:val="24"/>
        </w:rPr>
        <w:t>los cuales fueron incorporados</w:t>
      </w:r>
      <w:r w:rsidRPr="006C36DE">
        <w:rPr>
          <w:rFonts w:ascii="Arial" w:hAnsi="Arial" w:cs="Arial"/>
          <w:sz w:val="24"/>
        </w:rPr>
        <w:t xml:space="preserve"> dentro de este documento</w:t>
      </w:r>
      <w:r>
        <w:rPr>
          <w:rFonts w:ascii="Arial" w:hAnsi="Arial" w:cs="Arial"/>
          <w:sz w:val="24"/>
        </w:rPr>
        <w:t xml:space="preserve"> y</w:t>
      </w:r>
      <w:r w:rsidRPr="006C36DE">
        <w:rPr>
          <w:rFonts w:ascii="Arial" w:hAnsi="Arial" w:cs="Arial"/>
          <w:sz w:val="24"/>
        </w:rPr>
        <w:t xml:space="preserve"> de conformidad con lo previsto en el Artículo 47, Inciso c) del Reglamento para el Gobierno Interior del Congreso del Estado de Nuevo León, los integrantes de </w:t>
      </w:r>
      <w:r>
        <w:rPr>
          <w:rFonts w:ascii="Arial" w:hAnsi="Arial" w:cs="Arial"/>
          <w:sz w:val="24"/>
        </w:rPr>
        <w:t>esta Comisión de Hacienda del Estado, consideramos que</w:t>
      </w:r>
      <w:r w:rsidRPr="006C36DE">
        <w:rPr>
          <w:rFonts w:ascii="Arial" w:hAnsi="Arial" w:cs="Arial"/>
          <w:sz w:val="24"/>
        </w:rPr>
        <w:t xml:space="preserve"> a efecto de susten</w:t>
      </w:r>
      <w:r>
        <w:rPr>
          <w:rFonts w:ascii="Arial" w:hAnsi="Arial" w:cs="Arial"/>
          <w:sz w:val="24"/>
        </w:rPr>
        <w:t>tar el resolutivo que se propuesto en la parte resolutiva del presente Dictamen</w:t>
      </w:r>
      <w:r w:rsidRPr="006C36DE">
        <w:rPr>
          <w:rFonts w:ascii="Arial" w:hAnsi="Arial" w:cs="Arial"/>
          <w:sz w:val="24"/>
        </w:rPr>
        <w:t>, nos permitimos consignar</w:t>
      </w:r>
      <w:r>
        <w:rPr>
          <w:rFonts w:ascii="Arial" w:hAnsi="Arial" w:cs="Arial"/>
          <w:sz w:val="24"/>
        </w:rPr>
        <w:t xml:space="preserve"> ante el Pleno de esta Soberanía,</w:t>
      </w:r>
      <w:r w:rsidRPr="006C36DE">
        <w:rPr>
          <w:rFonts w:ascii="Arial" w:hAnsi="Arial" w:cs="Arial"/>
          <w:sz w:val="24"/>
        </w:rPr>
        <w:t xml:space="preserve"> la</w:t>
      </w:r>
      <w:r>
        <w:rPr>
          <w:rFonts w:ascii="Arial" w:hAnsi="Arial" w:cs="Arial"/>
          <w:sz w:val="24"/>
        </w:rPr>
        <w:t>s</w:t>
      </w:r>
      <w:r w:rsidRPr="006C36DE">
        <w:rPr>
          <w:rFonts w:ascii="Arial" w:hAnsi="Arial" w:cs="Arial"/>
          <w:sz w:val="24"/>
        </w:rPr>
        <w:t xml:space="preserve"> siguientes:</w:t>
      </w:r>
    </w:p>
    <w:p w:rsidR="002542EB" w:rsidRPr="00807DB8" w:rsidRDefault="002542EB" w:rsidP="002542EB">
      <w:pPr>
        <w:spacing w:before="240" w:after="20" w:line="360" w:lineRule="auto"/>
        <w:ind w:firstLine="708"/>
        <w:jc w:val="both"/>
        <w:rPr>
          <w:rFonts w:ascii="Arial" w:hAnsi="Arial" w:cs="Arial"/>
          <w:sz w:val="24"/>
        </w:rPr>
      </w:pPr>
    </w:p>
    <w:p w:rsidR="002542EB" w:rsidRPr="00323DE3" w:rsidRDefault="002542EB" w:rsidP="002542EB">
      <w:pPr>
        <w:shd w:val="clear" w:color="auto" w:fill="FFFFFF"/>
        <w:spacing w:after="324"/>
        <w:jc w:val="both"/>
        <w:rPr>
          <w:rFonts w:ascii="Arial" w:hAnsi="Arial" w:cs="Arial"/>
          <w:b/>
          <w:bCs/>
          <w:sz w:val="24"/>
          <w:szCs w:val="24"/>
        </w:rPr>
      </w:pPr>
      <w:r w:rsidRPr="00295C16">
        <w:rPr>
          <w:rFonts w:ascii="Arial" w:hAnsi="Arial" w:cs="Arial"/>
          <w:b/>
          <w:bCs/>
          <w:sz w:val="24"/>
          <w:szCs w:val="24"/>
        </w:rPr>
        <w:t>CONSIDERACIONES:</w:t>
      </w:r>
    </w:p>
    <w:p w:rsidR="002542EB" w:rsidRPr="00295C16" w:rsidRDefault="002542EB" w:rsidP="002542EB">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Pr>
          <w:rFonts w:ascii="Arial" w:hAnsi="Arial" w:cs="Arial"/>
          <w:sz w:val="24"/>
          <w:szCs w:val="24"/>
        </w:rPr>
        <w:t>del Estado de este Congreso</w:t>
      </w:r>
      <w:r w:rsidRPr="00295C16">
        <w:rPr>
          <w:rFonts w:ascii="Arial" w:hAnsi="Arial" w:cs="Arial"/>
          <w:sz w:val="24"/>
          <w:szCs w:val="24"/>
        </w:rPr>
        <w:t xml:space="preserve"> es competente para analizar el </w:t>
      </w:r>
      <w:r>
        <w:rPr>
          <w:rFonts w:ascii="Arial" w:hAnsi="Arial" w:cs="Arial"/>
          <w:sz w:val="24"/>
          <w:szCs w:val="24"/>
        </w:rPr>
        <w:t>Informe del Resultado de mérito, en atención a lo</w:t>
      </w:r>
      <w:r w:rsidRPr="00295C16">
        <w:rPr>
          <w:rFonts w:ascii="Arial" w:hAnsi="Arial" w:cs="Arial"/>
          <w:sz w:val="24"/>
          <w:szCs w:val="24"/>
        </w:rPr>
        <w:t xml:space="preserve"> establecido en los numerales 70, Fracción X</w:t>
      </w:r>
      <w:r>
        <w:rPr>
          <w:rFonts w:ascii="Arial" w:hAnsi="Arial" w:cs="Arial"/>
          <w:sz w:val="24"/>
          <w:szCs w:val="24"/>
        </w:rPr>
        <w:t>V</w:t>
      </w:r>
      <w:r w:rsidRPr="00295C16">
        <w:rPr>
          <w:rFonts w:ascii="Arial" w:hAnsi="Arial" w:cs="Arial"/>
          <w:sz w:val="24"/>
          <w:szCs w:val="24"/>
        </w:rPr>
        <w:t xml:space="preserve"> de la Ley Orgánica del Poder Legislativo del Estado </w:t>
      </w:r>
      <w:r>
        <w:rPr>
          <w:rFonts w:ascii="Arial" w:hAnsi="Arial" w:cs="Arial"/>
          <w:sz w:val="24"/>
          <w:szCs w:val="24"/>
        </w:rPr>
        <w:t>de Nuevo León y 39</w:t>
      </w:r>
      <w:r w:rsidRPr="00295C16">
        <w:rPr>
          <w:rFonts w:ascii="Arial" w:hAnsi="Arial" w:cs="Arial"/>
          <w:sz w:val="24"/>
          <w:szCs w:val="24"/>
        </w:rPr>
        <w:t xml:space="preserve"> Fracción X</w:t>
      </w:r>
      <w:r>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2542EB" w:rsidRPr="00295C16" w:rsidRDefault="002542EB" w:rsidP="002542EB">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2542EB" w:rsidRDefault="002542EB" w:rsidP="002542EB">
      <w:pPr>
        <w:spacing w:before="240" w:line="360" w:lineRule="auto"/>
        <w:ind w:firstLine="709"/>
        <w:jc w:val="both"/>
        <w:rPr>
          <w:rFonts w:ascii="Arial" w:hAnsi="Arial" w:cs="Arial"/>
          <w:bCs/>
          <w:sz w:val="24"/>
          <w:szCs w:val="24"/>
        </w:rPr>
      </w:pPr>
      <w:r>
        <w:rPr>
          <w:rFonts w:ascii="Arial" w:hAnsi="Arial" w:cs="Arial"/>
          <w:bCs/>
          <w:sz w:val="24"/>
          <w:szCs w:val="24"/>
        </w:rPr>
        <w:t xml:space="preserve">Constatamos que el Informe de la </w:t>
      </w:r>
      <w:r w:rsidRPr="00793A17">
        <w:rPr>
          <w:rFonts w:ascii="Arial" w:hAnsi="Arial" w:cs="Arial"/>
          <w:b/>
          <w:bCs/>
          <w:sz w:val="24"/>
          <w:szCs w:val="24"/>
        </w:rPr>
        <w:t>UNIVERSIDAD TECNOLÓGICA LINARES</w:t>
      </w:r>
      <w:r>
        <w:rPr>
          <w:rFonts w:ascii="Arial" w:hAnsi="Arial" w:cs="Arial"/>
          <w:bCs/>
          <w:sz w:val="24"/>
          <w:szCs w:val="24"/>
        </w:rPr>
        <w:t xml:space="preserve"> </w:t>
      </w:r>
      <w:r w:rsidRPr="00304CC5">
        <w:rPr>
          <w:rFonts w:ascii="Arial" w:hAnsi="Arial" w:cs="Arial"/>
          <w:bCs/>
          <w:sz w:val="24"/>
          <w:szCs w:val="24"/>
        </w:rPr>
        <w:t xml:space="preserve">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audiencia comunico las aclaraciones sobre las mismas, determinando nuestro órgano técnico fiscalizador las observaciones no solventadas, comunicándonos que el ente </w:t>
      </w:r>
      <w:proofErr w:type="spellStart"/>
      <w:r w:rsidRPr="00304CC5">
        <w:rPr>
          <w:rFonts w:ascii="Arial" w:hAnsi="Arial" w:cs="Arial"/>
          <w:bCs/>
          <w:sz w:val="24"/>
          <w:szCs w:val="24"/>
        </w:rPr>
        <w:t>fiscalizado</w:t>
      </w:r>
      <w:proofErr w:type="spellEnd"/>
      <w:r w:rsidRPr="00304CC5">
        <w:rPr>
          <w:rFonts w:ascii="Arial" w:hAnsi="Arial" w:cs="Arial"/>
          <w:bCs/>
          <w:sz w:val="24"/>
          <w:szCs w:val="24"/>
        </w:rPr>
        <w:t xml:space="preserve"> se ajustó a los criterios señalados en las Leyes, presupuestos y demás disposiciones aplicables, así como al cumplimiento de los objetivos generales y metas de los programas y subprogramas aprobados</w:t>
      </w:r>
      <w:r>
        <w:rPr>
          <w:rFonts w:ascii="Arial" w:hAnsi="Arial" w:cs="Arial"/>
          <w:bCs/>
          <w:sz w:val="24"/>
          <w:szCs w:val="24"/>
        </w:rPr>
        <w:t>.</w:t>
      </w:r>
    </w:p>
    <w:p w:rsidR="002542EB" w:rsidRPr="00295C16" w:rsidRDefault="002542EB" w:rsidP="002542EB">
      <w:pPr>
        <w:spacing w:before="240" w:line="360" w:lineRule="auto"/>
        <w:ind w:firstLine="709"/>
        <w:jc w:val="both"/>
        <w:rPr>
          <w:rFonts w:ascii="Arial" w:hAnsi="Arial" w:cs="Arial"/>
          <w:bCs/>
          <w:sz w:val="24"/>
          <w:szCs w:val="24"/>
        </w:rPr>
      </w:pPr>
      <w:r w:rsidRPr="00304CC5">
        <w:rPr>
          <w:rFonts w:ascii="Arial" w:hAnsi="Arial" w:cs="Arial"/>
          <w:bCs/>
          <w:sz w:val="24"/>
          <w:szCs w:val="24"/>
        </w:rPr>
        <w:t xml:space="preserve">En lo particular, conviene resaltar que en el Dictamen de Revisión que acompaña al informe de resultados, signado por el Titular de la Auditoría </w:t>
      </w:r>
      <w:r w:rsidRPr="00304CC5">
        <w:rPr>
          <w:rFonts w:ascii="Arial" w:hAnsi="Arial" w:cs="Arial"/>
          <w:bCs/>
          <w:sz w:val="24"/>
          <w:szCs w:val="24"/>
        </w:rPr>
        <w:lastRenderedPageBreak/>
        <w:t>Superior del Estado, se indica que la información presentada en la cuenta pública es razonable</w:t>
      </w:r>
      <w:r>
        <w:rPr>
          <w:rFonts w:ascii="Arial" w:hAnsi="Arial" w:cs="Arial"/>
          <w:bCs/>
          <w:sz w:val="24"/>
          <w:szCs w:val="24"/>
        </w:rPr>
        <w:t>.</w:t>
      </w:r>
      <w:r w:rsidRPr="00295C16">
        <w:rPr>
          <w:rFonts w:ascii="Arial" w:hAnsi="Arial" w:cs="Arial"/>
          <w:bCs/>
          <w:sz w:val="24"/>
          <w:szCs w:val="24"/>
        </w:rPr>
        <w:t xml:space="preserve"> </w:t>
      </w:r>
    </w:p>
    <w:p w:rsidR="002542EB" w:rsidRPr="00B0643D" w:rsidRDefault="002542EB" w:rsidP="002542EB">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TERCERA: </w:t>
      </w:r>
      <w:r w:rsidRPr="00B0643D">
        <w:rPr>
          <w:rFonts w:ascii="Arial" w:hAnsi="Arial" w:cs="Arial"/>
          <w:bCs/>
          <w:sz w:val="24"/>
          <w:szCs w:val="24"/>
        </w:rPr>
        <w:t>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2542EB" w:rsidRPr="00B0643D" w:rsidRDefault="002542EB" w:rsidP="002542EB">
      <w:pPr>
        <w:spacing w:before="240" w:line="360" w:lineRule="auto"/>
        <w:ind w:firstLine="709"/>
        <w:jc w:val="both"/>
        <w:rPr>
          <w:rFonts w:ascii="Arial" w:hAnsi="Arial" w:cs="Arial"/>
          <w:bCs/>
          <w:sz w:val="24"/>
          <w:szCs w:val="24"/>
        </w:rPr>
      </w:pPr>
      <w:r w:rsidRPr="00B0643D">
        <w:rPr>
          <w:rFonts w:ascii="Arial" w:hAnsi="Arial" w:cs="Arial"/>
          <w:bCs/>
          <w:sz w:val="24"/>
          <w:szCs w:val="24"/>
        </w:rPr>
        <w:t xml:space="preserve">Al respecto, la Auditoría Superior revisó los argumentos establecidos por el titular del ente </w:t>
      </w:r>
      <w:proofErr w:type="spellStart"/>
      <w:r w:rsidRPr="00B0643D">
        <w:rPr>
          <w:rFonts w:ascii="Arial" w:hAnsi="Arial" w:cs="Arial"/>
          <w:bCs/>
          <w:sz w:val="24"/>
          <w:szCs w:val="24"/>
        </w:rPr>
        <w:t>fiscalizado</w:t>
      </w:r>
      <w:proofErr w:type="spellEnd"/>
      <w:r w:rsidRPr="00B0643D">
        <w:rPr>
          <w:rFonts w:ascii="Arial" w:hAnsi="Arial" w:cs="Arial"/>
          <w:bCs/>
          <w:sz w:val="24"/>
          <w:szCs w:val="24"/>
        </w:rPr>
        <w:t xml:space="preserve">,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acciones que el Organismo realice para corregir las deficiencias administrativas detectadas.  </w:t>
      </w:r>
    </w:p>
    <w:p w:rsidR="002542EB" w:rsidRDefault="002542EB" w:rsidP="002542EB">
      <w:pPr>
        <w:spacing w:line="360" w:lineRule="auto"/>
        <w:ind w:firstLine="708"/>
        <w:jc w:val="both"/>
        <w:rPr>
          <w:rFonts w:ascii="Arial" w:hAnsi="Arial" w:cs="Arial"/>
          <w:b/>
          <w:bCs/>
          <w:sz w:val="24"/>
          <w:szCs w:val="24"/>
        </w:rPr>
      </w:pPr>
    </w:p>
    <w:p w:rsidR="002542EB" w:rsidRPr="00295C16" w:rsidRDefault="002542EB" w:rsidP="002542EB">
      <w:pPr>
        <w:spacing w:line="360" w:lineRule="auto"/>
        <w:ind w:firstLine="708"/>
        <w:jc w:val="both"/>
        <w:rPr>
          <w:rFonts w:ascii="Arial" w:hAnsi="Arial" w:cs="Arial"/>
          <w:sz w:val="24"/>
          <w:szCs w:val="24"/>
        </w:rPr>
      </w:pPr>
      <w:r w:rsidRPr="00295C16">
        <w:rPr>
          <w:rFonts w:ascii="Arial" w:hAnsi="Arial" w:cs="Arial"/>
          <w:b/>
          <w:bCs/>
          <w:sz w:val="24"/>
          <w:szCs w:val="24"/>
        </w:rPr>
        <w:t xml:space="preserve">CUARTA: </w:t>
      </w:r>
      <w:r>
        <w:rPr>
          <w:rFonts w:ascii="Arial" w:hAnsi="Arial" w:cs="Arial"/>
          <w:sz w:val="24"/>
          <w:szCs w:val="24"/>
        </w:rPr>
        <w:t xml:space="preserve">La Auditoría nos informa también que </w:t>
      </w:r>
      <w:r w:rsidRPr="00975896">
        <w:rPr>
          <w:rFonts w:ascii="Arial" w:hAnsi="Arial" w:cs="Arial"/>
          <w:sz w:val="24"/>
          <w:szCs w:val="24"/>
        </w:rPr>
        <w:t>respecto al</w:t>
      </w:r>
      <w:r>
        <w:rPr>
          <w:rFonts w:ascii="Arial" w:hAnsi="Arial" w:cs="Arial"/>
          <w:sz w:val="24"/>
          <w:szCs w:val="24"/>
        </w:rPr>
        <w:t xml:space="preserve"> trámite y resultados obtenidos, </w:t>
      </w:r>
      <w:r w:rsidRPr="00975896">
        <w:rPr>
          <w:rFonts w:ascii="Arial" w:hAnsi="Arial" w:cs="Arial"/>
          <w:sz w:val="24"/>
          <w:szCs w:val="24"/>
        </w:rPr>
        <w:t xml:space="preserve">derivados de las solicitudes formuladas </w:t>
      </w:r>
      <w:r>
        <w:rPr>
          <w:rFonts w:ascii="Arial" w:hAnsi="Arial" w:cs="Arial"/>
          <w:sz w:val="24"/>
          <w:szCs w:val="24"/>
        </w:rPr>
        <w:t xml:space="preserve">por </w:t>
      </w:r>
      <w:r w:rsidRPr="00975896">
        <w:rPr>
          <w:rFonts w:ascii="Arial" w:hAnsi="Arial" w:cs="Arial"/>
          <w:sz w:val="24"/>
          <w:szCs w:val="24"/>
        </w:rPr>
        <w:t>el Congreso del Estado</w:t>
      </w:r>
      <w:r>
        <w:rPr>
          <w:rFonts w:ascii="Arial" w:hAnsi="Arial" w:cs="Arial"/>
          <w:sz w:val="24"/>
          <w:szCs w:val="24"/>
        </w:rPr>
        <w:t xml:space="preserve">, es de destacar que no se presentaron diligencias al respecto.  </w:t>
      </w:r>
    </w:p>
    <w:p w:rsidR="002542EB" w:rsidRDefault="002542EB" w:rsidP="002542EB">
      <w:pPr>
        <w:spacing w:before="240" w:line="360" w:lineRule="auto"/>
        <w:ind w:firstLine="709"/>
        <w:jc w:val="both"/>
        <w:rPr>
          <w:rFonts w:ascii="Arial" w:hAnsi="Arial" w:cs="Arial"/>
          <w:sz w:val="24"/>
        </w:rPr>
      </w:pPr>
      <w:r>
        <w:rPr>
          <w:rFonts w:ascii="Arial" w:hAnsi="Arial" w:cs="Arial"/>
          <w:b/>
          <w:sz w:val="24"/>
          <w:szCs w:val="24"/>
        </w:rPr>
        <w:lastRenderedPageBreak/>
        <w:t>QUINTA</w:t>
      </w:r>
      <w:r w:rsidRPr="00975896">
        <w:rPr>
          <w:rFonts w:ascii="Arial" w:hAnsi="Arial" w:cs="Arial"/>
          <w:b/>
          <w:sz w:val="24"/>
          <w:szCs w:val="24"/>
        </w:rPr>
        <w:t>:</w:t>
      </w:r>
      <w:r w:rsidRPr="00975896">
        <w:rPr>
          <w:rFonts w:ascii="Arial" w:hAnsi="Arial" w:cs="Arial"/>
          <w:sz w:val="24"/>
          <w:szCs w:val="24"/>
        </w:rPr>
        <w:t xml:space="preserve"> </w:t>
      </w:r>
      <w:r w:rsidRPr="007F5756">
        <w:rPr>
          <w:rFonts w:ascii="Arial" w:hAnsi="Arial" w:cs="Arial"/>
          <w:sz w:val="24"/>
          <w:szCs w:val="24"/>
        </w:rPr>
        <w:t>Adicionalmente</w:t>
      </w:r>
      <w:r>
        <w:rPr>
          <w:rFonts w:ascii="Arial" w:hAnsi="Arial" w:cs="Arial"/>
          <w:sz w:val="24"/>
          <w:szCs w:val="24"/>
        </w:rPr>
        <w:t>,</w:t>
      </w:r>
      <w:r w:rsidRPr="007F5756">
        <w:rPr>
          <w:rFonts w:ascii="Arial" w:hAnsi="Arial" w:cs="Arial"/>
          <w:sz w:val="24"/>
          <w:szCs w:val="24"/>
        </w:rPr>
        <w:t xml:space="preserve"> se nos informa que durante </w:t>
      </w:r>
      <w:r>
        <w:rPr>
          <w:rFonts w:ascii="Arial" w:hAnsi="Arial" w:cs="Arial"/>
          <w:sz w:val="24"/>
          <w:szCs w:val="24"/>
        </w:rPr>
        <w:t xml:space="preserve">el ejercicio 2014, </w:t>
      </w:r>
      <w:r w:rsidRPr="007F5756">
        <w:rPr>
          <w:rFonts w:ascii="Arial" w:hAnsi="Arial" w:cs="Arial"/>
          <w:sz w:val="24"/>
          <w:szCs w:val="24"/>
        </w:rPr>
        <w:t>no se recibieron solicitudes de revisión de situaciones excepcionales en relación a la cuenta pública</w:t>
      </w:r>
      <w:r>
        <w:rPr>
          <w:rFonts w:ascii="Arial" w:hAnsi="Arial" w:cs="Arial"/>
          <w:sz w:val="24"/>
          <w:szCs w:val="24"/>
        </w:rPr>
        <w:t xml:space="preserve"> del Ente</w:t>
      </w:r>
      <w:r w:rsidRPr="007F5756">
        <w:rPr>
          <w:rFonts w:ascii="Arial" w:hAnsi="Arial" w:cs="Arial"/>
          <w:sz w:val="24"/>
          <w:szCs w:val="24"/>
        </w:rPr>
        <w:t xml:space="preserve"> </w:t>
      </w:r>
      <w:r>
        <w:rPr>
          <w:rFonts w:ascii="Arial" w:hAnsi="Arial" w:cs="Arial"/>
          <w:sz w:val="24"/>
          <w:szCs w:val="24"/>
        </w:rPr>
        <w:t>auditado.</w:t>
      </w:r>
    </w:p>
    <w:p w:rsidR="002542EB" w:rsidRPr="00793A17" w:rsidRDefault="002542EB" w:rsidP="002542EB">
      <w:pPr>
        <w:spacing w:after="0" w:line="360" w:lineRule="auto"/>
        <w:ind w:firstLine="708"/>
        <w:jc w:val="both"/>
        <w:rPr>
          <w:rFonts w:ascii="Arial" w:hAnsi="Arial" w:cs="Arial"/>
          <w:sz w:val="24"/>
          <w:szCs w:val="24"/>
        </w:rPr>
      </w:pPr>
      <w:r w:rsidRPr="00E72928">
        <w:rPr>
          <w:rFonts w:ascii="Arial" w:hAnsi="Arial" w:cs="Arial"/>
          <w:b/>
          <w:sz w:val="24"/>
          <w:szCs w:val="24"/>
        </w:rPr>
        <w:t>SEXTA:</w:t>
      </w:r>
      <w:r w:rsidRPr="00EB01DD">
        <w:rPr>
          <w:rFonts w:ascii="Arial" w:hAnsi="Arial" w:cs="Arial"/>
          <w:b/>
        </w:rPr>
        <w:t xml:space="preserve"> </w:t>
      </w:r>
      <w:r>
        <w:rPr>
          <w:rFonts w:ascii="Arial" w:hAnsi="Arial" w:cs="Arial"/>
          <w:sz w:val="24"/>
          <w:szCs w:val="24"/>
        </w:rPr>
        <w:t>En relación con la s</w:t>
      </w:r>
      <w:r w:rsidRPr="00793A17">
        <w:rPr>
          <w:rFonts w:ascii="Arial" w:hAnsi="Arial" w:cs="Arial"/>
          <w:sz w:val="24"/>
          <w:szCs w:val="24"/>
        </w:rPr>
        <w:t>ituación que guardan las observaciones, recomendaciones y acciones promovidas, respecto de las Cuentas Públic</w:t>
      </w:r>
      <w:r>
        <w:rPr>
          <w:rFonts w:ascii="Arial" w:hAnsi="Arial" w:cs="Arial"/>
          <w:sz w:val="24"/>
          <w:szCs w:val="24"/>
        </w:rPr>
        <w:t xml:space="preserve">as de los ejercicios anteriores, se señala que </w:t>
      </w:r>
      <w:r>
        <w:rPr>
          <w:rFonts w:ascii="Arial" w:eastAsia="Times New Roman" w:hAnsi="Arial" w:cs="Arial"/>
          <w:bCs/>
          <w:sz w:val="24"/>
          <w:szCs w:val="24"/>
          <w:lang w:eastAsia="es-MX"/>
        </w:rPr>
        <w:t>señalándose que no hay acciones pendientes de atender.</w:t>
      </w:r>
    </w:p>
    <w:p w:rsidR="002542EB" w:rsidRPr="00147BB2" w:rsidRDefault="002542EB" w:rsidP="002542EB">
      <w:pPr>
        <w:spacing w:after="0" w:line="360" w:lineRule="auto"/>
        <w:ind w:firstLine="708"/>
        <w:jc w:val="both"/>
        <w:rPr>
          <w:rFonts w:ascii="Arial" w:hAnsi="Arial" w:cs="Arial"/>
          <w:b/>
          <w:sz w:val="24"/>
          <w:szCs w:val="24"/>
        </w:rPr>
      </w:pPr>
    </w:p>
    <w:p w:rsidR="002542EB" w:rsidRDefault="002542EB" w:rsidP="002542EB">
      <w:pPr>
        <w:autoSpaceDE w:val="0"/>
        <w:autoSpaceDN w:val="0"/>
        <w:adjustRightInd w:val="0"/>
        <w:spacing w:after="0" w:line="360" w:lineRule="auto"/>
        <w:ind w:firstLine="708"/>
        <w:jc w:val="both"/>
        <w:rPr>
          <w:rFonts w:ascii="Arial" w:hAnsi="Arial" w:cs="Arial"/>
          <w:sz w:val="24"/>
          <w:szCs w:val="24"/>
        </w:rPr>
      </w:pPr>
      <w:r w:rsidRPr="00147BB2">
        <w:rPr>
          <w:rFonts w:ascii="Arial" w:hAnsi="Arial" w:cs="Arial"/>
          <w:b/>
          <w:sz w:val="24"/>
          <w:szCs w:val="24"/>
        </w:rPr>
        <w:t>SEPTIMA:</w:t>
      </w:r>
      <w:r>
        <w:rPr>
          <w:rFonts w:ascii="Arial" w:hAnsi="Arial" w:cs="Arial"/>
          <w:sz w:val="24"/>
          <w:szCs w:val="24"/>
        </w:rPr>
        <w:t xml:space="preserve"> </w:t>
      </w:r>
      <w:r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w:t>
      </w:r>
      <w:r>
        <w:rPr>
          <w:rFonts w:ascii="Arial" w:hAnsi="Arial" w:cs="Arial"/>
          <w:sz w:val="24"/>
          <w:szCs w:val="24"/>
        </w:rPr>
        <w:t>eneral de los recursos públicos ejercidos,</w:t>
      </w:r>
      <w:r w:rsidRPr="00975896">
        <w:rPr>
          <w:rFonts w:ascii="Arial" w:hAnsi="Arial" w:cs="Arial"/>
          <w:sz w:val="24"/>
          <w:szCs w:val="24"/>
        </w:rPr>
        <w:t xml:space="preserve"> así como el cumplimiento de los programa</w:t>
      </w:r>
      <w:r>
        <w:rPr>
          <w:rFonts w:ascii="Arial" w:hAnsi="Arial" w:cs="Arial"/>
          <w:sz w:val="24"/>
          <w:szCs w:val="24"/>
        </w:rPr>
        <w:t>s propios de la Administración P</w:t>
      </w:r>
      <w:r w:rsidRPr="00975896">
        <w:rPr>
          <w:rFonts w:ascii="Arial" w:hAnsi="Arial" w:cs="Arial"/>
          <w:sz w:val="24"/>
          <w:szCs w:val="24"/>
        </w:rPr>
        <w:t>ública</w:t>
      </w:r>
      <w:r>
        <w:rPr>
          <w:rFonts w:ascii="Arial" w:hAnsi="Arial" w:cs="Arial"/>
          <w:sz w:val="24"/>
          <w:szCs w:val="24"/>
        </w:rPr>
        <w:t xml:space="preserve"> y de la normativa que le es aplicable </w:t>
      </w:r>
      <w:r>
        <w:rPr>
          <w:rFonts w:ascii="Arial" w:hAnsi="Arial" w:cs="Arial"/>
          <w:bCs/>
          <w:sz w:val="24"/>
          <w:szCs w:val="24"/>
        </w:rPr>
        <w:t xml:space="preserve">a la </w:t>
      </w:r>
      <w:r>
        <w:rPr>
          <w:rFonts w:ascii="Arial" w:hAnsi="Arial" w:cs="Arial"/>
          <w:b/>
          <w:bCs/>
          <w:sz w:val="24"/>
          <w:szCs w:val="24"/>
        </w:rPr>
        <w:t>UNIVERSIDAD TECNOLÓGICA LINARES</w:t>
      </w:r>
      <w:r>
        <w:rPr>
          <w:rFonts w:ascii="Arial" w:hAnsi="Arial" w:cs="Arial"/>
          <w:bCs/>
          <w:sz w:val="24"/>
          <w:szCs w:val="24"/>
        </w:rPr>
        <w:t>.</w:t>
      </w:r>
    </w:p>
    <w:p w:rsidR="002542EB" w:rsidRDefault="002542EB" w:rsidP="002542EB">
      <w:pPr>
        <w:spacing w:after="0" w:line="360" w:lineRule="auto"/>
        <w:ind w:firstLine="708"/>
        <w:jc w:val="both"/>
        <w:rPr>
          <w:rFonts w:ascii="Arial" w:hAnsi="Arial" w:cs="Arial"/>
          <w:sz w:val="24"/>
          <w:szCs w:val="24"/>
        </w:rPr>
      </w:pPr>
    </w:p>
    <w:p w:rsidR="00CD2E71" w:rsidRPr="00322A57" w:rsidRDefault="00CD2E71" w:rsidP="00CD2E71">
      <w:pPr>
        <w:spacing w:after="0" w:line="360" w:lineRule="auto"/>
        <w:ind w:firstLine="708"/>
        <w:jc w:val="both"/>
        <w:rPr>
          <w:rFonts w:ascii="Arial" w:hAnsi="Arial" w:cs="Arial"/>
          <w:sz w:val="24"/>
          <w:szCs w:val="24"/>
        </w:rPr>
      </w:pPr>
      <w:r>
        <w:rPr>
          <w:rFonts w:ascii="Arial" w:hAnsi="Arial" w:cs="Arial"/>
          <w:sz w:val="24"/>
          <w:szCs w:val="24"/>
        </w:rPr>
        <w:t xml:space="preserve">Dado lo anterior, es de estimarse que las observaciones contenidas en el informe de resultados en estudio, consistentes en un caso donde se generó un pliego presuntivo de responsabilidad por la cantidad de $381,099 (observación 14) resulta suficientes para considerar que la generalidad de la actuación del ente revisado deba estimarse como deficiente y por lo mismo, la entidad revisada es acreedora a una manifestación de rechazo de parte de este </w:t>
      </w:r>
      <w:r w:rsidRPr="00322A57">
        <w:rPr>
          <w:rFonts w:ascii="Arial" w:hAnsi="Arial" w:cs="Arial"/>
          <w:sz w:val="24"/>
          <w:szCs w:val="24"/>
        </w:rPr>
        <w:t>Poder Legislativo respecto a su Cuenta Pública para el ejercicio fiscal 201</w:t>
      </w:r>
      <w:r>
        <w:rPr>
          <w:rFonts w:ascii="Arial" w:hAnsi="Arial" w:cs="Arial"/>
          <w:sz w:val="24"/>
          <w:szCs w:val="24"/>
        </w:rPr>
        <w:t>5</w:t>
      </w:r>
      <w:r w:rsidRPr="00322A57">
        <w:rPr>
          <w:rFonts w:ascii="Arial" w:hAnsi="Arial" w:cs="Arial"/>
          <w:sz w:val="24"/>
          <w:szCs w:val="24"/>
        </w:rPr>
        <w:t>.</w:t>
      </w:r>
    </w:p>
    <w:p w:rsidR="00CD2E71" w:rsidRDefault="00CD2E71" w:rsidP="002542EB">
      <w:pPr>
        <w:spacing w:after="0" w:line="360" w:lineRule="auto"/>
        <w:ind w:firstLine="708"/>
        <w:jc w:val="both"/>
        <w:rPr>
          <w:rFonts w:ascii="Arial" w:hAnsi="Arial" w:cs="Arial"/>
          <w:sz w:val="24"/>
          <w:szCs w:val="24"/>
        </w:rPr>
      </w:pPr>
    </w:p>
    <w:p w:rsidR="002542EB" w:rsidRPr="00E367D1" w:rsidRDefault="002542EB" w:rsidP="002542EB">
      <w:pPr>
        <w:spacing w:after="0" w:line="360" w:lineRule="auto"/>
        <w:ind w:right="51" w:firstLine="708"/>
        <w:jc w:val="both"/>
        <w:rPr>
          <w:rFonts w:ascii="Arial" w:hAnsi="Arial" w:cs="Arial"/>
          <w:sz w:val="24"/>
          <w:szCs w:val="24"/>
        </w:rPr>
      </w:pPr>
      <w:r w:rsidRPr="00E367D1">
        <w:rPr>
          <w:rFonts w:ascii="Arial" w:hAnsi="Arial" w:cs="Arial"/>
          <w:sz w:val="24"/>
          <w:szCs w:val="24"/>
        </w:rPr>
        <w:lastRenderedPageBreak/>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2542EB" w:rsidRPr="00E82188" w:rsidRDefault="002542EB" w:rsidP="002542EB">
      <w:pPr>
        <w:spacing w:after="0" w:line="360" w:lineRule="auto"/>
        <w:ind w:firstLine="708"/>
        <w:jc w:val="both"/>
        <w:rPr>
          <w:rFonts w:ascii="Arial" w:hAnsi="Arial" w:cs="Arial"/>
          <w:sz w:val="24"/>
          <w:szCs w:val="24"/>
        </w:rPr>
      </w:pPr>
    </w:p>
    <w:p w:rsidR="002542EB" w:rsidRDefault="002542EB" w:rsidP="002542EB">
      <w:pPr>
        <w:spacing w:before="240" w:line="360" w:lineRule="auto"/>
        <w:ind w:firstLine="709"/>
        <w:jc w:val="both"/>
        <w:rPr>
          <w:rFonts w:ascii="Arial" w:hAnsi="Arial" w:cs="Arial"/>
          <w:sz w:val="24"/>
          <w:szCs w:val="24"/>
        </w:rPr>
      </w:pPr>
      <w:r w:rsidRPr="00975896">
        <w:rPr>
          <w:rFonts w:ascii="Arial" w:hAnsi="Arial" w:cs="Arial"/>
          <w:sz w:val="24"/>
          <w:szCs w:val="24"/>
        </w:rPr>
        <w:t>Por</w:t>
      </w:r>
      <w:r>
        <w:rPr>
          <w:rFonts w:ascii="Arial" w:hAnsi="Arial" w:cs="Arial"/>
          <w:sz w:val="24"/>
          <w:szCs w:val="24"/>
        </w:rPr>
        <w:t xml:space="preserve"> ello, sometemos a la consideración del Pleno de esta Asamblea Legislativa el siguiente proyecto de:</w:t>
      </w:r>
    </w:p>
    <w:p w:rsidR="002542EB" w:rsidRPr="00F072A9" w:rsidRDefault="002542EB" w:rsidP="002542EB">
      <w:pPr>
        <w:pStyle w:val="Prrafodelista"/>
        <w:spacing w:before="240" w:line="360" w:lineRule="auto"/>
        <w:ind w:left="2880"/>
        <w:rPr>
          <w:rFonts w:ascii="Arial" w:hAnsi="Arial" w:cs="Arial"/>
          <w:b/>
          <w:sz w:val="24"/>
          <w:szCs w:val="24"/>
        </w:rPr>
      </w:pPr>
      <w:r>
        <w:rPr>
          <w:rFonts w:ascii="Arial" w:hAnsi="Arial" w:cs="Arial"/>
          <w:b/>
          <w:sz w:val="24"/>
          <w:szCs w:val="24"/>
        </w:rPr>
        <w:t>A C U E R D O</w:t>
      </w:r>
    </w:p>
    <w:p w:rsidR="002542EB" w:rsidRPr="00DF3AB0" w:rsidRDefault="002542EB" w:rsidP="002542EB">
      <w:pPr>
        <w:spacing w:after="0" w:line="360" w:lineRule="auto"/>
        <w:ind w:firstLine="708"/>
        <w:jc w:val="both"/>
        <w:rPr>
          <w:rFonts w:ascii="Arial" w:hAnsi="Arial" w:cs="Arial"/>
          <w:b/>
          <w:sz w:val="24"/>
          <w:szCs w:val="24"/>
        </w:rPr>
      </w:pPr>
      <w:r>
        <w:rPr>
          <w:rFonts w:ascii="Arial" w:hAnsi="Arial" w:cs="Arial"/>
          <w:b/>
          <w:bCs/>
          <w:sz w:val="24"/>
          <w:szCs w:val="24"/>
        </w:rPr>
        <w:t xml:space="preserve">PRIMERO.- </w:t>
      </w:r>
      <w:r>
        <w:rPr>
          <w:rFonts w:ascii="Arial" w:hAnsi="Arial" w:cs="Arial"/>
          <w:bCs/>
          <w:sz w:val="24"/>
          <w:szCs w:val="24"/>
        </w:rPr>
        <w:t>Se tiene por recibido y analizado en tiempo y forma el Informe del Resultado de la re</w:t>
      </w:r>
      <w:r w:rsidR="00BC0483">
        <w:rPr>
          <w:rFonts w:ascii="Arial" w:hAnsi="Arial" w:cs="Arial"/>
          <w:bCs/>
          <w:sz w:val="24"/>
          <w:szCs w:val="24"/>
        </w:rPr>
        <w:t>visión de la Cuenta Pública 2015</w:t>
      </w:r>
      <w:r>
        <w:rPr>
          <w:rFonts w:ascii="Arial" w:hAnsi="Arial" w:cs="Arial"/>
          <w:bCs/>
          <w:sz w:val="24"/>
          <w:szCs w:val="24"/>
        </w:rPr>
        <w:t xml:space="preserve">, de la </w:t>
      </w:r>
      <w:r>
        <w:rPr>
          <w:rFonts w:ascii="Arial" w:hAnsi="Arial" w:cs="Arial"/>
          <w:b/>
          <w:bCs/>
          <w:sz w:val="24"/>
          <w:szCs w:val="24"/>
        </w:rPr>
        <w:t>UNIVERSIDAD TECNOLÓGICA LINARES.</w:t>
      </w:r>
    </w:p>
    <w:p w:rsidR="002542EB" w:rsidRDefault="002542EB" w:rsidP="002542EB">
      <w:pPr>
        <w:spacing w:line="360" w:lineRule="auto"/>
        <w:ind w:firstLine="709"/>
        <w:jc w:val="both"/>
        <w:rPr>
          <w:rFonts w:ascii="Arial" w:hAnsi="Arial" w:cs="Arial"/>
          <w:b/>
          <w:bCs/>
          <w:sz w:val="24"/>
          <w:szCs w:val="24"/>
        </w:rPr>
      </w:pPr>
    </w:p>
    <w:p w:rsidR="002542EB" w:rsidRDefault="002542EB" w:rsidP="002542EB">
      <w:pPr>
        <w:spacing w:after="0" w:line="360" w:lineRule="auto"/>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Pr="006D048F">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señaladas con los números 1 al </w:t>
      </w:r>
      <w:r w:rsidR="00BC0483">
        <w:rPr>
          <w:rFonts w:ascii="Arial" w:hAnsi="Arial" w:cs="Arial"/>
          <w:bCs/>
          <w:sz w:val="24"/>
          <w:szCs w:val="24"/>
          <w:lang w:val="es-MX"/>
        </w:rPr>
        <w:t>16</w:t>
      </w:r>
      <w:r w:rsidRPr="006D048F">
        <w:rPr>
          <w:rFonts w:ascii="Arial" w:hAnsi="Arial" w:cs="Arial"/>
          <w:bCs/>
          <w:sz w:val="24"/>
          <w:szCs w:val="24"/>
          <w:lang w:val="es-MX"/>
        </w:rPr>
        <w:t xml:space="preserve"> </w:t>
      </w:r>
      <w:r w:rsidR="009A27FC">
        <w:rPr>
          <w:rFonts w:ascii="Arial" w:hAnsi="Arial" w:cs="Arial"/>
          <w:bCs/>
          <w:sz w:val="24"/>
          <w:szCs w:val="24"/>
          <w:lang w:val="es-MX"/>
        </w:rPr>
        <w:t>de las cuales, sólo en una se</w:t>
      </w:r>
      <w:r w:rsidRPr="006D048F">
        <w:rPr>
          <w:rFonts w:ascii="Arial" w:hAnsi="Arial" w:cs="Arial"/>
          <w:bCs/>
          <w:sz w:val="24"/>
          <w:szCs w:val="24"/>
          <w:lang w:val="es-MX"/>
        </w:rPr>
        <w:t xml:space="preserve"> determinó emitir pliegos presuntivos de responsabilidades,</w:t>
      </w:r>
      <w:r w:rsidR="009A27FC">
        <w:rPr>
          <w:rFonts w:ascii="Arial" w:hAnsi="Arial" w:cs="Arial"/>
          <w:bCs/>
          <w:sz w:val="24"/>
          <w:szCs w:val="24"/>
          <w:lang w:val="es-MX"/>
        </w:rPr>
        <w:t xml:space="preserve"> </w:t>
      </w:r>
      <w:r w:rsidR="00627D24">
        <w:rPr>
          <w:rFonts w:ascii="Arial" w:hAnsi="Arial" w:cs="Arial"/>
          <w:bCs/>
          <w:sz w:val="24"/>
          <w:szCs w:val="24"/>
          <w:lang w:val="es-MX"/>
        </w:rPr>
        <w:t xml:space="preserve">ya que se consideró causa </w:t>
      </w:r>
      <w:r w:rsidR="009A27FC">
        <w:rPr>
          <w:rFonts w:ascii="Arial" w:hAnsi="Arial" w:cs="Arial"/>
          <w:bCs/>
          <w:sz w:val="24"/>
          <w:szCs w:val="24"/>
          <w:lang w:val="es-MX"/>
        </w:rPr>
        <w:t xml:space="preserve">de afectación </w:t>
      </w:r>
      <w:r w:rsidR="00627D24">
        <w:rPr>
          <w:rFonts w:ascii="Arial" w:hAnsi="Arial" w:cs="Arial"/>
          <w:bCs/>
          <w:sz w:val="24"/>
          <w:szCs w:val="24"/>
          <w:lang w:val="es-MX"/>
        </w:rPr>
        <w:t xml:space="preserve">económica </w:t>
      </w:r>
      <w:r w:rsidR="009A27FC">
        <w:rPr>
          <w:rFonts w:ascii="Arial" w:hAnsi="Arial" w:cs="Arial"/>
          <w:bCs/>
          <w:sz w:val="24"/>
          <w:szCs w:val="24"/>
          <w:lang w:val="es-MX"/>
        </w:rPr>
        <w:t>al patrimonio del ente auditado</w:t>
      </w:r>
      <w:r w:rsidRPr="006D048F">
        <w:rPr>
          <w:rFonts w:ascii="Arial" w:hAnsi="Arial" w:cs="Arial"/>
          <w:bCs/>
          <w:sz w:val="24"/>
          <w:szCs w:val="24"/>
          <w:lang w:val="es-MX"/>
        </w:rPr>
        <w:t>.</w:t>
      </w:r>
    </w:p>
    <w:p w:rsidR="002542EB" w:rsidRDefault="002542EB" w:rsidP="002542EB">
      <w:pPr>
        <w:spacing w:after="0" w:line="360" w:lineRule="auto"/>
        <w:ind w:firstLine="708"/>
        <w:jc w:val="both"/>
        <w:rPr>
          <w:rFonts w:ascii="Arial" w:hAnsi="Arial" w:cs="Arial"/>
          <w:bCs/>
          <w:sz w:val="24"/>
          <w:szCs w:val="24"/>
        </w:rPr>
      </w:pPr>
    </w:p>
    <w:p w:rsidR="002542EB" w:rsidRDefault="002542EB" w:rsidP="002542EB">
      <w:pPr>
        <w:spacing w:after="0" w:line="360" w:lineRule="auto"/>
        <w:ind w:firstLine="708"/>
        <w:jc w:val="both"/>
        <w:rPr>
          <w:rFonts w:ascii="Arial" w:hAnsi="Arial" w:cs="Arial"/>
          <w:bCs/>
          <w:sz w:val="24"/>
          <w:szCs w:val="24"/>
          <w:lang w:val="es-MX"/>
        </w:rPr>
      </w:pPr>
      <w:r w:rsidRPr="00190C96">
        <w:rPr>
          <w:rFonts w:ascii="Arial" w:hAnsi="Arial" w:cs="Arial"/>
          <w:b/>
          <w:bCs/>
          <w:sz w:val="24"/>
          <w:szCs w:val="24"/>
          <w:lang w:val="es-MX"/>
        </w:rPr>
        <w:lastRenderedPageBreak/>
        <w:t xml:space="preserve">TERCERO.- </w:t>
      </w:r>
      <w:r w:rsidRPr="00190C96">
        <w:rPr>
          <w:rFonts w:ascii="Arial" w:hAnsi="Arial" w:cs="Arial"/>
          <w:bCs/>
          <w:sz w:val="24"/>
          <w:szCs w:val="24"/>
          <w:lang w:val="es-MX"/>
        </w:rPr>
        <w:t xml:space="preserve">Atendiendo a las características y alcance de las observaciones señaladas en el resolutivo anterior como causa de </w:t>
      </w:r>
      <w:r w:rsidR="00627D24">
        <w:rPr>
          <w:rFonts w:ascii="Arial" w:hAnsi="Arial" w:cs="Arial"/>
          <w:bCs/>
          <w:sz w:val="24"/>
          <w:szCs w:val="24"/>
          <w:lang w:val="es-MX"/>
        </w:rPr>
        <w:t xml:space="preserve">pliegos presuntivo de responsabilidades, promoción de </w:t>
      </w:r>
      <w:proofErr w:type="spellStart"/>
      <w:r w:rsidR="00627D24">
        <w:rPr>
          <w:rFonts w:ascii="Arial" w:hAnsi="Arial" w:cs="Arial"/>
          <w:bCs/>
          <w:sz w:val="24"/>
          <w:szCs w:val="24"/>
          <w:lang w:val="es-MX"/>
        </w:rPr>
        <w:t>fincamiento</w:t>
      </w:r>
      <w:proofErr w:type="spellEnd"/>
      <w:r w:rsidR="00627D24">
        <w:rPr>
          <w:rFonts w:ascii="Arial" w:hAnsi="Arial" w:cs="Arial"/>
          <w:bCs/>
          <w:sz w:val="24"/>
          <w:szCs w:val="24"/>
          <w:lang w:val="es-MX"/>
        </w:rPr>
        <w:t xml:space="preserve"> de </w:t>
      </w:r>
      <w:r w:rsidRPr="00190C96">
        <w:rPr>
          <w:rFonts w:ascii="Arial" w:hAnsi="Arial" w:cs="Arial"/>
          <w:bCs/>
          <w:sz w:val="24"/>
          <w:szCs w:val="24"/>
          <w:lang w:val="es-MX"/>
        </w:rPr>
        <w:t>responsabilidades administrativas</w:t>
      </w:r>
      <w:r>
        <w:rPr>
          <w:rFonts w:ascii="Arial" w:hAnsi="Arial" w:cs="Arial"/>
          <w:bCs/>
          <w:sz w:val="24"/>
          <w:szCs w:val="24"/>
          <w:lang w:val="es-MX"/>
        </w:rPr>
        <w:t>, promoción del ejercicio de</w:t>
      </w:r>
      <w:r w:rsidR="00CD2E71">
        <w:rPr>
          <w:rFonts w:ascii="Arial" w:hAnsi="Arial" w:cs="Arial"/>
          <w:bCs/>
          <w:sz w:val="24"/>
          <w:szCs w:val="24"/>
          <w:lang w:val="es-MX"/>
        </w:rPr>
        <w:t xml:space="preserve"> </w:t>
      </w:r>
      <w:r>
        <w:rPr>
          <w:rFonts w:ascii="Arial" w:hAnsi="Arial" w:cs="Arial"/>
          <w:bCs/>
          <w:sz w:val="24"/>
          <w:szCs w:val="24"/>
          <w:lang w:val="es-MX"/>
        </w:rPr>
        <w:t>facultad de comprobación fiscal, promoción del ejercicio de y recomendaciones a la gestión</w:t>
      </w:r>
      <w:r w:rsidRPr="00190C96">
        <w:rPr>
          <w:rFonts w:ascii="Arial" w:hAnsi="Arial" w:cs="Arial"/>
          <w:bCs/>
          <w:sz w:val="24"/>
          <w:szCs w:val="24"/>
          <w:lang w:val="es-MX"/>
        </w:rPr>
        <w:t xml:space="preserve"> en el rubro de Auditoría a la Gestión Financiera</w:t>
      </w:r>
      <w:r>
        <w:rPr>
          <w:rFonts w:ascii="Arial" w:hAnsi="Arial" w:cs="Arial"/>
          <w:bCs/>
          <w:sz w:val="24"/>
          <w:szCs w:val="24"/>
          <w:lang w:val="es-MX"/>
        </w:rPr>
        <w:t xml:space="preserve"> </w:t>
      </w:r>
      <w:r w:rsidRPr="00190C96">
        <w:rPr>
          <w:rFonts w:ascii="Arial" w:hAnsi="Arial" w:cs="Arial"/>
          <w:bCs/>
          <w:sz w:val="24"/>
          <w:szCs w:val="24"/>
          <w:lang w:val="es-MX"/>
        </w:rPr>
        <w:t xml:space="preserve">se estima que la </w:t>
      </w:r>
      <w:r w:rsidR="00155CE2">
        <w:rPr>
          <w:rFonts w:ascii="Arial" w:hAnsi="Arial" w:cs="Arial"/>
          <w:b/>
          <w:bCs/>
          <w:sz w:val="24"/>
          <w:szCs w:val="24"/>
          <w:lang w:val="es-MX"/>
        </w:rPr>
        <w:t>CUENTA PÚBLICA 2015</w:t>
      </w:r>
      <w:r w:rsidRPr="00190C96">
        <w:rPr>
          <w:rFonts w:ascii="Arial" w:hAnsi="Arial" w:cs="Arial"/>
          <w:b/>
          <w:bCs/>
          <w:sz w:val="24"/>
          <w:szCs w:val="24"/>
          <w:lang w:val="es-MX"/>
        </w:rPr>
        <w:t xml:space="preserve">, </w:t>
      </w:r>
      <w:r w:rsidRPr="00190C96">
        <w:rPr>
          <w:rFonts w:ascii="Arial" w:hAnsi="Arial" w:cs="Arial"/>
          <w:bCs/>
          <w:sz w:val="24"/>
          <w:szCs w:val="24"/>
          <w:lang w:val="es-MX"/>
        </w:rPr>
        <w:t>de</w:t>
      </w:r>
      <w:r>
        <w:rPr>
          <w:rFonts w:ascii="Arial" w:hAnsi="Arial" w:cs="Arial"/>
          <w:bCs/>
          <w:sz w:val="24"/>
          <w:szCs w:val="24"/>
          <w:lang w:val="es-MX"/>
        </w:rPr>
        <w:t xml:space="preserve"> </w:t>
      </w:r>
      <w:r w:rsidRPr="00190C96">
        <w:rPr>
          <w:rFonts w:ascii="Arial" w:hAnsi="Arial" w:cs="Arial"/>
          <w:bCs/>
          <w:sz w:val="24"/>
          <w:szCs w:val="24"/>
          <w:lang w:val="es-MX"/>
        </w:rPr>
        <w:t>l</w:t>
      </w:r>
      <w:r>
        <w:rPr>
          <w:rFonts w:ascii="Arial" w:hAnsi="Arial" w:cs="Arial"/>
          <w:bCs/>
          <w:sz w:val="24"/>
          <w:szCs w:val="24"/>
          <w:lang w:val="es-MX"/>
        </w:rPr>
        <w:t>a</w:t>
      </w:r>
      <w:r w:rsidRPr="00190C96">
        <w:rPr>
          <w:rFonts w:ascii="Arial" w:hAnsi="Arial" w:cs="Arial"/>
          <w:b/>
          <w:bCs/>
          <w:sz w:val="24"/>
          <w:szCs w:val="24"/>
          <w:lang w:val="es-MX"/>
        </w:rPr>
        <w:t xml:space="preserve"> </w:t>
      </w:r>
      <w:r>
        <w:rPr>
          <w:rFonts w:ascii="Arial" w:hAnsi="Arial" w:cs="Arial"/>
          <w:b/>
          <w:bCs/>
          <w:sz w:val="24"/>
          <w:szCs w:val="24"/>
        </w:rPr>
        <w:t>UNIVERSIDAD TECNOLÓGICA LINARES</w:t>
      </w:r>
      <w:r w:rsidRPr="00190C96">
        <w:rPr>
          <w:rFonts w:ascii="Arial" w:hAnsi="Arial" w:cs="Arial"/>
          <w:b/>
          <w:bCs/>
          <w:sz w:val="24"/>
          <w:szCs w:val="24"/>
          <w:lang w:val="es-MX"/>
        </w:rPr>
        <w:t xml:space="preserve"> </w:t>
      </w:r>
      <w:r w:rsidRPr="00190C96">
        <w:rPr>
          <w:rFonts w:ascii="Arial" w:hAnsi="Arial" w:cs="Arial"/>
          <w:bCs/>
          <w:sz w:val="24"/>
          <w:szCs w:val="24"/>
          <w:lang w:val="es-MX"/>
        </w:rPr>
        <w:t>es susceptible de aprobación.</w:t>
      </w:r>
    </w:p>
    <w:p w:rsidR="002542EB" w:rsidRDefault="002542EB" w:rsidP="002542EB">
      <w:pPr>
        <w:spacing w:after="0" w:line="360" w:lineRule="auto"/>
        <w:ind w:firstLine="708"/>
        <w:jc w:val="both"/>
        <w:rPr>
          <w:rFonts w:ascii="Arial" w:hAnsi="Arial" w:cs="Arial"/>
          <w:bCs/>
          <w:sz w:val="24"/>
          <w:szCs w:val="24"/>
          <w:lang w:val="es-MX"/>
        </w:rPr>
      </w:pPr>
    </w:p>
    <w:p w:rsidR="002542EB" w:rsidRPr="00DF3AB0" w:rsidRDefault="002542EB" w:rsidP="002542EB">
      <w:pPr>
        <w:spacing w:after="0" w:line="360" w:lineRule="auto"/>
        <w:ind w:firstLine="708"/>
        <w:jc w:val="both"/>
        <w:rPr>
          <w:rFonts w:ascii="Arial" w:hAnsi="Arial" w:cs="Arial"/>
          <w:b/>
          <w:sz w:val="24"/>
          <w:szCs w:val="24"/>
        </w:rPr>
      </w:pPr>
      <w:r w:rsidRPr="00190C96">
        <w:rPr>
          <w:rFonts w:ascii="Arial" w:hAnsi="Arial" w:cs="Arial"/>
          <w:bCs/>
          <w:sz w:val="24"/>
          <w:szCs w:val="24"/>
          <w:lang w:val="es-MX"/>
        </w:rPr>
        <w:t>Por lo tanto, en</w:t>
      </w:r>
      <w:r>
        <w:rPr>
          <w:rFonts w:ascii="Arial" w:hAnsi="Arial" w:cs="Arial"/>
          <w:bCs/>
          <w:sz w:val="24"/>
          <w:szCs w:val="24"/>
        </w:rPr>
        <w:t xml:space="preserve"> cumplimiento de lo señalado en el artículo 63 Fracción XIII de la Constitución Política del Estado Libre y Soberano de Nuevo León y demás disposiciones legales aplicables, así como lo descrito en el apartado de Consideraciones del presente Dictamen, </w:t>
      </w:r>
      <w:r>
        <w:rPr>
          <w:rFonts w:ascii="Arial" w:hAnsi="Arial" w:cs="Arial"/>
          <w:b/>
          <w:bCs/>
          <w:sz w:val="24"/>
          <w:szCs w:val="24"/>
        </w:rPr>
        <w:t xml:space="preserve">SE </w:t>
      </w:r>
      <w:r w:rsidR="00A541EC">
        <w:rPr>
          <w:rFonts w:ascii="Arial" w:hAnsi="Arial" w:cs="Arial"/>
          <w:b/>
          <w:bCs/>
          <w:sz w:val="24"/>
          <w:szCs w:val="24"/>
        </w:rPr>
        <w:t>APRUEBA</w:t>
      </w:r>
      <w:r>
        <w:rPr>
          <w:rFonts w:ascii="Arial" w:hAnsi="Arial" w:cs="Arial"/>
          <w:bCs/>
          <w:sz w:val="24"/>
          <w:szCs w:val="24"/>
        </w:rPr>
        <w:t xml:space="preserve"> la Cuent</w:t>
      </w:r>
      <w:r w:rsidR="00155CE2">
        <w:rPr>
          <w:rFonts w:ascii="Arial" w:hAnsi="Arial" w:cs="Arial"/>
          <w:bCs/>
          <w:sz w:val="24"/>
          <w:szCs w:val="24"/>
        </w:rPr>
        <w:t>a Pública 2015</w:t>
      </w:r>
      <w:r>
        <w:rPr>
          <w:rFonts w:ascii="Arial" w:hAnsi="Arial" w:cs="Arial"/>
          <w:bCs/>
          <w:sz w:val="24"/>
          <w:szCs w:val="24"/>
        </w:rPr>
        <w:t xml:space="preserve"> de la </w:t>
      </w:r>
      <w:r>
        <w:rPr>
          <w:rFonts w:ascii="Arial" w:hAnsi="Arial" w:cs="Arial"/>
          <w:b/>
          <w:bCs/>
          <w:sz w:val="24"/>
          <w:szCs w:val="24"/>
        </w:rPr>
        <w:t>UNIVERSIDAD TECNOLÓGICA LINARES.</w:t>
      </w:r>
    </w:p>
    <w:p w:rsidR="002542EB" w:rsidRDefault="002542EB" w:rsidP="002542EB">
      <w:pPr>
        <w:spacing w:line="360" w:lineRule="auto"/>
        <w:ind w:firstLine="709"/>
        <w:jc w:val="both"/>
        <w:rPr>
          <w:rFonts w:ascii="Arial" w:hAnsi="Arial" w:cs="Arial"/>
          <w:b/>
          <w:bCs/>
          <w:sz w:val="24"/>
          <w:szCs w:val="24"/>
        </w:rPr>
      </w:pPr>
    </w:p>
    <w:p w:rsidR="00A541EC" w:rsidRDefault="002542EB" w:rsidP="005C14F6">
      <w:pPr>
        <w:spacing w:after="0" w:line="360" w:lineRule="auto"/>
        <w:ind w:firstLine="708"/>
        <w:jc w:val="both"/>
        <w:rPr>
          <w:rFonts w:ascii="Arial" w:hAnsi="Arial" w:cs="Arial"/>
          <w:b/>
          <w:bCs/>
          <w:sz w:val="24"/>
          <w:szCs w:val="24"/>
        </w:rPr>
      </w:pPr>
      <w:r w:rsidRPr="00472E79">
        <w:rPr>
          <w:rFonts w:ascii="Arial" w:hAnsi="Arial" w:cs="Arial"/>
          <w:b/>
          <w:bCs/>
          <w:sz w:val="24"/>
          <w:szCs w:val="24"/>
        </w:rPr>
        <w:t xml:space="preserve">CUARTO.- </w:t>
      </w:r>
      <w:r w:rsidR="00A541EC" w:rsidRPr="00472E79">
        <w:rPr>
          <w:rFonts w:ascii="Arial" w:hAnsi="Arial" w:cs="Arial"/>
          <w:bCs/>
          <w:sz w:val="24"/>
          <w:szCs w:val="24"/>
        </w:rPr>
        <w:t>Se instruye a la Auditoria Superior del Estado para que en términos del párrafo segundo del artículo 52 de la</w:t>
      </w:r>
      <w:r w:rsidR="00A541EC" w:rsidRPr="00472E79">
        <w:rPr>
          <w:rFonts w:ascii="Arial" w:hAnsi="Arial" w:cs="Arial"/>
          <w:bCs/>
          <w:sz w:val="24"/>
          <w:szCs w:val="24"/>
          <w:lang w:val="es-ES_tradnl"/>
        </w:rPr>
        <w:t xml:space="preserve"> </w:t>
      </w:r>
      <w:r w:rsidR="00A541EC" w:rsidRPr="00472E79">
        <w:rPr>
          <w:rFonts w:ascii="Arial" w:hAnsi="Arial" w:cs="Arial"/>
          <w:bCs/>
          <w:sz w:val="24"/>
          <w:szCs w:val="24"/>
        </w:rPr>
        <w:t xml:space="preserve">Ley de Fiscalización Superior del Estado de Nuevo León </w:t>
      </w:r>
      <w:r w:rsidR="00A541EC" w:rsidRPr="00472E79">
        <w:rPr>
          <w:rFonts w:ascii="Arial" w:hAnsi="Arial" w:cs="Arial"/>
          <w:b/>
          <w:bCs/>
          <w:sz w:val="24"/>
          <w:szCs w:val="24"/>
        </w:rPr>
        <w:t xml:space="preserve">EXPIDA EL FINIQUITO CORRESPONDIENTE, </w:t>
      </w:r>
      <w:r w:rsidR="00A541EC" w:rsidRPr="00472E79">
        <w:rPr>
          <w:rFonts w:ascii="Arial" w:hAnsi="Arial" w:cs="Arial"/>
          <w:bCs/>
          <w:sz w:val="24"/>
          <w:szCs w:val="24"/>
        </w:rPr>
        <w:t>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w:t>
      </w:r>
      <w:r w:rsidR="00A541EC">
        <w:rPr>
          <w:rFonts w:ascii="Arial" w:hAnsi="Arial" w:cs="Arial"/>
          <w:bCs/>
          <w:sz w:val="24"/>
          <w:szCs w:val="24"/>
        </w:rPr>
        <w:t xml:space="preserve"> </w:t>
      </w:r>
      <w:r w:rsidR="00A541EC" w:rsidRPr="00472E79">
        <w:rPr>
          <w:rFonts w:ascii="Arial" w:hAnsi="Arial" w:cs="Arial"/>
          <w:bCs/>
          <w:sz w:val="24"/>
          <w:szCs w:val="24"/>
        </w:rPr>
        <w:t>l</w:t>
      </w:r>
      <w:r w:rsidR="00A541EC">
        <w:rPr>
          <w:rFonts w:ascii="Arial" w:hAnsi="Arial" w:cs="Arial"/>
          <w:bCs/>
          <w:sz w:val="24"/>
          <w:szCs w:val="24"/>
        </w:rPr>
        <w:t xml:space="preserve">a </w:t>
      </w:r>
      <w:r w:rsidR="00A541EC">
        <w:rPr>
          <w:rFonts w:ascii="Arial" w:hAnsi="Arial" w:cs="Arial"/>
          <w:b/>
          <w:bCs/>
          <w:sz w:val="24"/>
          <w:szCs w:val="24"/>
        </w:rPr>
        <w:t>UNIVERSIDAD TECNOLÓGICA LINARES</w:t>
      </w:r>
      <w:r w:rsidR="00A541EC" w:rsidRPr="00472E79">
        <w:rPr>
          <w:rFonts w:ascii="Arial" w:hAnsi="Arial" w:cs="Arial"/>
          <w:b/>
          <w:bCs/>
          <w:sz w:val="24"/>
          <w:szCs w:val="24"/>
          <w:lang w:val="es-MX"/>
        </w:rPr>
        <w:t xml:space="preserve">, </w:t>
      </w:r>
      <w:r w:rsidR="00A541EC" w:rsidRPr="00472E79">
        <w:rPr>
          <w:rFonts w:ascii="Arial" w:hAnsi="Arial" w:cs="Arial"/>
          <w:bCs/>
          <w:sz w:val="24"/>
          <w:szCs w:val="24"/>
        </w:rPr>
        <w:t>correspondiente al ejercicio</w:t>
      </w:r>
      <w:r w:rsidR="00A541EC" w:rsidRPr="00472E79">
        <w:rPr>
          <w:rFonts w:ascii="Arial" w:hAnsi="Arial" w:cs="Arial"/>
          <w:b/>
          <w:bCs/>
          <w:sz w:val="24"/>
          <w:szCs w:val="24"/>
        </w:rPr>
        <w:t xml:space="preserve"> </w:t>
      </w:r>
      <w:r w:rsidR="00A541EC">
        <w:rPr>
          <w:rFonts w:ascii="Arial" w:hAnsi="Arial" w:cs="Arial"/>
          <w:b/>
          <w:bCs/>
          <w:sz w:val="24"/>
          <w:szCs w:val="24"/>
        </w:rPr>
        <w:t>2015</w:t>
      </w:r>
      <w:r w:rsidR="00A541EC" w:rsidRPr="00472E79">
        <w:rPr>
          <w:rFonts w:ascii="Arial" w:hAnsi="Arial" w:cs="Arial"/>
          <w:b/>
          <w:bCs/>
          <w:sz w:val="24"/>
          <w:szCs w:val="24"/>
        </w:rPr>
        <w:t>.</w:t>
      </w:r>
    </w:p>
    <w:p w:rsidR="00627D24" w:rsidRDefault="00627D24" w:rsidP="005C14F6">
      <w:pPr>
        <w:spacing w:after="0" w:line="360" w:lineRule="auto"/>
        <w:ind w:firstLine="708"/>
        <w:jc w:val="both"/>
        <w:rPr>
          <w:rFonts w:ascii="Arial" w:hAnsi="Arial" w:cs="Arial"/>
          <w:b/>
          <w:bCs/>
          <w:sz w:val="24"/>
          <w:szCs w:val="24"/>
        </w:rPr>
      </w:pPr>
    </w:p>
    <w:p w:rsidR="002542EB" w:rsidRDefault="002542EB" w:rsidP="005C14F6">
      <w:pPr>
        <w:spacing w:after="0" w:line="360" w:lineRule="auto"/>
        <w:ind w:firstLine="708"/>
        <w:jc w:val="both"/>
        <w:rPr>
          <w:rFonts w:ascii="Arial" w:hAnsi="Arial" w:cs="Arial"/>
          <w:b/>
          <w:sz w:val="24"/>
          <w:szCs w:val="24"/>
        </w:rPr>
      </w:pPr>
      <w:r>
        <w:rPr>
          <w:rFonts w:ascii="Arial" w:hAnsi="Arial" w:cs="Arial"/>
          <w:b/>
          <w:bCs/>
          <w:sz w:val="24"/>
          <w:szCs w:val="24"/>
        </w:rPr>
        <w:lastRenderedPageBreak/>
        <w:t>QUINTO.-</w:t>
      </w:r>
      <w:r>
        <w:rPr>
          <w:rFonts w:ascii="Arial" w:hAnsi="Arial" w:cs="Arial"/>
          <w:bCs/>
          <w:sz w:val="24"/>
          <w:szCs w:val="24"/>
        </w:rPr>
        <w:t xml:space="preserve"> Remítase copia a la </w:t>
      </w:r>
      <w:r w:rsidRPr="00CE0720">
        <w:rPr>
          <w:rFonts w:ascii="Arial" w:hAnsi="Arial" w:cs="Arial"/>
          <w:b/>
          <w:bCs/>
          <w:sz w:val="24"/>
          <w:szCs w:val="24"/>
        </w:rPr>
        <w:t>AUDITORÍA SUPE</w:t>
      </w:r>
      <w:r>
        <w:rPr>
          <w:rFonts w:ascii="Arial" w:hAnsi="Arial" w:cs="Arial"/>
          <w:b/>
          <w:bCs/>
          <w:sz w:val="24"/>
          <w:szCs w:val="24"/>
        </w:rPr>
        <w:t>R</w:t>
      </w:r>
      <w:r w:rsidRPr="00CE0720">
        <w:rPr>
          <w:rFonts w:ascii="Arial" w:hAnsi="Arial" w:cs="Arial"/>
          <w:b/>
          <w:bCs/>
          <w:sz w:val="24"/>
          <w:szCs w:val="24"/>
        </w:rPr>
        <w:t>IOR DEL ESTADO DE NUEVO LEÓN</w:t>
      </w:r>
      <w:r>
        <w:rPr>
          <w:rFonts w:ascii="Arial" w:hAnsi="Arial" w:cs="Arial"/>
          <w:bCs/>
          <w:sz w:val="24"/>
          <w:szCs w:val="24"/>
        </w:rPr>
        <w:t xml:space="preserve"> y la </w:t>
      </w:r>
      <w:r>
        <w:rPr>
          <w:rFonts w:ascii="Arial" w:hAnsi="Arial" w:cs="Arial"/>
          <w:b/>
          <w:bCs/>
          <w:sz w:val="24"/>
          <w:szCs w:val="24"/>
        </w:rPr>
        <w:t>UNIVERSIDAD TECNOLÓGICA LINARES,</w:t>
      </w:r>
      <w:r>
        <w:rPr>
          <w:rFonts w:ascii="Arial" w:hAnsi="Arial" w:cs="Arial"/>
          <w:bCs/>
          <w:sz w:val="24"/>
          <w:szCs w:val="24"/>
        </w:rPr>
        <w:t xml:space="preserve"> para su conocimiento y efectos legales a que haya lugar.</w:t>
      </w:r>
    </w:p>
    <w:p w:rsidR="005C14F6" w:rsidRPr="005C14F6" w:rsidRDefault="005C14F6" w:rsidP="005C14F6">
      <w:pPr>
        <w:spacing w:after="0" w:line="360" w:lineRule="auto"/>
        <w:ind w:firstLine="708"/>
        <w:jc w:val="both"/>
        <w:rPr>
          <w:rFonts w:ascii="Arial" w:hAnsi="Arial" w:cs="Arial"/>
          <w:b/>
          <w:sz w:val="24"/>
          <w:szCs w:val="24"/>
        </w:rPr>
      </w:pPr>
    </w:p>
    <w:p w:rsidR="002542EB" w:rsidRPr="007F749B" w:rsidRDefault="002542EB" w:rsidP="002542EB">
      <w:pPr>
        <w:spacing w:after="0"/>
        <w:jc w:val="center"/>
        <w:rPr>
          <w:rFonts w:ascii="Arial" w:hAnsi="Arial" w:cs="Arial"/>
        </w:rPr>
      </w:pPr>
      <w:r>
        <w:rPr>
          <w:rFonts w:ascii="Arial" w:hAnsi="Arial" w:cs="Arial"/>
          <w:b/>
          <w:bCs/>
        </w:rPr>
        <w:t>MONTERREY</w:t>
      </w:r>
      <w:r w:rsidRPr="007F749B">
        <w:rPr>
          <w:rFonts w:ascii="Arial" w:hAnsi="Arial" w:cs="Arial"/>
          <w:b/>
          <w:bCs/>
        </w:rPr>
        <w:t xml:space="preserve"> NUEVO LEÓN</w:t>
      </w:r>
      <w:r>
        <w:rPr>
          <w:rFonts w:ascii="Arial" w:hAnsi="Arial" w:cs="Arial"/>
          <w:b/>
          <w:bCs/>
        </w:rPr>
        <w:t xml:space="preserve"> </w:t>
      </w:r>
      <w:r w:rsidR="00500DDE">
        <w:rPr>
          <w:rFonts w:ascii="Arial" w:hAnsi="Arial" w:cs="Arial"/>
          <w:b/>
          <w:bCs/>
        </w:rPr>
        <w:t xml:space="preserve"> </w:t>
      </w:r>
      <w:bookmarkStart w:id="0" w:name="_GoBack"/>
      <w:bookmarkEnd w:id="0"/>
    </w:p>
    <w:p w:rsidR="002542EB" w:rsidRPr="00FE07C7" w:rsidRDefault="002542EB" w:rsidP="002542EB">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2542EB" w:rsidRPr="009A7A82" w:rsidRDefault="002542EB" w:rsidP="002542EB">
      <w:pPr>
        <w:rPr>
          <w:lang w:val="es-ES_tradnl" w:eastAsia="ar-SA"/>
        </w:rPr>
      </w:pPr>
    </w:p>
    <w:p w:rsidR="002542EB" w:rsidRDefault="002542EB" w:rsidP="002542EB">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PRESIDENTE:</w:t>
      </w:r>
    </w:p>
    <w:p w:rsidR="002542EB" w:rsidRDefault="002542EB" w:rsidP="002542EB">
      <w:pPr>
        <w:pStyle w:val="Body1"/>
        <w:widowControl w:val="0"/>
        <w:tabs>
          <w:tab w:val="left" w:pos="3828"/>
        </w:tabs>
        <w:suppressAutoHyphens/>
        <w:spacing w:after="120" w:line="360" w:lineRule="auto"/>
        <w:jc w:val="center"/>
        <w:rPr>
          <w:rFonts w:ascii="Arial" w:hAnsi="Arial" w:cs="Arial"/>
          <w:b/>
          <w:sz w:val="22"/>
          <w:lang w:val="es-ES_tradnl"/>
        </w:rPr>
      </w:pPr>
    </w:p>
    <w:p w:rsidR="002542EB" w:rsidRPr="000A10A8" w:rsidRDefault="00155CE2" w:rsidP="002542EB">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tbl>
      <w:tblPr>
        <w:tblW w:w="8644" w:type="dxa"/>
        <w:jc w:val="center"/>
        <w:tblLayout w:type="fixed"/>
        <w:tblLook w:val="04A0" w:firstRow="1" w:lastRow="0" w:firstColumn="1" w:lastColumn="0" w:noHBand="0" w:noVBand="1"/>
      </w:tblPr>
      <w:tblGrid>
        <w:gridCol w:w="4322"/>
        <w:gridCol w:w="4322"/>
      </w:tblGrid>
      <w:tr w:rsidR="002542EB" w:rsidTr="005C14F6">
        <w:trPr>
          <w:cantSplit/>
          <w:trHeight w:val="333"/>
          <w:jc w:val="center"/>
        </w:trPr>
        <w:tc>
          <w:tcPr>
            <w:tcW w:w="4322" w:type="dxa"/>
            <w:tcMar>
              <w:top w:w="80" w:type="dxa"/>
              <w:left w:w="0" w:type="dxa"/>
              <w:bottom w:w="80" w:type="dxa"/>
              <w:right w:w="0" w:type="dxa"/>
            </w:tcMar>
          </w:tcPr>
          <w:p w:rsidR="002542EB" w:rsidRDefault="002542EB" w:rsidP="005C7DA2">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2542EB" w:rsidRDefault="002542EB" w:rsidP="005C7DA2">
            <w:pPr>
              <w:outlineLvl w:val="0"/>
              <w:rPr>
                <w:rFonts w:ascii="Arial" w:eastAsia="Arial Unicode MS" w:hAnsi="Arial" w:cs="Arial"/>
                <w:b/>
                <w:color w:val="000000"/>
                <w:lang w:val="es-MX"/>
              </w:rPr>
            </w:pPr>
          </w:p>
          <w:p w:rsidR="002542EB" w:rsidRDefault="002542EB" w:rsidP="005C7DA2">
            <w:pPr>
              <w:jc w:val="center"/>
              <w:outlineLvl w:val="0"/>
              <w:rPr>
                <w:rFonts w:ascii="Arial" w:eastAsia="Arial Unicode MS" w:hAnsi="Arial" w:cs="Arial"/>
                <w:b/>
                <w:color w:val="000000"/>
                <w:lang w:val="es-MX"/>
              </w:rPr>
            </w:pPr>
          </w:p>
          <w:p w:rsidR="002542EB" w:rsidRDefault="002542EB" w:rsidP="005C7DA2">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2542EB" w:rsidRDefault="002542EB" w:rsidP="005C7DA2">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2542EB" w:rsidRDefault="002542EB" w:rsidP="005C7DA2">
            <w:pPr>
              <w:outlineLvl w:val="0"/>
              <w:rPr>
                <w:rFonts w:ascii="Arial" w:eastAsia="Arial Unicode MS" w:hAnsi="Arial" w:cs="Arial"/>
                <w:b/>
                <w:color w:val="000000"/>
                <w:lang w:val="es-MX"/>
              </w:rPr>
            </w:pPr>
          </w:p>
          <w:p w:rsidR="002542EB" w:rsidRDefault="002542EB" w:rsidP="005C7DA2">
            <w:pPr>
              <w:outlineLvl w:val="0"/>
              <w:rPr>
                <w:rFonts w:ascii="Arial" w:eastAsia="Arial Unicode MS" w:hAnsi="Arial" w:cs="Arial"/>
                <w:b/>
                <w:color w:val="000000"/>
                <w:lang w:val="es-MX"/>
              </w:rPr>
            </w:pPr>
          </w:p>
          <w:p w:rsidR="002542EB" w:rsidRDefault="002542EB" w:rsidP="005C7DA2">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2542EB" w:rsidTr="005C14F6">
        <w:trPr>
          <w:cantSplit/>
          <w:trHeight w:val="333"/>
          <w:jc w:val="center"/>
        </w:trPr>
        <w:tc>
          <w:tcPr>
            <w:tcW w:w="4322" w:type="dxa"/>
            <w:tcMar>
              <w:top w:w="80" w:type="dxa"/>
              <w:left w:w="0" w:type="dxa"/>
              <w:bottom w:w="80" w:type="dxa"/>
              <w:right w:w="0" w:type="dxa"/>
            </w:tcMar>
          </w:tcPr>
          <w:p w:rsidR="002542EB" w:rsidRDefault="002542EB" w:rsidP="005C7DA2">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2542EB" w:rsidRDefault="002542EB" w:rsidP="005C7DA2">
            <w:pPr>
              <w:outlineLvl w:val="0"/>
              <w:rPr>
                <w:rFonts w:ascii="Arial" w:eastAsia="Arial Unicode MS" w:hAnsi="Arial" w:cs="Arial"/>
                <w:b/>
                <w:color w:val="000000"/>
                <w:lang w:val="es-MX"/>
              </w:rPr>
            </w:pPr>
          </w:p>
          <w:p w:rsidR="002542EB" w:rsidRDefault="002542EB" w:rsidP="005C7DA2">
            <w:pPr>
              <w:jc w:val="center"/>
              <w:outlineLvl w:val="0"/>
              <w:rPr>
                <w:rFonts w:ascii="Arial" w:eastAsia="Arial Unicode MS" w:hAnsi="Arial" w:cs="Arial"/>
                <w:color w:val="000000"/>
                <w:lang w:val="es-MX"/>
              </w:rPr>
            </w:pPr>
          </w:p>
          <w:p w:rsidR="002542EB" w:rsidRDefault="002542EB" w:rsidP="005C7DA2">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2542EB" w:rsidRDefault="002542EB" w:rsidP="005C7DA2">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2542EB" w:rsidRDefault="002542EB" w:rsidP="005C7DA2">
            <w:pPr>
              <w:jc w:val="center"/>
              <w:outlineLvl w:val="0"/>
              <w:rPr>
                <w:rFonts w:ascii="Arial" w:eastAsia="Arial Unicode MS" w:hAnsi="Arial" w:cs="Arial"/>
                <w:b/>
                <w:color w:val="000000"/>
                <w:lang w:val="es-MX"/>
              </w:rPr>
            </w:pPr>
          </w:p>
          <w:p w:rsidR="002542EB" w:rsidRDefault="002542EB" w:rsidP="005C7DA2">
            <w:pPr>
              <w:outlineLvl w:val="0"/>
              <w:rPr>
                <w:rFonts w:ascii="Arial" w:eastAsia="Arial Unicode MS" w:hAnsi="Arial" w:cs="Arial"/>
                <w:b/>
                <w:color w:val="000000"/>
                <w:lang w:val="es-MX"/>
              </w:rPr>
            </w:pPr>
          </w:p>
          <w:p w:rsidR="002542EB" w:rsidRDefault="002542EB" w:rsidP="005C7DA2">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2542EB" w:rsidTr="005C14F6">
        <w:trPr>
          <w:cantSplit/>
          <w:trHeight w:val="333"/>
          <w:jc w:val="center"/>
        </w:trPr>
        <w:tc>
          <w:tcPr>
            <w:tcW w:w="4322" w:type="dxa"/>
            <w:tcMar>
              <w:top w:w="80" w:type="dxa"/>
              <w:left w:w="0" w:type="dxa"/>
              <w:bottom w:w="80" w:type="dxa"/>
              <w:right w:w="0" w:type="dxa"/>
            </w:tcMar>
          </w:tcPr>
          <w:p w:rsidR="002542EB" w:rsidRDefault="002542EB" w:rsidP="005C7DA2">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2542EB" w:rsidRDefault="002542EB" w:rsidP="005C7DA2">
            <w:pPr>
              <w:jc w:val="center"/>
              <w:outlineLvl w:val="0"/>
              <w:rPr>
                <w:rFonts w:ascii="Arial" w:eastAsia="Arial Unicode MS" w:hAnsi="Arial" w:cs="Arial"/>
                <w:b/>
                <w:color w:val="000000"/>
                <w:lang w:val="es-MX"/>
              </w:rPr>
            </w:pPr>
          </w:p>
          <w:p w:rsidR="002542EB" w:rsidRDefault="002542EB" w:rsidP="005C7DA2">
            <w:pPr>
              <w:outlineLvl w:val="0"/>
              <w:rPr>
                <w:rFonts w:ascii="Arial" w:eastAsia="Arial Unicode MS" w:hAnsi="Arial" w:cs="Arial"/>
                <w:b/>
                <w:color w:val="000000"/>
                <w:lang w:val="es-MX"/>
              </w:rPr>
            </w:pPr>
          </w:p>
          <w:p w:rsidR="002542EB" w:rsidRDefault="002542EB" w:rsidP="005C7DA2">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2542EB" w:rsidRDefault="002542EB" w:rsidP="005C7DA2">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2542EB" w:rsidRDefault="002542EB" w:rsidP="005C7DA2">
            <w:pPr>
              <w:jc w:val="center"/>
              <w:outlineLvl w:val="0"/>
              <w:rPr>
                <w:rFonts w:ascii="Arial" w:eastAsia="Arial Unicode MS" w:hAnsi="Arial" w:cs="Arial"/>
                <w:b/>
                <w:color w:val="000000"/>
                <w:lang w:val="es-MX"/>
              </w:rPr>
            </w:pPr>
          </w:p>
          <w:p w:rsidR="002542EB" w:rsidRDefault="002542EB" w:rsidP="005C7DA2">
            <w:pPr>
              <w:outlineLvl w:val="0"/>
              <w:rPr>
                <w:rFonts w:ascii="Arial" w:eastAsia="Arial Unicode MS" w:hAnsi="Arial" w:cs="Arial"/>
                <w:b/>
                <w:color w:val="000000"/>
                <w:lang w:val="es-MX"/>
              </w:rPr>
            </w:pPr>
          </w:p>
          <w:p w:rsidR="002542EB" w:rsidRDefault="002542EB" w:rsidP="005C7DA2">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2542EB" w:rsidTr="005C14F6">
        <w:trPr>
          <w:cantSplit/>
          <w:trHeight w:val="333"/>
          <w:jc w:val="center"/>
        </w:trPr>
        <w:tc>
          <w:tcPr>
            <w:tcW w:w="4322" w:type="dxa"/>
            <w:tcMar>
              <w:top w:w="80" w:type="dxa"/>
              <w:left w:w="0" w:type="dxa"/>
              <w:bottom w:w="80" w:type="dxa"/>
              <w:right w:w="0" w:type="dxa"/>
            </w:tcMar>
          </w:tcPr>
          <w:p w:rsidR="002542EB" w:rsidRDefault="002542EB" w:rsidP="005C7DA2">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2542EB" w:rsidRDefault="002542EB" w:rsidP="005C7DA2">
            <w:pPr>
              <w:outlineLvl w:val="0"/>
              <w:rPr>
                <w:rFonts w:ascii="Arial" w:eastAsia="Arial Unicode MS" w:hAnsi="Arial" w:cs="Arial"/>
                <w:b/>
                <w:color w:val="000000"/>
                <w:lang w:val="es-MX"/>
              </w:rPr>
            </w:pPr>
          </w:p>
          <w:p w:rsidR="002542EB" w:rsidRDefault="002542EB" w:rsidP="005C7DA2">
            <w:pPr>
              <w:outlineLvl w:val="0"/>
              <w:rPr>
                <w:rFonts w:ascii="Arial" w:eastAsia="Arial Unicode MS" w:hAnsi="Arial" w:cs="Arial"/>
                <w:b/>
                <w:color w:val="000000"/>
                <w:lang w:val="es-MX"/>
              </w:rPr>
            </w:pPr>
          </w:p>
          <w:p w:rsidR="002542EB" w:rsidRDefault="002542EB" w:rsidP="005C7DA2">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2542EB" w:rsidRDefault="002542EB" w:rsidP="005C7DA2">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2542EB" w:rsidRDefault="002542EB" w:rsidP="005C7DA2">
            <w:pPr>
              <w:jc w:val="center"/>
              <w:outlineLvl w:val="0"/>
              <w:rPr>
                <w:rFonts w:ascii="Arial" w:eastAsia="Arial Unicode MS" w:hAnsi="Arial" w:cs="Arial"/>
                <w:b/>
                <w:color w:val="000000"/>
                <w:lang w:val="it-IT"/>
              </w:rPr>
            </w:pPr>
          </w:p>
          <w:p w:rsidR="002542EB" w:rsidRDefault="002542EB" w:rsidP="005C7DA2">
            <w:pPr>
              <w:outlineLvl w:val="0"/>
              <w:rPr>
                <w:rFonts w:ascii="Arial" w:eastAsia="Arial Unicode MS" w:hAnsi="Arial" w:cs="Arial"/>
                <w:b/>
                <w:color w:val="000000"/>
                <w:lang w:val="it-IT"/>
              </w:rPr>
            </w:pPr>
          </w:p>
          <w:p w:rsidR="002542EB" w:rsidRDefault="002542EB" w:rsidP="005C7DA2">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2542EB" w:rsidTr="005C14F6">
        <w:trPr>
          <w:cantSplit/>
          <w:trHeight w:val="333"/>
          <w:jc w:val="center"/>
        </w:trPr>
        <w:tc>
          <w:tcPr>
            <w:tcW w:w="4322" w:type="dxa"/>
            <w:tcMar>
              <w:top w:w="80" w:type="dxa"/>
              <w:left w:w="0" w:type="dxa"/>
              <w:bottom w:w="80" w:type="dxa"/>
              <w:right w:w="0" w:type="dxa"/>
            </w:tcMar>
          </w:tcPr>
          <w:p w:rsidR="002542EB" w:rsidRDefault="002542EB" w:rsidP="005C7DA2">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2542EB" w:rsidRDefault="002542EB" w:rsidP="005C7DA2">
            <w:pPr>
              <w:jc w:val="center"/>
              <w:outlineLvl w:val="0"/>
              <w:rPr>
                <w:rFonts w:ascii="Arial" w:eastAsia="Arial Unicode MS" w:hAnsi="Arial" w:cs="Arial"/>
                <w:b/>
                <w:color w:val="000000"/>
                <w:lang w:val="es-MX"/>
              </w:rPr>
            </w:pPr>
          </w:p>
          <w:p w:rsidR="002542EB" w:rsidRDefault="002542EB" w:rsidP="005C7DA2">
            <w:pPr>
              <w:outlineLvl w:val="0"/>
              <w:rPr>
                <w:rFonts w:ascii="Arial" w:eastAsia="Arial Unicode MS" w:hAnsi="Arial" w:cs="Arial"/>
                <w:b/>
                <w:color w:val="000000"/>
                <w:lang w:val="es-MX"/>
              </w:rPr>
            </w:pPr>
          </w:p>
          <w:p w:rsidR="002542EB" w:rsidRDefault="002542EB" w:rsidP="005C7DA2">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2542EB" w:rsidRDefault="002542EB" w:rsidP="005C7DA2">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2542EB" w:rsidRDefault="002542EB" w:rsidP="005C7DA2">
            <w:pPr>
              <w:outlineLvl w:val="0"/>
              <w:rPr>
                <w:rFonts w:ascii="Arial" w:eastAsia="Arial Unicode MS" w:hAnsi="Arial" w:cs="Arial"/>
                <w:b/>
                <w:color w:val="000000"/>
                <w:lang w:val="es-MX"/>
              </w:rPr>
            </w:pPr>
          </w:p>
          <w:p w:rsidR="002542EB" w:rsidRDefault="002542EB" w:rsidP="005C7DA2">
            <w:pPr>
              <w:jc w:val="center"/>
              <w:outlineLvl w:val="0"/>
              <w:rPr>
                <w:rFonts w:ascii="Arial" w:eastAsia="Arial Unicode MS" w:hAnsi="Arial" w:cs="Arial"/>
                <w:b/>
                <w:color w:val="000000"/>
                <w:lang w:val="es-MX"/>
              </w:rPr>
            </w:pPr>
          </w:p>
          <w:p w:rsidR="002542EB" w:rsidRDefault="002542EB" w:rsidP="005C7DA2">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2542EB" w:rsidRDefault="002542EB" w:rsidP="002542EB"/>
    <w:p w:rsidR="002542EB" w:rsidRPr="009C0345" w:rsidRDefault="002542EB" w:rsidP="002542EB">
      <w:pPr>
        <w:spacing w:line="360" w:lineRule="auto"/>
        <w:ind w:right="-357"/>
        <w:jc w:val="center"/>
      </w:pPr>
    </w:p>
    <w:p w:rsidR="005C7DA2" w:rsidRDefault="005C7DA2"/>
    <w:sectPr w:rsidR="005C7DA2" w:rsidSect="00500DDE">
      <w:headerReference w:type="default" r:id="rId12"/>
      <w:footerReference w:type="default" r:id="rId13"/>
      <w:pgSz w:w="12240" w:h="15840" w:code="1"/>
      <w:pgMar w:top="3799" w:right="851" w:bottom="1418" w:left="3062"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0B4" w:rsidRDefault="00A950B4" w:rsidP="00AC2569">
      <w:pPr>
        <w:spacing w:after="0" w:line="240" w:lineRule="auto"/>
      </w:pPr>
      <w:r>
        <w:separator/>
      </w:r>
    </w:p>
  </w:endnote>
  <w:endnote w:type="continuationSeparator" w:id="0">
    <w:p w:rsidR="00A950B4" w:rsidRDefault="00A950B4" w:rsidP="00AC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E71" w:rsidRDefault="00CD2E71" w:rsidP="00AC2569">
    <w:pPr>
      <w:pStyle w:val="Piedepgina"/>
      <w:jc w:val="center"/>
      <w:rPr>
        <w:rFonts w:ascii="Arial" w:hAnsi="Arial" w:cs="Arial"/>
        <w:sz w:val="14"/>
        <w:szCs w:val="14"/>
      </w:rPr>
    </w:pPr>
  </w:p>
  <w:p w:rsidR="00CD2E71" w:rsidRPr="00AC2569" w:rsidRDefault="00CD2E71" w:rsidP="00AC2569">
    <w:pPr>
      <w:pStyle w:val="Piedepgina"/>
      <w:jc w:val="center"/>
      <w:rPr>
        <w:rFonts w:ascii="Arial" w:hAnsi="Arial" w:cs="Arial"/>
        <w:sz w:val="14"/>
        <w:szCs w:val="14"/>
      </w:rPr>
    </w:pPr>
    <w:r w:rsidRPr="00AC2569">
      <w:rPr>
        <w:rFonts w:ascii="Arial" w:hAnsi="Arial" w:cs="Arial"/>
        <w:sz w:val="14"/>
        <w:szCs w:val="14"/>
      </w:rPr>
      <w:t>Comisión de Hacienda del Estado</w:t>
    </w:r>
  </w:p>
  <w:p w:rsidR="00CD2E71" w:rsidRPr="00AC2569" w:rsidRDefault="00CD2E71" w:rsidP="00AC2569">
    <w:pPr>
      <w:pStyle w:val="Piedepgina"/>
      <w:jc w:val="center"/>
      <w:rPr>
        <w:rFonts w:ascii="Arial" w:hAnsi="Arial" w:cs="Arial"/>
        <w:sz w:val="14"/>
        <w:szCs w:val="14"/>
      </w:rPr>
    </w:pPr>
    <w:r w:rsidRPr="00AC2569">
      <w:rPr>
        <w:rFonts w:ascii="Arial" w:hAnsi="Arial" w:cs="Arial"/>
        <w:sz w:val="14"/>
        <w:szCs w:val="14"/>
      </w:rPr>
      <w:t>Dictamen del Expediente 10462</w:t>
    </w:r>
    <w:r>
      <w:rPr>
        <w:rFonts w:ascii="Arial" w:hAnsi="Arial" w:cs="Arial"/>
        <w:sz w:val="14"/>
        <w:szCs w:val="14"/>
      </w:rPr>
      <w:t xml:space="preserve">/LXXIV Cuenta Pública 2015 de la Universidad Tecnológica de Linares. </w:t>
    </w:r>
  </w:p>
  <w:p w:rsidR="00CD2E71" w:rsidRDefault="00CD2E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0B4" w:rsidRDefault="00A950B4" w:rsidP="00AC2569">
      <w:pPr>
        <w:spacing w:after="0" w:line="240" w:lineRule="auto"/>
      </w:pPr>
      <w:r>
        <w:separator/>
      </w:r>
    </w:p>
  </w:footnote>
  <w:footnote w:type="continuationSeparator" w:id="0">
    <w:p w:rsidR="00A950B4" w:rsidRDefault="00A950B4" w:rsidP="00AC2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070844"/>
      <w:docPartObj>
        <w:docPartGallery w:val="Page Numbers (Top of Page)"/>
        <w:docPartUnique/>
      </w:docPartObj>
    </w:sdtPr>
    <w:sdtContent>
      <w:p w:rsidR="00C333F1" w:rsidRDefault="00C333F1">
        <w:pPr>
          <w:pStyle w:val="Encabezado"/>
          <w:jc w:val="right"/>
        </w:pPr>
        <w:r>
          <w:fldChar w:fldCharType="begin"/>
        </w:r>
        <w:r>
          <w:instrText>PAGE   \* MERGEFORMAT</w:instrText>
        </w:r>
        <w:r>
          <w:fldChar w:fldCharType="separate"/>
        </w:r>
        <w:r>
          <w:rPr>
            <w:noProof/>
          </w:rPr>
          <w:t>47</w:t>
        </w:r>
        <w:r>
          <w:fldChar w:fldCharType="end"/>
        </w:r>
      </w:p>
    </w:sdtContent>
  </w:sdt>
  <w:p w:rsidR="00C333F1" w:rsidRDefault="00C333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3B"/>
    <w:rsid w:val="00155CE2"/>
    <w:rsid w:val="002542EB"/>
    <w:rsid w:val="00371CCE"/>
    <w:rsid w:val="00374B6D"/>
    <w:rsid w:val="003A5CB6"/>
    <w:rsid w:val="00436130"/>
    <w:rsid w:val="00463A5A"/>
    <w:rsid w:val="00500DDE"/>
    <w:rsid w:val="00577AE3"/>
    <w:rsid w:val="00596D08"/>
    <w:rsid w:val="005A2AE8"/>
    <w:rsid w:val="005C14F6"/>
    <w:rsid w:val="005C7DA2"/>
    <w:rsid w:val="00614918"/>
    <w:rsid w:val="00627D24"/>
    <w:rsid w:val="007F5C2C"/>
    <w:rsid w:val="00850033"/>
    <w:rsid w:val="0086309C"/>
    <w:rsid w:val="008F541A"/>
    <w:rsid w:val="009A27FC"/>
    <w:rsid w:val="00A203A0"/>
    <w:rsid w:val="00A541EC"/>
    <w:rsid w:val="00A92F01"/>
    <w:rsid w:val="00A950B4"/>
    <w:rsid w:val="00A95E52"/>
    <w:rsid w:val="00AA1573"/>
    <w:rsid w:val="00AC2569"/>
    <w:rsid w:val="00B54B51"/>
    <w:rsid w:val="00BC0483"/>
    <w:rsid w:val="00C333F1"/>
    <w:rsid w:val="00CA530F"/>
    <w:rsid w:val="00CC0C96"/>
    <w:rsid w:val="00CD2E71"/>
    <w:rsid w:val="00D36B94"/>
    <w:rsid w:val="00D70D8C"/>
    <w:rsid w:val="00DD216E"/>
    <w:rsid w:val="00E24D3B"/>
    <w:rsid w:val="00EC1740"/>
    <w:rsid w:val="00F408E4"/>
    <w:rsid w:val="00F917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512C18-0303-490A-AB9A-06537123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2EB"/>
    <w:pPr>
      <w:spacing w:after="200" w:line="276" w:lineRule="auto"/>
    </w:pPr>
    <w:rPr>
      <w:rFonts w:ascii="Calibri" w:eastAsia="Calibri" w:hAnsi="Calibri" w:cs="Calibri"/>
      <w:lang w:val="es-ES"/>
    </w:rPr>
  </w:style>
  <w:style w:type="paragraph" w:styleId="Ttulo1">
    <w:name w:val="heading 1"/>
    <w:basedOn w:val="Normal"/>
    <w:next w:val="Normal"/>
    <w:link w:val="Ttulo1Car"/>
    <w:qFormat/>
    <w:rsid w:val="002542EB"/>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42EB"/>
    <w:rPr>
      <w:rFonts w:ascii="Helvetica" w:eastAsia="Times New Roman" w:hAnsi="Helvetica" w:cs="Helvetica"/>
      <w:sz w:val="28"/>
      <w:szCs w:val="28"/>
      <w:u w:val="single"/>
      <w:lang w:val="es-ES_tradnl" w:eastAsia="ar-SA"/>
    </w:rPr>
  </w:style>
  <w:style w:type="paragraph" w:styleId="Prrafodelista">
    <w:name w:val="List Paragraph"/>
    <w:basedOn w:val="Normal"/>
    <w:link w:val="PrrafodelistaCar"/>
    <w:uiPriority w:val="34"/>
    <w:qFormat/>
    <w:rsid w:val="002542EB"/>
    <w:pPr>
      <w:ind w:left="720"/>
    </w:pPr>
  </w:style>
  <w:style w:type="paragraph" w:styleId="Textoindependiente">
    <w:name w:val="Body Text"/>
    <w:aliases w:val="Car Car Car,Car Car Car Car"/>
    <w:basedOn w:val="Normal"/>
    <w:link w:val="TextoindependienteCar"/>
    <w:rsid w:val="002542EB"/>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rsid w:val="002542EB"/>
    <w:rPr>
      <w:rFonts w:ascii="Helvetica" w:eastAsia="Times New Roman" w:hAnsi="Helvetica" w:cs="Helvetica"/>
      <w:sz w:val="28"/>
      <w:szCs w:val="28"/>
      <w:lang w:val="es-ES" w:eastAsia="ar-SA"/>
    </w:rPr>
  </w:style>
  <w:style w:type="paragraph" w:customStyle="1" w:styleId="ecxmsonormal">
    <w:name w:val="ecxmsonormal"/>
    <w:basedOn w:val="Normal"/>
    <w:rsid w:val="002542EB"/>
    <w:pPr>
      <w:spacing w:after="324" w:line="240" w:lineRule="auto"/>
    </w:pPr>
    <w:rPr>
      <w:rFonts w:ascii="Times New Roman" w:eastAsia="Times New Roman" w:hAnsi="Times New Roman" w:cs="Times New Roman"/>
      <w:sz w:val="24"/>
      <w:szCs w:val="24"/>
      <w:lang w:val="es-MX" w:eastAsia="es-MX"/>
    </w:rPr>
  </w:style>
  <w:style w:type="character" w:customStyle="1" w:styleId="PrrafodelistaCar">
    <w:name w:val="Párrafo de lista Car"/>
    <w:basedOn w:val="Fuentedeprrafopredeter"/>
    <w:link w:val="Prrafodelista"/>
    <w:uiPriority w:val="34"/>
    <w:rsid w:val="002542EB"/>
    <w:rPr>
      <w:rFonts w:ascii="Calibri" w:eastAsia="Calibri" w:hAnsi="Calibri" w:cs="Calibri"/>
      <w:lang w:val="es-ES"/>
    </w:rPr>
  </w:style>
  <w:style w:type="paragraph" w:customStyle="1" w:styleId="Body1">
    <w:name w:val="Body 1"/>
    <w:rsid w:val="002542EB"/>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Encabezado">
    <w:name w:val="header"/>
    <w:basedOn w:val="Normal"/>
    <w:link w:val="EncabezadoCar"/>
    <w:uiPriority w:val="99"/>
    <w:unhideWhenUsed/>
    <w:rsid w:val="00AC25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2569"/>
    <w:rPr>
      <w:rFonts w:ascii="Calibri" w:eastAsia="Calibri" w:hAnsi="Calibri" w:cs="Calibri"/>
      <w:lang w:val="es-ES"/>
    </w:rPr>
  </w:style>
  <w:style w:type="paragraph" w:styleId="Piedepgina">
    <w:name w:val="footer"/>
    <w:basedOn w:val="Normal"/>
    <w:link w:val="PiedepginaCar"/>
    <w:uiPriority w:val="99"/>
    <w:unhideWhenUsed/>
    <w:rsid w:val="00AC25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2569"/>
    <w:rPr>
      <w:rFonts w:ascii="Calibri" w:eastAsia="Calibri" w:hAnsi="Calibri" w:cs="Calibri"/>
      <w:lang w:val="es-ES"/>
    </w:rPr>
  </w:style>
  <w:style w:type="paragraph" w:styleId="Textodeglobo">
    <w:name w:val="Balloon Text"/>
    <w:basedOn w:val="Normal"/>
    <w:link w:val="TextodegloboCar"/>
    <w:uiPriority w:val="99"/>
    <w:semiHidden/>
    <w:unhideWhenUsed/>
    <w:rsid w:val="005C14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14F6"/>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7854</Words>
  <Characters>43198</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Elias Quintero Ramirez</dc:creator>
  <cp:keywords/>
  <dc:description/>
  <cp:lastModifiedBy>operador_pc</cp:lastModifiedBy>
  <cp:revision>5</cp:revision>
  <cp:lastPrinted>2017-03-07T15:20:00Z</cp:lastPrinted>
  <dcterms:created xsi:type="dcterms:W3CDTF">2016-12-18T16:13:00Z</dcterms:created>
  <dcterms:modified xsi:type="dcterms:W3CDTF">2017-03-07T15:20:00Z</dcterms:modified>
</cp:coreProperties>
</file>