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0B" w:rsidRPr="00513CE9" w:rsidRDefault="00A14E0B" w:rsidP="00A14E0B">
      <w:pPr>
        <w:rPr>
          <w:rFonts w:ascii="Arial" w:hAnsi="Arial" w:cs="Arial"/>
          <w:b/>
          <w:bCs/>
          <w:sz w:val="24"/>
          <w:szCs w:val="24"/>
        </w:rPr>
      </w:pPr>
      <w:r w:rsidRPr="00513CE9">
        <w:rPr>
          <w:rFonts w:ascii="Arial" w:hAnsi="Arial" w:cs="Arial"/>
          <w:b/>
          <w:bCs/>
          <w:sz w:val="24"/>
          <w:szCs w:val="24"/>
        </w:rPr>
        <w:t>HONORABLE ASAMBLEA:</w:t>
      </w:r>
    </w:p>
    <w:p w:rsidR="00A14E0B" w:rsidRDefault="00A14E0B" w:rsidP="00A14E0B">
      <w:pPr>
        <w:ind w:firstLine="709"/>
        <w:jc w:val="both"/>
        <w:rPr>
          <w:rFonts w:ascii="Arial" w:hAnsi="Arial" w:cs="Arial"/>
          <w:sz w:val="24"/>
        </w:rPr>
      </w:pPr>
    </w:p>
    <w:p w:rsidR="00A14E0B" w:rsidRPr="00117EB1" w:rsidRDefault="00A14E0B" w:rsidP="00A14E0B">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 dictamen en fecha 14 de noviembre del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00B144F4">
        <w:rPr>
          <w:rFonts w:ascii="Arial" w:hAnsi="Arial" w:cs="Arial"/>
          <w:sz w:val="24"/>
        </w:rPr>
        <w:t xml:space="preserve"> </w:t>
      </w:r>
      <w:r>
        <w:rPr>
          <w:rFonts w:ascii="Arial" w:hAnsi="Arial" w:cs="Arial"/>
          <w:sz w:val="24"/>
        </w:rPr>
        <w:t xml:space="preserve">del </w:t>
      </w:r>
      <w:r w:rsidR="00864192">
        <w:rPr>
          <w:rFonts w:ascii="Arial" w:hAnsi="Arial" w:cs="Arial"/>
          <w:b/>
          <w:sz w:val="24"/>
        </w:rPr>
        <w:t xml:space="preserve">FIDEICOMISO </w:t>
      </w:r>
      <w:r>
        <w:rPr>
          <w:rFonts w:ascii="Arial" w:hAnsi="Arial" w:cs="Arial"/>
          <w:b/>
          <w:sz w:val="24"/>
        </w:rPr>
        <w:t xml:space="preserve">FOMENTO  METROPOLITANO DE MONTERREY </w:t>
      </w:r>
      <w:r w:rsidRPr="00117EB1">
        <w:rPr>
          <w:rFonts w:ascii="Arial" w:hAnsi="Arial" w:cs="Arial"/>
          <w:sz w:val="24"/>
        </w:rPr>
        <w:t xml:space="preserve">correspondiente a su Ejercicio Fiscal </w:t>
      </w:r>
      <w:r w:rsidR="00B144F4">
        <w:rPr>
          <w:rFonts w:ascii="Arial" w:hAnsi="Arial" w:cs="Arial"/>
          <w:b/>
          <w:bCs/>
          <w:sz w:val="24"/>
        </w:rPr>
        <w:t>2015</w:t>
      </w:r>
      <w:r w:rsidRPr="00117EB1">
        <w:rPr>
          <w:rFonts w:ascii="Arial" w:hAnsi="Arial" w:cs="Arial"/>
          <w:sz w:val="24"/>
        </w:rPr>
        <w:t>, bajo el expediente</w:t>
      </w:r>
      <w:r>
        <w:rPr>
          <w:rFonts w:ascii="Arial" w:hAnsi="Arial" w:cs="Arial"/>
          <w:sz w:val="24"/>
        </w:rPr>
        <w:t xml:space="preserve"> número</w:t>
      </w:r>
      <w:r w:rsidRPr="00117EB1">
        <w:rPr>
          <w:rFonts w:ascii="Arial" w:hAnsi="Arial" w:cs="Arial"/>
          <w:sz w:val="24"/>
        </w:rPr>
        <w:t xml:space="preserve"> </w:t>
      </w:r>
      <w:r w:rsidR="00B144F4">
        <w:rPr>
          <w:rFonts w:ascii="Arial" w:hAnsi="Arial" w:cs="Arial"/>
          <w:b/>
          <w:sz w:val="24"/>
        </w:rPr>
        <w:t>10468</w:t>
      </w:r>
      <w:r>
        <w:rPr>
          <w:rFonts w:ascii="Arial" w:hAnsi="Arial" w:cs="Arial"/>
          <w:b/>
          <w:bCs/>
          <w:sz w:val="24"/>
        </w:rPr>
        <w:t>/LXXIV</w:t>
      </w:r>
      <w:r w:rsidRPr="00117EB1">
        <w:rPr>
          <w:rFonts w:ascii="Arial" w:hAnsi="Arial" w:cs="Arial"/>
          <w:b/>
          <w:bCs/>
          <w:sz w:val="24"/>
        </w:rPr>
        <w:t>.</w:t>
      </w:r>
    </w:p>
    <w:p w:rsidR="00A14E0B" w:rsidRPr="00117EB1" w:rsidRDefault="00A14E0B" w:rsidP="00A14E0B">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B144F4" w:rsidRDefault="00B144F4" w:rsidP="00B144F4">
      <w:pPr>
        <w:jc w:val="both"/>
        <w:rPr>
          <w:rFonts w:ascii="Arial" w:hAnsi="Arial" w:cs="Arial"/>
          <w:b/>
          <w:bCs/>
        </w:rPr>
      </w:pPr>
    </w:p>
    <w:p w:rsidR="00A14E0B" w:rsidRPr="00B144F4" w:rsidRDefault="00A14E0B" w:rsidP="00B144F4">
      <w:pPr>
        <w:jc w:val="both"/>
        <w:rPr>
          <w:rFonts w:ascii="Arial" w:hAnsi="Arial" w:cs="Arial"/>
          <w:b/>
          <w:bCs/>
        </w:rPr>
      </w:pPr>
      <w:r w:rsidRPr="008D1FA1">
        <w:rPr>
          <w:rFonts w:ascii="Arial" w:hAnsi="Arial" w:cs="Arial"/>
          <w:b/>
          <w:bCs/>
        </w:rPr>
        <w:t>ANTECEDENTES:</w:t>
      </w:r>
    </w:p>
    <w:p w:rsidR="00A14E0B" w:rsidRPr="00B67BEE" w:rsidRDefault="00A14E0B" w:rsidP="00A14E0B">
      <w:pPr>
        <w:spacing w:after="0"/>
        <w:jc w:val="both"/>
        <w:rPr>
          <w:rFonts w:ascii="Arial" w:hAnsi="Arial" w:cs="Arial"/>
          <w:sz w:val="24"/>
          <w:szCs w:val="24"/>
        </w:rPr>
      </w:pPr>
    </w:p>
    <w:p w:rsidR="00A14E0B" w:rsidRPr="00B67BEE" w:rsidRDefault="00A14E0B" w:rsidP="00A14E0B">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 xml:space="preserve">dministración </w:t>
      </w:r>
      <w:r>
        <w:rPr>
          <w:rFonts w:ascii="Arial" w:hAnsi="Arial" w:cs="Arial"/>
          <w:sz w:val="24"/>
          <w:szCs w:val="24"/>
        </w:rPr>
        <w:lastRenderedPageBreak/>
        <w:t>pública del Estatal</w:t>
      </w:r>
      <w:r w:rsidRPr="00B67BEE">
        <w:rPr>
          <w:rFonts w:ascii="Arial" w:hAnsi="Arial" w:cs="Arial"/>
          <w:sz w:val="24"/>
          <w:szCs w:val="24"/>
        </w:rPr>
        <w:t>, los municipios y sus organismos descentralizados y desconcentrados.</w:t>
      </w:r>
    </w:p>
    <w:p w:rsidR="00A14E0B" w:rsidRPr="00B67BEE" w:rsidRDefault="00A14E0B" w:rsidP="00A14E0B">
      <w:pPr>
        <w:spacing w:after="0" w:line="360" w:lineRule="auto"/>
        <w:ind w:firstLine="709"/>
        <w:jc w:val="both"/>
        <w:rPr>
          <w:rFonts w:ascii="Arial" w:hAnsi="Arial" w:cs="Arial"/>
          <w:sz w:val="24"/>
          <w:szCs w:val="24"/>
        </w:rPr>
      </w:pPr>
    </w:p>
    <w:p w:rsidR="00A14E0B" w:rsidRPr="00B67BEE" w:rsidRDefault="00A14E0B" w:rsidP="00A14E0B">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864192">
        <w:rPr>
          <w:rFonts w:ascii="Arial" w:hAnsi="Arial" w:cs="Arial"/>
          <w:sz w:val="24"/>
          <w:szCs w:val="24"/>
        </w:rPr>
        <w:t>uenta Pública del ejercicio 2015</w:t>
      </w:r>
      <w:r w:rsidRPr="00B67BEE">
        <w:rPr>
          <w:rFonts w:ascii="Arial" w:hAnsi="Arial" w:cs="Arial"/>
          <w:sz w:val="24"/>
          <w:szCs w:val="24"/>
        </w:rPr>
        <w:t xml:space="preserve"> </w:t>
      </w:r>
      <w:r>
        <w:rPr>
          <w:rFonts w:ascii="Arial" w:hAnsi="Arial" w:cs="Arial"/>
          <w:sz w:val="24"/>
        </w:rPr>
        <w:t xml:space="preserve">del </w:t>
      </w:r>
      <w:r w:rsidR="00864192">
        <w:rPr>
          <w:rFonts w:ascii="Arial" w:hAnsi="Arial" w:cs="Arial"/>
          <w:b/>
          <w:sz w:val="24"/>
        </w:rPr>
        <w:t>FIDEICOMISO FOMENTO</w:t>
      </w:r>
      <w:r>
        <w:rPr>
          <w:rFonts w:ascii="Arial" w:hAnsi="Arial" w:cs="Arial"/>
          <w:b/>
          <w:sz w:val="24"/>
        </w:rPr>
        <w:t xml:space="preserve"> METROPOLITANO DE MONTERREY</w:t>
      </w:r>
      <w:r w:rsidR="00864192">
        <w:rPr>
          <w:rFonts w:ascii="Arial" w:hAnsi="Arial" w:cs="Arial"/>
          <w:sz w:val="24"/>
          <w:szCs w:val="24"/>
        </w:rPr>
        <w:t xml:space="preserve">, </w:t>
      </w:r>
      <w:r w:rsidRPr="00B67BEE">
        <w:rPr>
          <w:rFonts w:ascii="Arial" w:hAnsi="Arial" w:cs="Arial"/>
          <w:sz w:val="24"/>
          <w:szCs w:val="24"/>
        </w:rPr>
        <w:t>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A14E0B" w:rsidRPr="00B67BEE" w:rsidRDefault="00A14E0B" w:rsidP="00A14E0B">
      <w:pPr>
        <w:spacing w:after="0"/>
        <w:jc w:val="both"/>
        <w:rPr>
          <w:rFonts w:ascii="Arial" w:hAnsi="Arial" w:cs="Arial"/>
          <w:sz w:val="24"/>
          <w:szCs w:val="24"/>
        </w:rPr>
      </w:pPr>
    </w:p>
    <w:p w:rsidR="00A14E0B" w:rsidRDefault="00A14E0B" w:rsidP="00A14E0B">
      <w:pPr>
        <w:spacing w:after="0" w:line="360" w:lineRule="auto"/>
        <w:ind w:firstLine="709"/>
        <w:jc w:val="both"/>
        <w:rPr>
          <w:rFonts w:ascii="Arial" w:hAnsi="Arial" w:cs="Arial"/>
          <w:b/>
          <w:sz w:val="24"/>
        </w:rPr>
      </w:pPr>
      <w:r>
        <w:rPr>
          <w:rFonts w:ascii="Arial" w:hAnsi="Arial" w:cs="Arial"/>
          <w:sz w:val="24"/>
          <w:szCs w:val="24"/>
        </w:rPr>
        <w:t>En ese</w:t>
      </w:r>
      <w:r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Pr="00B67BEE">
        <w:rPr>
          <w:rFonts w:ascii="Arial" w:hAnsi="Arial" w:cs="Arial"/>
          <w:sz w:val="24"/>
          <w:szCs w:val="24"/>
        </w:rPr>
        <w:t xml:space="preserve"> Aud</w:t>
      </w:r>
      <w:r>
        <w:rPr>
          <w:rFonts w:ascii="Arial" w:hAnsi="Arial" w:cs="Arial"/>
          <w:sz w:val="24"/>
          <w:szCs w:val="24"/>
        </w:rPr>
        <w:t>itoría Superior del Estado tuvo</w:t>
      </w:r>
      <w:r w:rsidRPr="00B67BEE">
        <w:rPr>
          <w:rFonts w:ascii="Arial" w:hAnsi="Arial" w:cs="Arial"/>
          <w:sz w:val="24"/>
          <w:szCs w:val="24"/>
        </w:rPr>
        <w:t xml:space="preserve"> a bien rendir el Informe del Resultado de la revisión practicada a la C</w:t>
      </w:r>
      <w:r w:rsidR="000422F7">
        <w:rPr>
          <w:rFonts w:ascii="Arial" w:hAnsi="Arial" w:cs="Arial"/>
          <w:sz w:val="24"/>
          <w:szCs w:val="24"/>
        </w:rPr>
        <w:t>uenta Pública del ejercicio 2015</w:t>
      </w:r>
      <w:r w:rsidRPr="00B67BEE">
        <w:rPr>
          <w:rFonts w:ascii="Arial" w:hAnsi="Arial" w:cs="Arial"/>
          <w:sz w:val="24"/>
          <w:szCs w:val="24"/>
        </w:rPr>
        <w:t xml:space="preserve"> </w:t>
      </w:r>
      <w:r>
        <w:rPr>
          <w:rFonts w:ascii="Arial" w:hAnsi="Arial" w:cs="Arial"/>
          <w:sz w:val="24"/>
        </w:rPr>
        <w:t xml:space="preserve">del </w:t>
      </w:r>
      <w:r w:rsidR="00864192">
        <w:rPr>
          <w:rFonts w:ascii="Arial" w:hAnsi="Arial" w:cs="Arial"/>
          <w:b/>
          <w:sz w:val="24"/>
        </w:rPr>
        <w:t>FIDEICOMISO FOMENTO</w:t>
      </w:r>
      <w:r>
        <w:rPr>
          <w:rFonts w:ascii="Arial" w:hAnsi="Arial" w:cs="Arial"/>
          <w:b/>
          <w:sz w:val="24"/>
        </w:rPr>
        <w:t xml:space="preserve"> METROPOLITANO DE MONTERREY.</w:t>
      </w:r>
    </w:p>
    <w:p w:rsidR="00A14E0B" w:rsidRDefault="00A14E0B" w:rsidP="00A14E0B">
      <w:pPr>
        <w:spacing w:after="0" w:line="360" w:lineRule="auto"/>
        <w:ind w:firstLine="709"/>
        <w:jc w:val="both"/>
        <w:rPr>
          <w:rFonts w:ascii="Arial" w:hAnsi="Arial" w:cs="Arial"/>
          <w:sz w:val="24"/>
          <w:szCs w:val="24"/>
        </w:rPr>
      </w:pPr>
    </w:p>
    <w:p w:rsidR="00A14E0B" w:rsidRPr="00B67BEE" w:rsidRDefault="00A14E0B" w:rsidP="00A14E0B">
      <w:pPr>
        <w:spacing w:after="0" w:line="360" w:lineRule="auto"/>
        <w:ind w:firstLine="709"/>
        <w:jc w:val="both"/>
        <w:rPr>
          <w:rFonts w:ascii="Arial" w:hAnsi="Arial" w:cs="Arial"/>
          <w:sz w:val="24"/>
          <w:szCs w:val="24"/>
        </w:rPr>
      </w:pPr>
      <w:r>
        <w:rPr>
          <w:rFonts w:ascii="Arial" w:hAnsi="Arial" w:cs="Arial"/>
          <w:sz w:val="24"/>
          <w:szCs w:val="24"/>
        </w:rPr>
        <w:t>Entre los apartados del</w:t>
      </w:r>
      <w:r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A14E0B" w:rsidRPr="00B67BEE" w:rsidRDefault="00A14E0B" w:rsidP="00A14E0B">
      <w:pPr>
        <w:spacing w:after="0" w:line="360" w:lineRule="auto"/>
        <w:jc w:val="both"/>
        <w:rPr>
          <w:rFonts w:ascii="Arial" w:hAnsi="Arial" w:cs="Arial"/>
          <w:sz w:val="24"/>
          <w:szCs w:val="24"/>
        </w:rPr>
      </w:pPr>
    </w:p>
    <w:p w:rsidR="00A14E0B" w:rsidRPr="00B67BEE" w:rsidRDefault="00A14E0B" w:rsidP="00A14E0B">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A14E0B" w:rsidRPr="00B67BEE" w:rsidRDefault="00A14E0B" w:rsidP="00A14E0B">
      <w:pPr>
        <w:spacing w:after="0" w:line="360" w:lineRule="auto"/>
        <w:jc w:val="both"/>
        <w:rPr>
          <w:rFonts w:ascii="Arial" w:hAnsi="Arial" w:cs="Arial"/>
          <w:sz w:val="24"/>
          <w:szCs w:val="24"/>
        </w:rPr>
      </w:pPr>
    </w:p>
    <w:p w:rsidR="00A14E0B" w:rsidRPr="00B67BEE" w:rsidRDefault="00A14E0B" w:rsidP="00A14E0B">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A14E0B" w:rsidRPr="00594027" w:rsidRDefault="00A14E0B" w:rsidP="00A14E0B">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Pr>
          <w:rFonts w:ascii="Arial" w:hAnsi="Arial" w:cs="Arial"/>
          <w:sz w:val="24"/>
          <w:szCs w:val="24"/>
        </w:rPr>
        <w:t>os y normativa correspondientes;</w:t>
      </w:r>
      <w:r w:rsidRPr="00594027">
        <w:rPr>
          <w:rFonts w:ascii="Arial" w:hAnsi="Arial" w:cs="Arial"/>
          <w:sz w:val="24"/>
          <w:szCs w:val="24"/>
        </w:rPr>
        <w:t xml:space="preserve"> y </w:t>
      </w:r>
    </w:p>
    <w:p w:rsidR="000422F7" w:rsidRDefault="00A14E0B" w:rsidP="000422F7">
      <w:pPr>
        <w:numPr>
          <w:ilvl w:val="0"/>
          <w:numId w:val="1"/>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0422F7" w:rsidRDefault="000422F7" w:rsidP="000422F7">
      <w:pPr>
        <w:spacing w:after="0" w:line="360" w:lineRule="auto"/>
        <w:ind w:left="720"/>
        <w:contextualSpacing/>
        <w:jc w:val="both"/>
        <w:rPr>
          <w:rFonts w:ascii="Arial" w:hAnsi="Arial" w:cs="Arial"/>
          <w:sz w:val="24"/>
          <w:szCs w:val="24"/>
        </w:rPr>
      </w:pPr>
    </w:p>
    <w:p w:rsidR="000422F7" w:rsidRDefault="000422F7" w:rsidP="000422F7">
      <w:pPr>
        <w:spacing w:after="0" w:line="360" w:lineRule="auto"/>
        <w:ind w:left="720"/>
        <w:contextualSpacing/>
        <w:jc w:val="both"/>
        <w:rPr>
          <w:rFonts w:ascii="Arial" w:hAnsi="Arial" w:cs="Arial"/>
          <w:sz w:val="24"/>
          <w:szCs w:val="24"/>
        </w:rPr>
      </w:pPr>
    </w:p>
    <w:p w:rsidR="00A14E0B" w:rsidRPr="000422F7" w:rsidRDefault="00A14E0B" w:rsidP="000422F7">
      <w:pPr>
        <w:spacing w:after="0" w:line="360" w:lineRule="auto"/>
        <w:contextualSpacing/>
        <w:jc w:val="both"/>
        <w:rPr>
          <w:rFonts w:ascii="Arial" w:hAnsi="Arial" w:cs="Arial"/>
          <w:sz w:val="24"/>
          <w:szCs w:val="24"/>
        </w:rPr>
      </w:pPr>
      <w:r w:rsidRPr="000422F7">
        <w:rPr>
          <w:rFonts w:ascii="Arial" w:hAnsi="Arial" w:cs="Arial"/>
          <w:b/>
          <w:sz w:val="24"/>
        </w:rPr>
        <w:t>Entidad Objeto de la revisión</w:t>
      </w:r>
    </w:p>
    <w:p w:rsidR="00A14E0B" w:rsidRDefault="00A14E0B" w:rsidP="00A14E0B">
      <w:pPr>
        <w:tabs>
          <w:tab w:val="left" w:pos="2610"/>
        </w:tabs>
        <w:spacing w:line="360" w:lineRule="auto"/>
        <w:jc w:val="both"/>
        <w:rPr>
          <w:rFonts w:ascii="Arial" w:hAnsi="Arial" w:cs="Arial"/>
          <w:sz w:val="24"/>
          <w:szCs w:val="24"/>
        </w:rPr>
      </w:pPr>
    </w:p>
    <w:p w:rsidR="00A14E0B" w:rsidRPr="00631F7D" w:rsidRDefault="00A14E0B" w:rsidP="00A14E0B">
      <w:pPr>
        <w:autoSpaceDE w:val="0"/>
        <w:autoSpaceDN w:val="0"/>
        <w:adjustRightInd w:val="0"/>
        <w:spacing w:line="360" w:lineRule="auto"/>
        <w:jc w:val="both"/>
        <w:rPr>
          <w:rFonts w:ascii="Arial" w:hAnsi="Arial" w:cs="Arial"/>
          <w:sz w:val="24"/>
          <w:szCs w:val="24"/>
        </w:rPr>
      </w:pPr>
      <w:r w:rsidRPr="00631F7D">
        <w:rPr>
          <w:rFonts w:ascii="Arial" w:hAnsi="Arial" w:cs="Arial"/>
          <w:sz w:val="24"/>
          <w:szCs w:val="24"/>
        </w:rPr>
        <w:t xml:space="preserve">El Fideicomiso Fomento Metropolitano de Monterrey (Fomerrey) se constituyó mediante contrato de fideicomiso celebrado entre el Gobierno Federal y el Gobierno del Estado de Nuevo León, con Nacional Financiera, S.A., ahora Sociedad Nacional de Crédito, en fecha 30 de julio de 1973. </w:t>
      </w:r>
    </w:p>
    <w:p w:rsidR="00A14E0B" w:rsidRPr="00631F7D" w:rsidRDefault="00A14E0B" w:rsidP="00A14E0B">
      <w:pPr>
        <w:autoSpaceDE w:val="0"/>
        <w:autoSpaceDN w:val="0"/>
        <w:adjustRightInd w:val="0"/>
        <w:spacing w:line="360" w:lineRule="auto"/>
        <w:jc w:val="both"/>
        <w:rPr>
          <w:rFonts w:ascii="Arial" w:hAnsi="Arial" w:cs="Arial"/>
          <w:sz w:val="24"/>
          <w:szCs w:val="24"/>
        </w:rPr>
      </w:pPr>
      <w:r w:rsidRPr="00631F7D">
        <w:rPr>
          <w:rFonts w:ascii="Arial" w:hAnsi="Arial" w:cs="Arial"/>
          <w:sz w:val="24"/>
          <w:szCs w:val="24"/>
        </w:rPr>
        <w:t xml:space="preserve">Posteriormente, en virtud del Acuerdo Presidencial del 22 de junio de 1984, el único fideicomitente del Fideicomiso Fomento Metropolitano de Monterrey (Fomerrey), es el Gobierno del Estado de Nuevo León. </w:t>
      </w:r>
    </w:p>
    <w:p w:rsidR="00A14E0B" w:rsidRPr="00631F7D" w:rsidRDefault="00A14E0B" w:rsidP="00A14E0B">
      <w:pPr>
        <w:autoSpaceDE w:val="0"/>
        <w:autoSpaceDN w:val="0"/>
        <w:adjustRightInd w:val="0"/>
        <w:spacing w:line="360" w:lineRule="auto"/>
        <w:jc w:val="both"/>
        <w:rPr>
          <w:rFonts w:ascii="Arial" w:hAnsi="Arial" w:cs="Arial"/>
          <w:sz w:val="24"/>
          <w:szCs w:val="24"/>
        </w:rPr>
      </w:pPr>
      <w:r w:rsidRPr="00631F7D">
        <w:rPr>
          <w:rFonts w:ascii="Arial" w:hAnsi="Arial" w:cs="Arial"/>
          <w:sz w:val="24"/>
          <w:szCs w:val="24"/>
        </w:rPr>
        <w:t>El Contrato de Fideicomiso de Fomerrey, ha sufrido diversas modificaciones, siendo las últimas de ellas, las efectuadas mediante convenio modificatorio de fechas 18 de septiembre de 2003 y 2 de diciembre de 2004.</w:t>
      </w:r>
    </w:p>
    <w:p w:rsidR="00A14E0B" w:rsidRPr="00631F7D" w:rsidRDefault="00A14E0B" w:rsidP="00A14E0B">
      <w:pPr>
        <w:autoSpaceDE w:val="0"/>
        <w:autoSpaceDN w:val="0"/>
        <w:adjustRightInd w:val="0"/>
        <w:spacing w:line="360" w:lineRule="auto"/>
        <w:jc w:val="both"/>
        <w:rPr>
          <w:rFonts w:ascii="Arial" w:hAnsi="Arial" w:cs="Arial"/>
          <w:sz w:val="24"/>
          <w:szCs w:val="24"/>
          <w:lang w:val="es-MX"/>
        </w:rPr>
      </w:pPr>
      <w:r w:rsidRPr="00631F7D">
        <w:rPr>
          <w:rFonts w:ascii="Arial" w:hAnsi="Arial" w:cs="Arial"/>
          <w:sz w:val="24"/>
          <w:szCs w:val="24"/>
        </w:rPr>
        <w:lastRenderedPageBreak/>
        <w:t>El objeto de este Fideicomiso es atender el desarrollo armónico y urbano de la ciudad de Monterrey y su área de influencia, incluyendo a todos los Municipios del Estado de Nuevo León, con el objeti</w:t>
      </w:r>
      <w:r w:rsidR="000422F7">
        <w:rPr>
          <w:rFonts w:ascii="Arial" w:hAnsi="Arial" w:cs="Arial"/>
          <w:sz w:val="24"/>
          <w:szCs w:val="24"/>
        </w:rPr>
        <w:t xml:space="preserve">vo de resolver los problemas de </w:t>
      </w:r>
      <w:proofErr w:type="spellStart"/>
      <w:r w:rsidRPr="00631F7D">
        <w:rPr>
          <w:rFonts w:ascii="Arial" w:hAnsi="Arial" w:cs="Arial"/>
          <w:sz w:val="24"/>
          <w:szCs w:val="24"/>
        </w:rPr>
        <w:t>precarismo</w:t>
      </w:r>
      <w:proofErr w:type="spellEnd"/>
      <w:r w:rsidRPr="00631F7D">
        <w:rPr>
          <w:rFonts w:ascii="Arial" w:hAnsi="Arial" w:cs="Arial"/>
          <w:sz w:val="24"/>
          <w:szCs w:val="24"/>
        </w:rPr>
        <w:t>, el problema habitacional de los mismos, así como establecer el marco normativo y administrativo que habrá de contribuir con la construcción, adquisición, remodelación, ampliación y mejoras de la vivienda, impulsando el desarrollo de conjuntos habitacionales en arrendamiento, promoviendo acciones tendientes a mejorar la calidad de vida de los habitantes de los centros de población y en general llevar a cabo acciones encaminadas a la solución del déficit habitacional, de tal manera que, dichos beneficios estén al alcance de un mayor número de familias.</w:t>
      </w:r>
    </w:p>
    <w:p w:rsidR="00A14E0B" w:rsidRDefault="00A14E0B" w:rsidP="00A14E0B">
      <w:pPr>
        <w:tabs>
          <w:tab w:val="left" w:pos="2610"/>
        </w:tabs>
        <w:spacing w:line="360" w:lineRule="auto"/>
        <w:jc w:val="both"/>
        <w:rPr>
          <w:rFonts w:ascii="Arial" w:hAnsi="Arial" w:cs="Arial"/>
          <w:sz w:val="24"/>
          <w:szCs w:val="24"/>
        </w:rPr>
      </w:pPr>
    </w:p>
    <w:p w:rsidR="00A14E0B" w:rsidRPr="00B67BEE" w:rsidRDefault="00A14E0B" w:rsidP="000422F7">
      <w:pPr>
        <w:pStyle w:val="Prrafodelista"/>
        <w:spacing w:after="0"/>
        <w:ind w:left="0"/>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A14E0B" w:rsidRPr="00B67BEE" w:rsidRDefault="00A14E0B" w:rsidP="00A14E0B">
      <w:pPr>
        <w:pStyle w:val="Prrafodelista"/>
        <w:spacing w:after="0"/>
        <w:ind w:left="426"/>
        <w:rPr>
          <w:rFonts w:ascii="Arial" w:hAnsi="Arial" w:cs="Arial"/>
          <w:b/>
          <w:sz w:val="24"/>
        </w:rPr>
      </w:pPr>
    </w:p>
    <w:p w:rsidR="00A14E0B" w:rsidRPr="0077749F" w:rsidRDefault="00A14E0B" w:rsidP="00A14E0B">
      <w:pPr>
        <w:spacing w:after="0"/>
        <w:jc w:val="both"/>
        <w:rPr>
          <w:rFonts w:ascii="Arial" w:eastAsia="Times New Roman" w:hAnsi="Arial" w:cs="Arial"/>
          <w:sz w:val="24"/>
          <w:lang w:eastAsia="es-ES"/>
        </w:rPr>
      </w:pPr>
    </w:p>
    <w:p w:rsidR="00A14E0B" w:rsidRPr="0077749F" w:rsidRDefault="00A14E0B" w:rsidP="00A14E0B">
      <w:pPr>
        <w:spacing w:after="0"/>
        <w:jc w:val="both"/>
        <w:rPr>
          <w:rFonts w:ascii="Arial" w:eastAsia="Times New Roman" w:hAnsi="Arial" w:cs="Arial"/>
          <w:sz w:val="24"/>
          <w:lang w:eastAsia="es-ES"/>
        </w:rPr>
      </w:pPr>
      <w:r w:rsidRPr="0077749F">
        <w:rPr>
          <w:rFonts w:ascii="Arial" w:eastAsia="Times New Roman" w:hAnsi="Arial" w:cs="Arial"/>
          <w:b/>
          <w:sz w:val="24"/>
          <w:lang w:eastAsia="es-ES"/>
        </w:rPr>
        <w:t>Auditorías programadas por tipo o materia</w:t>
      </w:r>
    </w:p>
    <w:p w:rsidR="00A14E0B" w:rsidRPr="0077749F" w:rsidRDefault="00A14E0B" w:rsidP="00A14E0B">
      <w:pPr>
        <w:spacing w:after="0"/>
        <w:jc w:val="both"/>
        <w:rPr>
          <w:rFonts w:ascii="Arial" w:eastAsia="Times New Roman" w:hAnsi="Arial" w:cs="Arial"/>
          <w:sz w:val="24"/>
          <w:lang w:eastAsia="es-ES"/>
        </w:rPr>
      </w:pPr>
    </w:p>
    <w:p w:rsidR="000422F7" w:rsidRDefault="00A14E0B" w:rsidP="000422F7">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0422F7">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0422F7">
        <w:rPr>
          <w:rFonts w:ascii="Arial" w:eastAsia="Times New Roman" w:hAnsi="Arial" w:cs="Arial"/>
          <w:sz w:val="24"/>
          <w:lang w:eastAsia="es-ES"/>
        </w:rPr>
        <w:t>rrespondientes al ejercicio 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0422F7">
        <w:rPr>
          <w:rFonts w:ascii="Arial" w:eastAsia="Times New Roman" w:hAnsi="Arial" w:cs="Arial"/>
          <w:sz w:val="24"/>
          <w:lang w:eastAsia="es-ES"/>
        </w:rPr>
        <w:t>isión de Vigilancia, en fecha 14 de junio</w:t>
      </w:r>
      <w:r>
        <w:rPr>
          <w:rFonts w:ascii="Arial" w:eastAsia="Times New Roman" w:hAnsi="Arial" w:cs="Arial"/>
          <w:sz w:val="24"/>
          <w:lang w:eastAsia="es-ES"/>
        </w:rPr>
        <w:t xml:space="preserve"> </w:t>
      </w:r>
      <w:r w:rsidR="000422F7">
        <w:rPr>
          <w:rFonts w:ascii="Arial" w:eastAsia="Times New Roman" w:hAnsi="Arial" w:cs="Arial"/>
          <w:sz w:val="24"/>
          <w:lang w:eastAsia="es-ES"/>
        </w:rPr>
        <w:t>del año 2016</w:t>
      </w:r>
      <w:r>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w:t>
      </w:r>
      <w:r w:rsidRPr="0077749F">
        <w:rPr>
          <w:rFonts w:ascii="Arial" w:eastAsia="Times New Roman" w:hAnsi="Arial" w:cs="Arial"/>
          <w:sz w:val="24"/>
          <w:lang w:eastAsia="es-ES"/>
        </w:rPr>
        <w:lastRenderedPageBreak/>
        <w:t xml:space="preserve">determinaron las siguientes auditorías a practicar al </w:t>
      </w:r>
      <w:r>
        <w:rPr>
          <w:rFonts w:ascii="Arial" w:eastAsia="Times New Roman" w:hAnsi="Arial" w:cs="Arial"/>
          <w:sz w:val="24"/>
          <w:lang w:eastAsia="es-ES"/>
        </w:rPr>
        <w:t>Fideicomiso</w:t>
      </w:r>
      <w:r w:rsidRPr="0077749F">
        <w:rPr>
          <w:rFonts w:ascii="Arial" w:eastAsia="Times New Roman" w:hAnsi="Arial" w:cs="Arial"/>
          <w:sz w:val="24"/>
          <w:lang w:eastAsia="es-ES"/>
        </w:rPr>
        <w:t xml:space="preserve"> en cuestión, por tipo o materia, a saber:</w:t>
      </w:r>
    </w:p>
    <w:p w:rsidR="000422F7" w:rsidRDefault="000422F7" w:rsidP="000422F7">
      <w:pPr>
        <w:spacing w:after="0" w:line="360" w:lineRule="auto"/>
        <w:ind w:firstLine="567"/>
        <w:jc w:val="both"/>
        <w:rPr>
          <w:rFonts w:ascii="Arial" w:eastAsia="Times New Roman" w:hAnsi="Arial" w:cs="Arial"/>
          <w:sz w:val="24"/>
          <w:lang w:eastAsia="es-ES"/>
        </w:rPr>
      </w:pPr>
    </w:p>
    <w:p w:rsidR="00A14E0B" w:rsidRPr="0077749F" w:rsidRDefault="00A14E0B" w:rsidP="000422F7">
      <w:pPr>
        <w:spacing w:after="0" w:line="360" w:lineRule="auto"/>
        <w:jc w:val="both"/>
        <w:rPr>
          <w:rFonts w:ascii="Arial" w:eastAsia="Times New Roman" w:hAnsi="Arial" w:cs="Arial"/>
          <w:sz w:val="24"/>
          <w:lang w:eastAsia="es-ES"/>
        </w:rPr>
      </w:pP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A14E0B" w:rsidRPr="0077749F" w:rsidRDefault="00A14E0B" w:rsidP="00A14E0B">
      <w:pPr>
        <w:spacing w:after="0"/>
        <w:ind w:firstLine="567"/>
        <w:jc w:val="both"/>
        <w:rPr>
          <w:rFonts w:ascii="Arial" w:eastAsia="Times New Roman" w:hAnsi="Arial" w:cs="Arial"/>
          <w:sz w:val="24"/>
          <w:lang w:eastAsia="es-ES"/>
        </w:rPr>
      </w:pPr>
    </w:p>
    <w:p w:rsidR="00A14E0B" w:rsidRPr="0077749F" w:rsidRDefault="00A14E0B" w:rsidP="00A14E0B">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166FC5">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166FC5">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A14E0B" w:rsidRPr="0077749F" w:rsidRDefault="00A14E0B" w:rsidP="00A14E0B">
      <w:pPr>
        <w:spacing w:after="0"/>
        <w:ind w:firstLine="567"/>
        <w:jc w:val="both"/>
        <w:rPr>
          <w:rFonts w:ascii="Arial" w:eastAsia="Times New Roman" w:hAnsi="Arial" w:cs="Arial"/>
          <w:sz w:val="24"/>
          <w:lang w:eastAsia="es-ES"/>
        </w:rPr>
      </w:pPr>
    </w:p>
    <w:p w:rsidR="00A14E0B" w:rsidRPr="0077749F" w:rsidRDefault="00A14E0B" w:rsidP="00A14E0B">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A14E0B" w:rsidRPr="00B67BEE" w:rsidRDefault="00A14E0B" w:rsidP="00A14E0B">
      <w:pPr>
        <w:spacing w:after="0"/>
        <w:jc w:val="both"/>
        <w:rPr>
          <w:rFonts w:ascii="Arial" w:eastAsia="Times New Roman" w:hAnsi="Arial" w:cs="Arial"/>
          <w:sz w:val="24"/>
          <w:lang w:eastAsia="es-ES"/>
        </w:rPr>
      </w:pPr>
    </w:p>
    <w:p w:rsidR="00A14E0B" w:rsidRPr="00B67BEE" w:rsidRDefault="00A14E0B" w:rsidP="00A14E0B">
      <w:pPr>
        <w:numPr>
          <w:ilvl w:val="0"/>
          <w:numId w:val="5"/>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A14E0B" w:rsidRPr="00B67BEE" w:rsidRDefault="00A14E0B" w:rsidP="00A14E0B">
      <w:pPr>
        <w:spacing w:after="0"/>
        <w:ind w:left="993" w:hanging="284"/>
        <w:jc w:val="both"/>
        <w:rPr>
          <w:rFonts w:ascii="Arial" w:eastAsia="Times New Roman" w:hAnsi="Arial" w:cs="Arial"/>
          <w:sz w:val="24"/>
          <w:szCs w:val="24"/>
          <w:lang w:eastAsia="es-ES"/>
        </w:rPr>
      </w:pPr>
    </w:p>
    <w:p w:rsidR="00A14E0B" w:rsidRPr="00B67BEE" w:rsidRDefault="00A14E0B" w:rsidP="00A14E0B">
      <w:pPr>
        <w:numPr>
          <w:ilvl w:val="1"/>
          <w:numId w:val="4"/>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A14E0B" w:rsidRPr="00B67BEE" w:rsidRDefault="00A14E0B" w:rsidP="00A14E0B">
      <w:pPr>
        <w:spacing w:after="0"/>
        <w:ind w:left="993" w:hanging="284"/>
        <w:jc w:val="both"/>
        <w:rPr>
          <w:rFonts w:ascii="Arial" w:eastAsia="Times New Roman" w:hAnsi="Arial" w:cs="Arial"/>
          <w:sz w:val="24"/>
          <w:szCs w:val="24"/>
          <w:lang w:eastAsia="es-ES"/>
        </w:rPr>
      </w:pPr>
    </w:p>
    <w:p w:rsidR="00A14E0B" w:rsidRPr="00B67BEE" w:rsidRDefault="00A14E0B" w:rsidP="00A14E0B">
      <w:pPr>
        <w:numPr>
          <w:ilvl w:val="1"/>
          <w:numId w:val="4"/>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lastRenderedPageBreak/>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A14E0B" w:rsidRPr="00B67BEE" w:rsidRDefault="00A14E0B" w:rsidP="00A14E0B">
      <w:pPr>
        <w:spacing w:after="0"/>
        <w:ind w:left="993" w:hanging="284"/>
        <w:jc w:val="both"/>
        <w:rPr>
          <w:rFonts w:ascii="Arial" w:eastAsia="Times New Roman" w:hAnsi="Arial" w:cs="Arial"/>
          <w:sz w:val="24"/>
          <w:szCs w:val="24"/>
          <w:lang w:eastAsia="es-ES"/>
        </w:rPr>
      </w:pPr>
    </w:p>
    <w:p w:rsidR="00A14E0B" w:rsidRPr="00B67BEE" w:rsidRDefault="00A14E0B" w:rsidP="00A14E0B">
      <w:pPr>
        <w:numPr>
          <w:ilvl w:val="0"/>
          <w:numId w:val="5"/>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A14E0B" w:rsidRPr="00B67BEE" w:rsidRDefault="00A14E0B" w:rsidP="00A14E0B">
      <w:pPr>
        <w:spacing w:after="0"/>
        <w:ind w:left="993" w:hanging="284"/>
        <w:jc w:val="both"/>
        <w:rPr>
          <w:rFonts w:ascii="Arial" w:eastAsia="Times New Roman" w:hAnsi="Arial" w:cs="Arial"/>
          <w:sz w:val="24"/>
          <w:szCs w:val="24"/>
          <w:lang w:eastAsia="es-ES"/>
        </w:rPr>
      </w:pPr>
    </w:p>
    <w:p w:rsidR="00A14E0B" w:rsidRPr="00B67BEE" w:rsidRDefault="00A14E0B" w:rsidP="00A14E0B">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A14E0B" w:rsidRPr="00B67BEE" w:rsidRDefault="00A14E0B" w:rsidP="00A14E0B">
      <w:pPr>
        <w:spacing w:after="0" w:line="360" w:lineRule="auto"/>
        <w:ind w:left="993" w:hanging="284"/>
        <w:jc w:val="both"/>
        <w:rPr>
          <w:rFonts w:ascii="Arial" w:eastAsia="Times New Roman" w:hAnsi="Arial" w:cs="Arial"/>
          <w:sz w:val="24"/>
          <w:szCs w:val="24"/>
          <w:lang w:eastAsia="es-ES"/>
        </w:rPr>
      </w:pPr>
    </w:p>
    <w:p w:rsidR="00A14E0B" w:rsidRPr="00B67BEE" w:rsidRDefault="00A14E0B" w:rsidP="00A14E0B">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A14E0B" w:rsidRPr="00B67BEE" w:rsidRDefault="00A14E0B" w:rsidP="00A14E0B">
      <w:pPr>
        <w:spacing w:after="0" w:line="360" w:lineRule="auto"/>
        <w:ind w:left="993" w:hanging="284"/>
        <w:jc w:val="both"/>
        <w:rPr>
          <w:rFonts w:ascii="Arial" w:eastAsia="Times New Roman" w:hAnsi="Arial" w:cs="Arial"/>
          <w:sz w:val="24"/>
          <w:szCs w:val="24"/>
          <w:lang w:eastAsia="es-ES"/>
        </w:rPr>
      </w:pPr>
    </w:p>
    <w:p w:rsidR="00A14E0B" w:rsidRPr="00B67BEE" w:rsidRDefault="00A14E0B" w:rsidP="00A14E0B">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A14E0B" w:rsidRPr="00B67BEE" w:rsidRDefault="00A14E0B" w:rsidP="00A14E0B">
      <w:pPr>
        <w:spacing w:after="0"/>
        <w:ind w:left="993" w:hanging="284"/>
        <w:jc w:val="both"/>
        <w:rPr>
          <w:rFonts w:ascii="Arial" w:eastAsia="Times New Roman" w:hAnsi="Arial" w:cs="Arial"/>
          <w:sz w:val="24"/>
          <w:szCs w:val="24"/>
          <w:lang w:eastAsia="es-ES"/>
        </w:rPr>
      </w:pPr>
    </w:p>
    <w:p w:rsidR="00A14E0B" w:rsidRPr="0077749F" w:rsidRDefault="00A14E0B" w:rsidP="00A14E0B">
      <w:pPr>
        <w:numPr>
          <w:ilvl w:val="0"/>
          <w:numId w:val="5"/>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 xml:space="preserve">Además, se realizaron pruebas de auditoría a fin de evaluar el cumplimiento de las leyes, los reglamentos y la normatividad aplicables </w:t>
      </w:r>
      <w:r w:rsidRPr="00B67BEE">
        <w:rPr>
          <w:rFonts w:ascii="Arial" w:eastAsia="Times New Roman" w:hAnsi="Arial" w:cs="Arial"/>
          <w:sz w:val="24"/>
          <w:szCs w:val="24"/>
          <w:lang w:eastAsia="es-ES"/>
        </w:rPr>
        <w:lastRenderedPageBreak/>
        <w:t>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A14E0B" w:rsidRDefault="00A14E0B" w:rsidP="00A14E0B">
      <w:pPr>
        <w:spacing w:after="0" w:line="360" w:lineRule="auto"/>
        <w:jc w:val="both"/>
        <w:rPr>
          <w:rFonts w:ascii="Arial" w:eastAsia="Times New Roman" w:hAnsi="Arial" w:cs="Arial"/>
          <w:sz w:val="24"/>
          <w:szCs w:val="24"/>
          <w:lang w:eastAsia="es-ES"/>
        </w:rPr>
      </w:pPr>
    </w:p>
    <w:p w:rsidR="00A14E0B" w:rsidRPr="00166FC5" w:rsidRDefault="00A14E0B" w:rsidP="00A14E0B">
      <w:pPr>
        <w:pStyle w:val="Prrafodelista"/>
        <w:numPr>
          <w:ilvl w:val="0"/>
          <w:numId w:val="5"/>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166FC5" w:rsidRPr="00166FC5" w:rsidRDefault="00166FC5" w:rsidP="00166FC5">
      <w:pPr>
        <w:pStyle w:val="Prrafodelista"/>
        <w:rPr>
          <w:rFonts w:ascii="Arial" w:hAnsi="Arial" w:cs="Arial"/>
          <w:b/>
          <w:sz w:val="24"/>
          <w:szCs w:val="24"/>
          <w:lang w:val="es-MX" w:eastAsia="es-ES"/>
        </w:rPr>
      </w:pPr>
    </w:p>
    <w:p w:rsidR="00166FC5" w:rsidRDefault="00166FC5" w:rsidP="00166FC5">
      <w:pPr>
        <w:pStyle w:val="Prrafodelista"/>
        <w:numPr>
          <w:ilvl w:val="0"/>
          <w:numId w:val="5"/>
        </w:numPr>
        <w:autoSpaceDE w:val="0"/>
        <w:autoSpaceDN w:val="0"/>
        <w:adjustRightInd w:val="0"/>
        <w:spacing w:after="0" w:line="360" w:lineRule="auto"/>
        <w:jc w:val="both"/>
        <w:rPr>
          <w:rFonts w:ascii="Arial" w:hAnsi="Arial" w:cs="Arial"/>
          <w:sz w:val="24"/>
          <w:szCs w:val="24"/>
          <w:lang w:val="es-MX" w:eastAsia="es-ES"/>
        </w:rPr>
      </w:pPr>
      <w:r w:rsidRPr="00166FC5">
        <w:rPr>
          <w:rFonts w:ascii="Arial" w:hAnsi="Arial" w:cs="Arial"/>
          <w:sz w:val="24"/>
          <w:szCs w:val="24"/>
          <w:lang w:val="es-MX" w:eastAsia="es-ES"/>
        </w:rPr>
        <w:t>Para verificar que la obra pública se realizó conforme con lo establecido en la ley de la materia, lo preceptuado en los artículos 31 y 32 de la Ley de Fiscalización Superior del Estado de Nuevo León, así como de otras disposiciones aplicables y a los programas y presupuestos autorizados, se realizó lo siguiente:</w:t>
      </w:r>
    </w:p>
    <w:p w:rsidR="00166FC5" w:rsidRPr="00166FC5" w:rsidRDefault="00166FC5" w:rsidP="00166FC5">
      <w:pPr>
        <w:pStyle w:val="Prrafodelista"/>
        <w:rPr>
          <w:rFonts w:ascii="Arial" w:hAnsi="Arial" w:cs="Arial"/>
          <w:sz w:val="24"/>
          <w:szCs w:val="24"/>
          <w:lang w:val="es-MX" w:eastAsia="es-ES"/>
        </w:rPr>
      </w:pPr>
    </w:p>
    <w:p w:rsidR="00166FC5" w:rsidRPr="00166FC5" w:rsidRDefault="00166FC5" w:rsidP="00166FC5">
      <w:pPr>
        <w:pStyle w:val="Prrafodelista"/>
        <w:numPr>
          <w:ilvl w:val="0"/>
          <w:numId w:val="17"/>
        </w:numPr>
        <w:autoSpaceDE w:val="0"/>
        <w:autoSpaceDN w:val="0"/>
        <w:adjustRightInd w:val="0"/>
        <w:spacing w:after="0" w:line="360" w:lineRule="auto"/>
        <w:jc w:val="both"/>
        <w:rPr>
          <w:rFonts w:ascii="Arial" w:hAnsi="Arial" w:cs="Arial"/>
          <w:sz w:val="24"/>
          <w:szCs w:val="24"/>
          <w:lang w:val="es-MX" w:eastAsia="es-ES"/>
        </w:rPr>
      </w:pPr>
      <w:r w:rsidRPr="00166FC5">
        <w:rPr>
          <w:rFonts w:ascii="Arial" w:hAnsi="Arial" w:cs="Arial"/>
          <w:sz w:val="24"/>
          <w:szCs w:val="24"/>
          <w:lang w:val="es-MX" w:eastAsia="es-ES"/>
        </w:rPr>
        <w:t>La práctica de las auditorías, visitas e inspecciones para verificar el exacto cumplimiento de los objetivos contenidos en los programas de obra pública, y obtener los datos técnicos y demás element</w:t>
      </w:r>
      <w:r>
        <w:rPr>
          <w:rFonts w:ascii="Arial" w:hAnsi="Arial" w:cs="Arial"/>
          <w:sz w:val="24"/>
          <w:szCs w:val="24"/>
          <w:lang w:val="es-MX" w:eastAsia="es-ES"/>
        </w:rPr>
        <w:t>os relacionados con la revisión.</w:t>
      </w:r>
    </w:p>
    <w:p w:rsidR="00A14E0B" w:rsidRPr="00276558" w:rsidRDefault="00A14E0B" w:rsidP="00A14E0B">
      <w:pPr>
        <w:pStyle w:val="Prrafodelista"/>
        <w:autoSpaceDE w:val="0"/>
        <w:autoSpaceDN w:val="0"/>
        <w:adjustRightInd w:val="0"/>
        <w:spacing w:after="0" w:line="360" w:lineRule="auto"/>
        <w:jc w:val="both"/>
        <w:rPr>
          <w:rFonts w:ascii="Arial" w:hAnsi="Arial" w:cs="Arial"/>
          <w:b/>
          <w:sz w:val="24"/>
          <w:szCs w:val="24"/>
          <w:lang w:val="es-MX" w:eastAsia="es-ES"/>
        </w:rPr>
      </w:pPr>
    </w:p>
    <w:p w:rsidR="00A14E0B" w:rsidRDefault="00A14E0B" w:rsidP="00166FC5">
      <w:pPr>
        <w:autoSpaceDE w:val="0"/>
        <w:autoSpaceDN w:val="0"/>
        <w:adjustRightInd w:val="0"/>
        <w:spacing w:after="0" w:line="360" w:lineRule="auto"/>
        <w:rPr>
          <w:rFonts w:ascii="Arial" w:hAnsi="Arial" w:cs="Arial"/>
          <w:b/>
          <w:sz w:val="24"/>
          <w:szCs w:val="24"/>
          <w:lang w:val="es-MX" w:eastAsia="es-ES"/>
        </w:rPr>
      </w:pPr>
      <w:r>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A14E0B" w:rsidRDefault="00A14E0B" w:rsidP="00A14E0B">
      <w:pPr>
        <w:spacing w:after="0"/>
        <w:jc w:val="both"/>
        <w:rPr>
          <w:rFonts w:ascii="Arial" w:hAnsi="Arial" w:cs="Arial"/>
          <w:bCs/>
          <w:iCs/>
          <w:sz w:val="24"/>
        </w:rPr>
      </w:pPr>
    </w:p>
    <w:p w:rsidR="00A14E0B" w:rsidRPr="0077749F" w:rsidRDefault="00A14E0B" w:rsidP="00A14E0B">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 xml:space="preserve">Las auditorías practicadas se seleccionaron con base en los criterios establecidos para la planeación específica utilizada en la integración del </w:t>
      </w:r>
      <w:r w:rsidRPr="0077749F">
        <w:rPr>
          <w:rFonts w:ascii="Arial" w:hAnsi="Arial" w:cs="Arial"/>
          <w:bCs/>
          <w:iCs/>
          <w:sz w:val="24"/>
        </w:rPr>
        <w:lastRenderedPageBreak/>
        <w:t>P</w:t>
      </w:r>
      <w:r w:rsidR="00166FC5">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A14E0B" w:rsidRPr="0077749F" w:rsidRDefault="00A14E0B" w:rsidP="00A14E0B">
      <w:pPr>
        <w:spacing w:after="0" w:line="360" w:lineRule="auto"/>
        <w:jc w:val="both"/>
        <w:rPr>
          <w:rFonts w:ascii="Arial" w:hAnsi="Arial" w:cs="Arial"/>
          <w:bCs/>
          <w:iCs/>
          <w:sz w:val="24"/>
        </w:rPr>
      </w:pPr>
    </w:p>
    <w:p w:rsidR="00A14E0B" w:rsidRPr="0077749F" w:rsidRDefault="00A14E0B" w:rsidP="00A14E0B">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A14E0B" w:rsidRPr="0077749F" w:rsidRDefault="00A14E0B" w:rsidP="00A14E0B">
      <w:pPr>
        <w:spacing w:after="0" w:line="360" w:lineRule="auto"/>
        <w:jc w:val="both"/>
        <w:rPr>
          <w:rFonts w:ascii="Arial" w:hAnsi="Arial" w:cs="Arial"/>
          <w:bCs/>
          <w:iCs/>
          <w:sz w:val="24"/>
        </w:rPr>
      </w:pPr>
    </w:p>
    <w:p w:rsidR="00A14E0B" w:rsidRPr="0077749F" w:rsidRDefault="00A14E0B" w:rsidP="00A14E0B">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A14E0B" w:rsidRPr="0077749F" w:rsidRDefault="00A14E0B" w:rsidP="00A14E0B">
      <w:pPr>
        <w:spacing w:after="0" w:line="360" w:lineRule="auto"/>
        <w:jc w:val="both"/>
        <w:rPr>
          <w:rFonts w:ascii="Arial" w:hAnsi="Arial" w:cs="Arial"/>
          <w:bCs/>
          <w:iCs/>
          <w:sz w:val="24"/>
        </w:rPr>
      </w:pPr>
    </w:p>
    <w:p w:rsidR="00A14E0B" w:rsidRPr="00B67BEE" w:rsidRDefault="00A14E0B" w:rsidP="00A14E0B">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 xml:space="preserve">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w:t>
      </w:r>
      <w:r w:rsidRPr="0077749F">
        <w:rPr>
          <w:rFonts w:ascii="Arial" w:hAnsi="Arial" w:cs="Arial"/>
          <w:bCs/>
          <w:iCs/>
          <w:sz w:val="24"/>
        </w:rPr>
        <w:lastRenderedPageBreak/>
        <w:t>competente, relevante y pertinente acerca del objeto auditado y con base en la cual se determinaron los resultados y el dictamen correspondiente.</w:t>
      </w:r>
    </w:p>
    <w:p w:rsidR="00A14E0B" w:rsidRPr="00B67BEE" w:rsidRDefault="00A14E0B" w:rsidP="00A14E0B">
      <w:pPr>
        <w:spacing w:after="0" w:line="360" w:lineRule="auto"/>
        <w:jc w:val="both"/>
        <w:rPr>
          <w:rFonts w:ascii="Arial" w:hAnsi="Arial" w:cs="Arial"/>
          <w:bCs/>
          <w:iCs/>
          <w:sz w:val="24"/>
        </w:rPr>
      </w:pPr>
    </w:p>
    <w:p w:rsidR="00A14E0B" w:rsidRPr="009A7A82" w:rsidRDefault="00A14E0B" w:rsidP="00166FC5">
      <w:pPr>
        <w:pStyle w:val="Prrafodelista"/>
        <w:ind w:left="0"/>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A14E0B" w:rsidRPr="009A7A82" w:rsidRDefault="00A14E0B" w:rsidP="00A14E0B">
      <w:pPr>
        <w:pStyle w:val="Prrafodelista"/>
        <w:ind w:left="426"/>
        <w:contextualSpacing/>
        <w:jc w:val="both"/>
        <w:rPr>
          <w:rFonts w:ascii="Arial" w:hAnsi="Arial" w:cs="Arial"/>
          <w:b/>
          <w:sz w:val="24"/>
        </w:rPr>
      </w:pPr>
    </w:p>
    <w:p w:rsidR="00A14E0B" w:rsidRDefault="00A14E0B" w:rsidP="00A14E0B">
      <w:pPr>
        <w:pStyle w:val="Prrafodelista"/>
        <w:numPr>
          <w:ilvl w:val="0"/>
          <w:numId w:val="3"/>
        </w:numPr>
        <w:contextualSpacing/>
        <w:rPr>
          <w:rFonts w:ascii="Arial" w:hAnsi="Arial" w:cs="Arial"/>
          <w:b/>
          <w:bCs/>
          <w:sz w:val="24"/>
        </w:rPr>
      </w:pPr>
      <w:r w:rsidRPr="000A4374">
        <w:rPr>
          <w:rFonts w:ascii="Arial" w:hAnsi="Arial" w:cs="Arial"/>
          <w:b/>
          <w:bCs/>
          <w:sz w:val="24"/>
        </w:rPr>
        <w:t>La evaluación  de la gestión financiera y del gasto público</w:t>
      </w:r>
    </w:p>
    <w:p w:rsidR="00A14E0B" w:rsidRDefault="00A14E0B" w:rsidP="00A14E0B">
      <w:pPr>
        <w:contextualSpacing/>
        <w:jc w:val="both"/>
        <w:rPr>
          <w:rFonts w:ascii="Arial" w:hAnsi="Arial" w:cs="Arial"/>
          <w:sz w:val="24"/>
          <w:szCs w:val="24"/>
          <w:lang w:val="es-MX"/>
        </w:rPr>
      </w:pPr>
    </w:p>
    <w:p w:rsidR="00A14E0B" w:rsidRPr="000028DB" w:rsidRDefault="00A14E0B" w:rsidP="00A14E0B">
      <w:pPr>
        <w:spacing w:line="360" w:lineRule="auto"/>
        <w:jc w:val="both"/>
        <w:rPr>
          <w:rFonts w:ascii="Arial" w:hAnsi="Arial" w:cs="Arial"/>
          <w:sz w:val="24"/>
          <w:szCs w:val="24"/>
          <w:lang w:val="es-MX"/>
        </w:rPr>
      </w:pPr>
      <w:r w:rsidRPr="000028DB">
        <w:rPr>
          <w:rFonts w:ascii="Arial" w:hAnsi="Arial" w:cs="Arial"/>
          <w:sz w:val="24"/>
          <w:szCs w:val="24"/>
          <w:lang w:val="es-MX"/>
        </w:rPr>
        <w:t xml:space="preserve">Para tal efecto se consideraron los Estados Financieros adjuntos, y su presupuesto por el período del 1 de </w:t>
      </w:r>
      <w:r w:rsidR="00166FC5">
        <w:rPr>
          <w:rFonts w:ascii="Arial" w:hAnsi="Arial" w:cs="Arial"/>
          <w:sz w:val="24"/>
          <w:szCs w:val="24"/>
          <w:lang w:val="es-MX"/>
        </w:rPr>
        <w:t>enero al 31 de diciembre de 2015</w:t>
      </w:r>
      <w:r w:rsidRPr="000028DB">
        <w:rPr>
          <w:rFonts w:ascii="Arial" w:hAnsi="Arial" w:cs="Arial"/>
          <w:sz w:val="24"/>
          <w:szCs w:val="24"/>
          <w:lang w:val="es-MX"/>
        </w:rPr>
        <w:t>, que el Fideicomiso Fomento Metropolitano de Monterrey presentó como parte de la información que integra la Cuenta Pública.</w:t>
      </w:r>
    </w:p>
    <w:p w:rsidR="00A14E0B" w:rsidRPr="000028DB" w:rsidRDefault="00A14E0B" w:rsidP="00A14E0B">
      <w:pPr>
        <w:spacing w:line="360" w:lineRule="auto"/>
        <w:jc w:val="both"/>
        <w:rPr>
          <w:rFonts w:ascii="Arial" w:hAnsi="Arial" w:cs="Arial"/>
          <w:sz w:val="24"/>
          <w:szCs w:val="24"/>
          <w:lang w:val="es-MX"/>
        </w:rPr>
      </w:pPr>
      <w:r w:rsidRPr="000028DB">
        <w:rPr>
          <w:rFonts w:ascii="Arial" w:hAnsi="Arial" w:cs="Arial"/>
          <w:sz w:val="24"/>
          <w:szCs w:val="24"/>
          <w:lang w:val="es-MX"/>
        </w:rPr>
        <w:t>Para el desarrollo de la revisión de la información antes mencionada, esta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w:t>
      </w:r>
      <w:r>
        <w:rPr>
          <w:rFonts w:ascii="Arial" w:hAnsi="Arial" w:cs="Arial"/>
          <w:sz w:val="24"/>
          <w:szCs w:val="24"/>
          <w:lang w:val="es-MX"/>
        </w:rPr>
        <w:t xml:space="preserve"> establecidas en los programas.</w:t>
      </w:r>
    </w:p>
    <w:p w:rsidR="00A14E0B" w:rsidRDefault="00A14E0B" w:rsidP="00A14E0B">
      <w:pPr>
        <w:spacing w:line="360" w:lineRule="auto"/>
        <w:jc w:val="both"/>
        <w:rPr>
          <w:rFonts w:ascii="Arial" w:hAnsi="Arial" w:cs="Arial"/>
          <w:sz w:val="24"/>
          <w:szCs w:val="24"/>
          <w:lang w:val="es-MX"/>
        </w:rPr>
      </w:pPr>
      <w:r w:rsidRPr="000028DB">
        <w:rPr>
          <w:rFonts w:ascii="Arial" w:hAnsi="Arial" w:cs="Arial"/>
          <w:sz w:val="24"/>
          <w:szCs w:val="24"/>
          <w:lang w:val="es-MX"/>
        </w:rPr>
        <w:t>Los Estados Financieros presentados en pesos del Fideicomiso Fomento Metropolitano de Mont</w:t>
      </w:r>
      <w:r w:rsidR="00166FC5">
        <w:rPr>
          <w:rFonts w:ascii="Arial" w:hAnsi="Arial" w:cs="Arial"/>
          <w:sz w:val="24"/>
          <w:szCs w:val="24"/>
          <w:lang w:val="es-MX"/>
        </w:rPr>
        <w:t>errey al 31 de diciembre de 2015</w:t>
      </w:r>
      <w:r w:rsidRPr="000028DB">
        <w:rPr>
          <w:rFonts w:ascii="Arial" w:hAnsi="Arial" w:cs="Arial"/>
          <w:sz w:val="24"/>
          <w:szCs w:val="24"/>
          <w:lang w:val="es-MX"/>
        </w:rPr>
        <w:t>, que se mencionan en la Cuenta Pública, son los que se muestran a continuación: </w:t>
      </w:r>
    </w:p>
    <w:p w:rsidR="00A14E0B" w:rsidRDefault="00166FC5" w:rsidP="00166FC5">
      <w:pPr>
        <w:spacing w:line="360" w:lineRule="auto"/>
        <w:jc w:val="center"/>
        <w:rPr>
          <w:rFonts w:ascii="Arial" w:hAnsi="Arial" w:cs="Arial"/>
          <w:sz w:val="24"/>
          <w:szCs w:val="24"/>
          <w:lang w:val="es-MX"/>
        </w:rPr>
      </w:pPr>
      <w:r w:rsidRPr="00166FC5">
        <w:rPr>
          <w:rFonts w:ascii="Arial" w:hAnsi="Arial" w:cs="Arial"/>
          <w:noProof/>
          <w:sz w:val="24"/>
          <w:szCs w:val="24"/>
          <w:lang w:val="es-MX" w:eastAsia="es-MX"/>
        </w:rPr>
        <w:lastRenderedPageBreak/>
        <w:drawing>
          <wp:inline distT="0" distB="0" distL="0" distR="0">
            <wp:extent cx="2524125" cy="933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inline>
        </w:drawing>
      </w:r>
    </w:p>
    <w:p w:rsidR="00A14E0B" w:rsidRDefault="00166FC5" w:rsidP="00A14E0B">
      <w:pPr>
        <w:spacing w:line="360" w:lineRule="auto"/>
        <w:jc w:val="both"/>
        <w:rPr>
          <w:rFonts w:ascii="Arial" w:hAnsi="Arial" w:cs="Arial"/>
          <w:sz w:val="24"/>
          <w:szCs w:val="24"/>
          <w:lang w:val="es-MX"/>
        </w:rPr>
      </w:pPr>
      <w:r w:rsidRPr="00166FC5">
        <w:rPr>
          <w:rFonts w:ascii="Arial" w:hAnsi="Arial" w:cs="Arial"/>
          <w:noProof/>
          <w:sz w:val="24"/>
          <w:szCs w:val="24"/>
          <w:lang w:val="es-MX" w:eastAsia="es-MX"/>
        </w:rPr>
        <w:drawing>
          <wp:inline distT="0" distB="0" distL="0" distR="0">
            <wp:extent cx="5253355" cy="5429887"/>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429887"/>
                    </a:xfrm>
                    <a:prstGeom prst="rect">
                      <a:avLst/>
                    </a:prstGeom>
                    <a:noFill/>
                    <a:ln>
                      <a:noFill/>
                    </a:ln>
                  </pic:spPr>
                </pic:pic>
              </a:graphicData>
            </a:graphic>
          </wp:inline>
        </w:drawing>
      </w:r>
    </w:p>
    <w:p w:rsidR="00A14E0B" w:rsidRDefault="00A14E0B" w:rsidP="00A14E0B">
      <w:pPr>
        <w:spacing w:line="360" w:lineRule="auto"/>
        <w:jc w:val="both"/>
        <w:rPr>
          <w:rFonts w:ascii="Arial" w:hAnsi="Arial" w:cs="Arial"/>
          <w:sz w:val="24"/>
          <w:szCs w:val="24"/>
          <w:lang w:val="es-MX"/>
        </w:rPr>
      </w:pPr>
    </w:p>
    <w:p w:rsidR="00A14E0B" w:rsidRDefault="00A14E0B" w:rsidP="00A14E0B">
      <w:pPr>
        <w:spacing w:line="360" w:lineRule="auto"/>
        <w:jc w:val="both"/>
        <w:rPr>
          <w:rFonts w:ascii="Arial" w:hAnsi="Arial" w:cs="Arial"/>
          <w:sz w:val="24"/>
          <w:szCs w:val="24"/>
          <w:lang w:val="es-MX"/>
        </w:rPr>
      </w:pPr>
    </w:p>
    <w:p w:rsidR="00166FC5" w:rsidRDefault="00166FC5" w:rsidP="00A14E0B">
      <w:pPr>
        <w:spacing w:line="360" w:lineRule="auto"/>
        <w:jc w:val="both"/>
        <w:rPr>
          <w:rFonts w:ascii="Arial" w:hAnsi="Arial" w:cs="Arial"/>
          <w:sz w:val="24"/>
          <w:szCs w:val="24"/>
          <w:lang w:val="es-MX"/>
        </w:rPr>
      </w:pPr>
    </w:p>
    <w:p w:rsidR="00166FC5" w:rsidRDefault="00166FC5" w:rsidP="00A14E0B">
      <w:pPr>
        <w:spacing w:line="360" w:lineRule="auto"/>
        <w:jc w:val="both"/>
        <w:rPr>
          <w:rFonts w:ascii="Arial" w:hAnsi="Arial" w:cs="Arial"/>
          <w:sz w:val="24"/>
          <w:szCs w:val="24"/>
          <w:lang w:val="es-MX"/>
        </w:rPr>
      </w:pPr>
    </w:p>
    <w:p w:rsidR="00166FC5" w:rsidRDefault="00166FC5" w:rsidP="00A14E0B">
      <w:pPr>
        <w:spacing w:line="360" w:lineRule="auto"/>
        <w:jc w:val="both"/>
        <w:rPr>
          <w:rFonts w:ascii="Arial" w:hAnsi="Arial" w:cs="Arial"/>
          <w:sz w:val="24"/>
          <w:szCs w:val="24"/>
          <w:lang w:val="es-MX"/>
        </w:rPr>
      </w:pPr>
    </w:p>
    <w:p w:rsidR="00A14E0B" w:rsidRDefault="00166FC5" w:rsidP="00166FC5">
      <w:pPr>
        <w:spacing w:line="360" w:lineRule="auto"/>
        <w:jc w:val="both"/>
        <w:rPr>
          <w:rFonts w:ascii="Arial" w:hAnsi="Arial" w:cs="Arial"/>
          <w:sz w:val="24"/>
          <w:szCs w:val="24"/>
          <w:lang w:val="es-MX"/>
        </w:rPr>
      </w:pPr>
      <w:r w:rsidRPr="00166FC5">
        <w:rPr>
          <w:rFonts w:ascii="Arial" w:hAnsi="Arial" w:cs="Arial"/>
          <w:noProof/>
          <w:sz w:val="24"/>
          <w:szCs w:val="24"/>
          <w:lang w:val="es-MX" w:eastAsia="es-MX"/>
        </w:rPr>
        <w:lastRenderedPageBreak/>
        <w:drawing>
          <wp:inline distT="0" distB="0" distL="0" distR="0">
            <wp:extent cx="5253355" cy="5609208"/>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5609208"/>
                    </a:xfrm>
                    <a:prstGeom prst="rect">
                      <a:avLst/>
                    </a:prstGeom>
                    <a:noFill/>
                    <a:ln>
                      <a:noFill/>
                    </a:ln>
                  </pic:spPr>
                </pic:pic>
              </a:graphicData>
            </a:graphic>
          </wp:inline>
        </w:drawing>
      </w:r>
    </w:p>
    <w:p w:rsidR="00166FC5" w:rsidRPr="00174482" w:rsidRDefault="00166FC5" w:rsidP="00166FC5">
      <w:pPr>
        <w:spacing w:line="360" w:lineRule="auto"/>
        <w:jc w:val="both"/>
        <w:rPr>
          <w:rFonts w:ascii="Arial" w:hAnsi="Arial" w:cs="Arial"/>
          <w:sz w:val="24"/>
          <w:szCs w:val="24"/>
          <w:lang w:val="es-MX"/>
        </w:rPr>
      </w:pPr>
    </w:p>
    <w:p w:rsidR="00A14E0B" w:rsidRPr="0072204F" w:rsidRDefault="00A14E0B" w:rsidP="00A14E0B">
      <w:pPr>
        <w:pStyle w:val="Prrafodelista"/>
        <w:numPr>
          <w:ilvl w:val="0"/>
          <w:numId w:val="3"/>
        </w:numPr>
        <w:spacing w:after="0"/>
        <w:contextualSpacing/>
        <w:jc w:val="both"/>
        <w:rPr>
          <w:rFonts w:ascii="Arial" w:hAnsi="Arial" w:cs="Arial"/>
          <w:b/>
          <w:sz w:val="24"/>
        </w:rPr>
      </w:pPr>
      <w:r>
        <w:rPr>
          <w:rFonts w:ascii="Arial" w:hAnsi="Arial" w:cs="Arial"/>
          <w:b/>
          <w:sz w:val="24"/>
        </w:rPr>
        <w:lastRenderedPageBreak/>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A14E0B" w:rsidRPr="00381115" w:rsidRDefault="00A14E0B" w:rsidP="00A14E0B">
      <w:pPr>
        <w:pStyle w:val="Prrafodelista"/>
        <w:spacing w:after="0"/>
        <w:contextualSpacing/>
        <w:jc w:val="both"/>
        <w:rPr>
          <w:rFonts w:ascii="Arial" w:hAnsi="Arial" w:cs="Arial"/>
          <w:sz w:val="24"/>
        </w:rPr>
      </w:pPr>
    </w:p>
    <w:p w:rsidR="00A14E0B" w:rsidRDefault="00A14E0B" w:rsidP="00A14E0B">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A14E0B" w:rsidRDefault="00A14E0B" w:rsidP="00A14E0B">
      <w:pPr>
        <w:spacing w:after="0" w:line="360" w:lineRule="auto"/>
        <w:ind w:firstLine="709"/>
        <w:contextualSpacing/>
        <w:jc w:val="both"/>
        <w:rPr>
          <w:rFonts w:ascii="Arial" w:hAnsi="Arial" w:cs="Arial"/>
          <w:sz w:val="24"/>
        </w:rPr>
      </w:pPr>
    </w:p>
    <w:p w:rsidR="00A14E0B" w:rsidRDefault="00A14E0B" w:rsidP="00A14E0B">
      <w:pPr>
        <w:pStyle w:val="Prrafodelista"/>
        <w:numPr>
          <w:ilvl w:val="0"/>
          <w:numId w:val="3"/>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A14E0B" w:rsidRDefault="00A14E0B" w:rsidP="00A14E0B">
      <w:pPr>
        <w:pStyle w:val="Prrafodelista"/>
        <w:spacing w:after="0" w:line="240" w:lineRule="auto"/>
        <w:contextualSpacing/>
        <w:jc w:val="both"/>
        <w:rPr>
          <w:rFonts w:ascii="Arial" w:hAnsi="Arial" w:cs="Arial"/>
          <w:b/>
          <w:sz w:val="24"/>
        </w:rPr>
      </w:pPr>
    </w:p>
    <w:p w:rsidR="00A14E0B" w:rsidRDefault="00A14E0B" w:rsidP="00A14E0B">
      <w:pPr>
        <w:spacing w:after="0"/>
        <w:contextualSpacing/>
        <w:jc w:val="both"/>
        <w:rPr>
          <w:rFonts w:ascii="Arial" w:hAnsi="Arial" w:cs="Arial"/>
          <w:b/>
          <w:bCs/>
          <w:sz w:val="24"/>
        </w:rPr>
      </w:pPr>
    </w:p>
    <w:p w:rsidR="00A14E0B" w:rsidRDefault="00166FC5" w:rsidP="00A14E0B">
      <w:pPr>
        <w:spacing w:after="0"/>
        <w:contextualSpacing/>
        <w:jc w:val="both"/>
        <w:rPr>
          <w:rFonts w:ascii="Arial" w:hAnsi="Arial" w:cs="Arial"/>
          <w:b/>
          <w:bCs/>
          <w:sz w:val="24"/>
        </w:rPr>
      </w:pPr>
      <w:r w:rsidRPr="00166FC5">
        <w:rPr>
          <w:rFonts w:ascii="Arial" w:hAnsi="Arial" w:cs="Arial"/>
          <w:b/>
          <w:bCs/>
          <w:noProof/>
          <w:sz w:val="24"/>
          <w:lang w:val="es-MX" w:eastAsia="es-MX"/>
        </w:rPr>
        <w:drawing>
          <wp:inline distT="0" distB="0" distL="0" distR="0">
            <wp:extent cx="5253355" cy="3195621"/>
            <wp:effectExtent l="0" t="0" r="444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3195621"/>
                    </a:xfrm>
                    <a:prstGeom prst="rect">
                      <a:avLst/>
                    </a:prstGeom>
                    <a:noFill/>
                    <a:ln>
                      <a:noFill/>
                    </a:ln>
                  </pic:spPr>
                </pic:pic>
              </a:graphicData>
            </a:graphic>
          </wp:inline>
        </w:drawing>
      </w:r>
    </w:p>
    <w:p w:rsidR="00A14E0B" w:rsidRDefault="00A14E0B" w:rsidP="00A14E0B">
      <w:pPr>
        <w:spacing w:after="0"/>
        <w:contextualSpacing/>
        <w:jc w:val="both"/>
        <w:rPr>
          <w:rFonts w:ascii="Arial" w:hAnsi="Arial" w:cs="Arial"/>
          <w:b/>
          <w:bCs/>
          <w:sz w:val="24"/>
        </w:rPr>
      </w:pPr>
    </w:p>
    <w:p w:rsidR="00A14E0B" w:rsidRDefault="00A14E0B" w:rsidP="00A14E0B">
      <w:pPr>
        <w:spacing w:after="0"/>
        <w:contextualSpacing/>
        <w:jc w:val="both"/>
        <w:rPr>
          <w:rFonts w:ascii="Arial" w:hAnsi="Arial" w:cs="Arial"/>
          <w:sz w:val="24"/>
        </w:rPr>
      </w:pPr>
      <w:r w:rsidRPr="009120CE">
        <w:rPr>
          <w:rFonts w:ascii="Arial" w:hAnsi="Arial" w:cs="Arial"/>
          <w:b/>
          <w:bCs/>
          <w:sz w:val="24"/>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hAnsi="Arial" w:cs="Arial"/>
          <w:b/>
          <w:bCs/>
          <w:sz w:val="24"/>
        </w:rPr>
        <w:t>.</w:t>
      </w:r>
    </w:p>
    <w:p w:rsidR="00A14E0B" w:rsidRDefault="00A14E0B" w:rsidP="00A14E0B">
      <w:pPr>
        <w:spacing w:after="0"/>
        <w:contextualSpacing/>
        <w:jc w:val="both"/>
        <w:rPr>
          <w:rFonts w:ascii="Arial" w:hAnsi="Arial" w:cs="Arial"/>
          <w:b/>
          <w:sz w:val="24"/>
        </w:rPr>
      </w:pPr>
    </w:p>
    <w:p w:rsidR="00A14E0B" w:rsidRDefault="00A14E0B" w:rsidP="00A14E0B">
      <w:pPr>
        <w:spacing w:after="0"/>
        <w:contextualSpacing/>
        <w:jc w:val="both"/>
        <w:rPr>
          <w:rFonts w:ascii="Arial" w:hAnsi="Arial" w:cs="Arial"/>
          <w:b/>
          <w:sz w:val="24"/>
        </w:rPr>
      </w:pPr>
    </w:p>
    <w:p w:rsidR="00A14E0B" w:rsidRDefault="00A14E0B" w:rsidP="00A14E0B">
      <w:pPr>
        <w:spacing w:after="0"/>
        <w:contextualSpacing/>
        <w:jc w:val="both"/>
        <w:rPr>
          <w:rFonts w:ascii="Arial" w:hAnsi="Arial" w:cs="Arial"/>
          <w:b/>
          <w:sz w:val="24"/>
        </w:rPr>
      </w:pPr>
    </w:p>
    <w:p w:rsidR="00A14E0B" w:rsidRPr="004100DF" w:rsidRDefault="00A14E0B" w:rsidP="00A14E0B">
      <w:pPr>
        <w:spacing w:after="0"/>
        <w:contextualSpacing/>
        <w:jc w:val="both"/>
        <w:rPr>
          <w:rFonts w:ascii="Arial" w:hAnsi="Arial" w:cs="Arial"/>
          <w:b/>
          <w:sz w:val="24"/>
        </w:rPr>
      </w:pPr>
      <w:r w:rsidRPr="004100DF">
        <w:rPr>
          <w:rFonts w:ascii="Arial" w:hAnsi="Arial" w:cs="Arial"/>
          <w:b/>
          <w:sz w:val="24"/>
        </w:rPr>
        <w:t>GESTIÓN FINANCIERA</w:t>
      </w:r>
    </w:p>
    <w:p w:rsidR="00A14E0B" w:rsidRDefault="00A14E0B" w:rsidP="00A14E0B">
      <w:pPr>
        <w:spacing w:after="0" w:line="360" w:lineRule="auto"/>
        <w:contextualSpacing/>
        <w:jc w:val="both"/>
        <w:rPr>
          <w:rFonts w:ascii="Arial" w:hAnsi="Arial" w:cs="Arial"/>
          <w:sz w:val="24"/>
        </w:rPr>
      </w:pPr>
    </w:p>
    <w:p w:rsidR="00A14E0B" w:rsidRPr="008B44C3" w:rsidRDefault="00A14E0B" w:rsidP="00A14E0B">
      <w:pPr>
        <w:spacing w:after="0" w:line="360" w:lineRule="auto"/>
        <w:contextualSpacing/>
        <w:jc w:val="both"/>
        <w:rPr>
          <w:rFonts w:ascii="Arial" w:hAnsi="Arial" w:cs="Arial"/>
          <w:b/>
          <w:sz w:val="24"/>
          <w:u w:val="single"/>
        </w:rPr>
      </w:pPr>
      <w:r w:rsidRPr="008B44C3">
        <w:rPr>
          <w:rFonts w:ascii="Arial" w:hAnsi="Arial" w:cs="Arial"/>
          <w:b/>
          <w:sz w:val="24"/>
          <w:u w:val="single"/>
        </w:rPr>
        <w:t>Ley General de Contabilidad Gubernamental</w:t>
      </w:r>
    </w:p>
    <w:p w:rsidR="00A14E0B" w:rsidRDefault="00A14E0B" w:rsidP="00A14E0B">
      <w:pPr>
        <w:spacing w:after="0" w:line="360" w:lineRule="auto"/>
        <w:contextualSpacing/>
        <w:jc w:val="both"/>
        <w:rPr>
          <w:rFonts w:ascii="Arial" w:hAnsi="Arial" w:cs="Arial"/>
          <w:i/>
          <w:sz w:val="24"/>
        </w:rPr>
      </w:pPr>
    </w:p>
    <w:p w:rsidR="002B5D97" w:rsidRPr="000C6875" w:rsidRDefault="002B5D97" w:rsidP="00166FC5">
      <w:pPr>
        <w:spacing w:after="0" w:line="360" w:lineRule="auto"/>
        <w:contextualSpacing/>
        <w:jc w:val="both"/>
        <w:rPr>
          <w:rFonts w:ascii="Arial" w:hAnsi="Arial" w:cs="Arial"/>
          <w:i/>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1. </w:t>
      </w:r>
      <w:r w:rsidRPr="002B5D97">
        <w:rPr>
          <w:rFonts w:ascii="Arial" w:hAnsi="Arial" w:cs="Arial"/>
          <w:sz w:val="24"/>
        </w:rPr>
        <w:t>Se revisó la observancia de la Ley General de Contabilidad Gubernamental (LGCG) y la normatividad emitida por el Consejo Nacional de Armonización Contable (</w:t>
      </w:r>
      <w:proofErr w:type="spellStart"/>
      <w:r w:rsidRPr="002B5D97">
        <w:rPr>
          <w:rFonts w:ascii="Arial" w:hAnsi="Arial" w:cs="Arial"/>
          <w:sz w:val="24"/>
        </w:rPr>
        <w:t>Conac</w:t>
      </w:r>
      <w:proofErr w:type="spellEnd"/>
      <w:r w:rsidRPr="002B5D97">
        <w:rPr>
          <w:rFonts w:ascii="Arial" w:hAnsi="Arial" w:cs="Arial"/>
          <w:sz w:val="24"/>
        </w:rPr>
        <w:t>), advirtiéndose incumplimientos por parte del Ente Público, a las obligaciones que diversos preceptos de la referida Ley le imponen, acorde con lo que se enuncia a continuación:</w:t>
      </w:r>
    </w:p>
    <w:p w:rsid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I.</w:t>
      </w:r>
      <w:r>
        <w:rPr>
          <w:rFonts w:ascii="Arial" w:hAnsi="Arial" w:cs="Arial"/>
          <w:sz w:val="24"/>
        </w:rPr>
        <w:t xml:space="preserve"> </w:t>
      </w:r>
      <w:r w:rsidRPr="002B5D97">
        <w:rPr>
          <w:rFonts w:ascii="Arial" w:hAnsi="Arial" w:cs="Arial"/>
          <w:sz w:val="24"/>
        </w:rPr>
        <w:t>Registros contables</w:t>
      </w:r>
    </w:p>
    <w:p w:rsid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a) </w:t>
      </w:r>
      <w:r w:rsidRPr="002B5D97">
        <w:rPr>
          <w:rFonts w:ascii="Arial" w:hAnsi="Arial" w:cs="Arial"/>
          <w:sz w:val="24"/>
        </w:rPr>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lastRenderedPageBreak/>
        <w:t xml:space="preserve">b) </w:t>
      </w:r>
      <w:r w:rsidRPr="002B5D97">
        <w:rPr>
          <w:rFonts w:ascii="Arial" w:hAnsi="Arial" w:cs="Arial"/>
          <w:sz w:val="24"/>
        </w:rPr>
        <w:t>Constituir provisiones, revisarlas y ajustarlas periódicamente para mantener su vigencia (artículo 39).</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II.</w:t>
      </w:r>
      <w:r>
        <w:rPr>
          <w:rFonts w:ascii="Arial" w:hAnsi="Arial" w:cs="Arial"/>
          <w:sz w:val="24"/>
        </w:rPr>
        <w:t xml:space="preserve"> </w:t>
      </w:r>
      <w:r w:rsidRPr="002B5D97">
        <w:rPr>
          <w:rFonts w:ascii="Arial" w:hAnsi="Arial" w:cs="Arial"/>
          <w:sz w:val="24"/>
        </w:rPr>
        <w:t>Registros presupuestarios</w:t>
      </w:r>
    </w:p>
    <w:p w:rsid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a) </w:t>
      </w:r>
      <w:r w:rsidRPr="002B5D97">
        <w:rPr>
          <w:rFonts w:ascii="Arial" w:hAnsi="Arial" w:cs="Arial"/>
          <w:sz w:val="24"/>
        </w:rPr>
        <w:t>Disponer de clasificadores presupuestarios armonizados, que permitan su interrelación automática (artículo 41, conforme a los clasificadores).</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a.1. Clasificador por rubro de ingresos.</w:t>
      </w: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a.2. Clasificador por objeto del gasto.</w:t>
      </w: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a.3. Clasificador por tipo del gasto.</w:t>
      </w: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a.4. Clasificación funcional del gasto.</w:t>
      </w: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a.5. Clasificación programática.</w:t>
      </w: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a.6. Clasificación administrativa.</w:t>
      </w: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a.7. Clasificador por fuente de financiamiento.</w:t>
      </w:r>
    </w:p>
    <w:p w:rsid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b) </w:t>
      </w:r>
      <w:r w:rsidRPr="002B5D97">
        <w:rPr>
          <w:rFonts w:ascii="Arial" w:hAnsi="Arial" w:cs="Arial"/>
          <w:sz w:val="24"/>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c) </w:t>
      </w:r>
      <w:r w:rsidRPr="002B5D97">
        <w:rPr>
          <w:rFonts w:ascii="Arial" w:hAnsi="Arial" w:cs="Arial"/>
          <w:sz w:val="24"/>
        </w:rPr>
        <w:t>Exhibir en los registros auxiliares los avances presupuestarios y contables (artículo 36).</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d) </w:t>
      </w:r>
      <w:r w:rsidRPr="002B5D97">
        <w:rPr>
          <w:rFonts w:ascii="Arial" w:hAnsi="Arial" w:cs="Arial"/>
          <w:sz w:val="24"/>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e) </w:t>
      </w:r>
      <w:r w:rsidRPr="002B5D97">
        <w:rPr>
          <w:rFonts w:ascii="Arial" w:hAnsi="Arial" w:cs="Arial"/>
          <w:sz w:val="24"/>
        </w:rPr>
        <w:t>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Armonización Contable, en reunión del 3 de mayo de 2013 y publicado el 16 de mayo de 2013).</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f) </w:t>
      </w:r>
      <w:r w:rsidRPr="002B5D97">
        <w:rPr>
          <w:rFonts w:ascii="Arial" w:hAnsi="Arial" w:cs="Arial"/>
          <w:sz w:val="24"/>
        </w:rPr>
        <w:t>Generar estados financieros en tiempo real (artículo 19, fracción V, VI y Sexto transitorio, conforme al Acuerdo por el que se determina la norma de información financiera para precisar los alcances del Acuerdo 1 aprobado por el Consejo Nacional de Armonización Contable, en reunión del 3 de mayo de 2013 y publicado el 16 de mayo de 2013).</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sidRPr="002B5D97">
        <w:rPr>
          <w:rFonts w:ascii="Arial" w:hAnsi="Arial" w:cs="Arial"/>
          <w:sz w:val="24"/>
        </w:rPr>
        <w:t>III.</w:t>
      </w:r>
      <w:r>
        <w:rPr>
          <w:rFonts w:ascii="Arial" w:hAnsi="Arial" w:cs="Arial"/>
          <w:sz w:val="24"/>
        </w:rPr>
        <w:t xml:space="preserve"> </w:t>
      </w:r>
      <w:r w:rsidRPr="002B5D97">
        <w:rPr>
          <w:rFonts w:ascii="Arial" w:hAnsi="Arial" w:cs="Arial"/>
          <w:sz w:val="24"/>
        </w:rPr>
        <w:t>Registros administrativos</w:t>
      </w:r>
    </w:p>
    <w:p w:rsid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lastRenderedPageBreak/>
        <w:t xml:space="preserve">a) </w:t>
      </w:r>
      <w:r w:rsidRPr="002B5D97">
        <w:rPr>
          <w:rFonts w:ascii="Arial" w:hAnsi="Arial" w:cs="Arial"/>
          <w:sz w:val="24"/>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b) </w:t>
      </w:r>
      <w:r w:rsidRPr="002B5D97">
        <w:rPr>
          <w:rFonts w:ascii="Arial" w:hAnsi="Arial" w:cs="Arial"/>
          <w:sz w:val="24"/>
        </w:rPr>
        <w:t>Respaldar la contabilización de las operaciones presupuestarias y contables con la documentación original que compruebe y justifique los registros que se efectúen (artículo 42).</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c) </w:t>
      </w:r>
      <w:r w:rsidRPr="002B5D97">
        <w:rPr>
          <w:rFonts w:ascii="Arial" w:hAnsi="Arial" w:cs="Arial"/>
          <w:sz w:val="24"/>
        </w:rPr>
        <w:t>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permita la interrelación automática con el clasificador por objeto del gasto y la lista de cuentas).</w:t>
      </w:r>
    </w:p>
    <w:p w:rsidR="002B5D97" w:rsidRPr="002B5D97" w:rsidRDefault="002B5D97" w:rsidP="002B5D97">
      <w:pPr>
        <w:spacing w:after="0" w:line="360" w:lineRule="auto"/>
        <w:contextualSpacing/>
        <w:jc w:val="both"/>
        <w:rPr>
          <w:rFonts w:ascii="Arial" w:hAnsi="Arial" w:cs="Arial"/>
          <w:sz w:val="24"/>
        </w:rPr>
      </w:pPr>
    </w:p>
    <w:p w:rsidR="002B5D97" w:rsidRPr="002B5D97" w:rsidRDefault="002B5D97" w:rsidP="002B5D97">
      <w:pPr>
        <w:spacing w:after="0" w:line="360" w:lineRule="auto"/>
        <w:contextualSpacing/>
        <w:jc w:val="both"/>
        <w:rPr>
          <w:rFonts w:ascii="Arial" w:hAnsi="Arial" w:cs="Arial"/>
          <w:sz w:val="24"/>
        </w:rPr>
      </w:pPr>
      <w:r>
        <w:rPr>
          <w:rFonts w:ascii="Arial" w:hAnsi="Arial" w:cs="Arial"/>
          <w:sz w:val="24"/>
        </w:rPr>
        <w:t xml:space="preserve">d) </w:t>
      </w:r>
      <w:r w:rsidRPr="002B5D97">
        <w:rPr>
          <w:rFonts w:ascii="Arial" w:hAnsi="Arial" w:cs="Arial"/>
          <w:sz w:val="24"/>
        </w:rPr>
        <w:t>Realizar los pagos directamente en forma electrónica, mediante abono en cuenta del beneficiario (artículo 67, párrafo segundo).</w:t>
      </w:r>
    </w:p>
    <w:p w:rsidR="00A14E0B" w:rsidRPr="002B5D97" w:rsidRDefault="00A14E0B" w:rsidP="00166FC5">
      <w:pPr>
        <w:spacing w:after="0" w:line="360" w:lineRule="auto"/>
        <w:contextualSpacing/>
        <w:jc w:val="both"/>
        <w:rPr>
          <w:rFonts w:ascii="Arial" w:hAnsi="Arial" w:cs="Arial"/>
          <w:sz w:val="24"/>
        </w:rPr>
      </w:pPr>
    </w:p>
    <w:p w:rsidR="00A14E0B" w:rsidRDefault="00A14E0B" w:rsidP="00A14E0B">
      <w:pPr>
        <w:spacing w:after="0" w:line="360" w:lineRule="auto"/>
        <w:contextualSpacing/>
        <w:jc w:val="both"/>
        <w:rPr>
          <w:rFonts w:ascii="Arial" w:hAnsi="Arial" w:cs="Arial"/>
          <w:b/>
          <w:sz w:val="24"/>
        </w:rPr>
      </w:pPr>
    </w:p>
    <w:p w:rsidR="002B5D97" w:rsidRPr="002B5D97" w:rsidRDefault="002B5D97" w:rsidP="002B5D97">
      <w:pPr>
        <w:pStyle w:val="Prrafodelista"/>
        <w:spacing w:after="0"/>
        <w:ind w:left="142"/>
        <w:contextualSpacing/>
        <w:jc w:val="both"/>
        <w:rPr>
          <w:rFonts w:ascii="Arial" w:hAnsi="Arial" w:cs="Arial"/>
          <w:b/>
          <w:bCs/>
          <w:sz w:val="24"/>
        </w:rPr>
      </w:pPr>
      <w:r w:rsidRPr="002B5D97">
        <w:rPr>
          <w:rFonts w:ascii="Arial" w:hAnsi="Arial" w:cs="Arial"/>
          <w:b/>
          <w:bCs/>
          <w:sz w:val="24"/>
        </w:rPr>
        <w:t>Análisis de la Auditoría Superior del Estado</w:t>
      </w:r>
    </w:p>
    <w:p w:rsidR="002B5D97" w:rsidRDefault="002B5D97" w:rsidP="002B5D97">
      <w:pPr>
        <w:pStyle w:val="Prrafodelista"/>
        <w:spacing w:after="0"/>
        <w:contextualSpacing/>
        <w:jc w:val="both"/>
        <w:rPr>
          <w:rFonts w:ascii="Arial" w:hAnsi="Arial" w:cs="Arial"/>
          <w:bCs/>
          <w:sz w:val="24"/>
        </w:rPr>
      </w:pPr>
    </w:p>
    <w:p w:rsidR="002B5D97" w:rsidRPr="002B5D97" w:rsidRDefault="002B5D97" w:rsidP="002B5D97">
      <w:pPr>
        <w:pStyle w:val="Prrafodelista"/>
        <w:spacing w:after="0"/>
        <w:ind w:left="142"/>
        <w:contextualSpacing/>
        <w:jc w:val="both"/>
        <w:rPr>
          <w:rFonts w:ascii="Arial" w:hAnsi="Arial" w:cs="Arial"/>
          <w:bCs/>
          <w:sz w:val="24"/>
        </w:rPr>
      </w:pPr>
      <w:r w:rsidRPr="002B5D97">
        <w:rPr>
          <w:rFonts w:ascii="Arial" w:hAnsi="Arial" w:cs="Arial"/>
          <w:bCs/>
          <w:sz w:val="24"/>
        </w:rPr>
        <w:t xml:space="preserve">Se analizó la respuesta y documentación proporcionada por el Ente Público, la cual solventa parcialmente, toda vez que se encuentra en proceso de implementación de medidas correctivas, sin embargo, no ha cumplido con la totalidad de las disposiciones señaladas en la Ley General de Contabilidad </w:t>
      </w:r>
      <w:r w:rsidRPr="002B5D97">
        <w:rPr>
          <w:rFonts w:ascii="Arial" w:hAnsi="Arial" w:cs="Arial"/>
          <w:bCs/>
          <w:sz w:val="24"/>
        </w:rPr>
        <w:lastRenderedPageBreak/>
        <w:t>Gubernamental y la normativa emitida por el Consejo Nacional de Armonización Contable.</w:t>
      </w:r>
    </w:p>
    <w:p w:rsidR="002B5D97" w:rsidRPr="002B5D97" w:rsidRDefault="002B5D97" w:rsidP="002B5D97">
      <w:pPr>
        <w:pStyle w:val="Prrafodelista"/>
        <w:spacing w:after="0"/>
        <w:ind w:left="142"/>
        <w:contextualSpacing/>
        <w:jc w:val="both"/>
        <w:rPr>
          <w:rFonts w:ascii="Arial" w:hAnsi="Arial" w:cs="Arial"/>
          <w:bCs/>
          <w:sz w:val="24"/>
        </w:rPr>
      </w:pPr>
    </w:p>
    <w:p w:rsidR="002B5D97" w:rsidRPr="002B5D97" w:rsidRDefault="002B5D97" w:rsidP="002B5D97">
      <w:pPr>
        <w:pStyle w:val="Prrafodelista"/>
        <w:spacing w:after="0"/>
        <w:ind w:left="142"/>
        <w:contextualSpacing/>
        <w:jc w:val="both"/>
        <w:rPr>
          <w:rFonts w:ascii="Arial" w:hAnsi="Arial" w:cs="Arial"/>
          <w:bCs/>
          <w:sz w:val="24"/>
        </w:rPr>
      </w:pPr>
    </w:p>
    <w:p w:rsidR="002B5D97" w:rsidRPr="002B5D97" w:rsidRDefault="002B5D97" w:rsidP="002B5D97">
      <w:pPr>
        <w:pStyle w:val="Prrafodelista"/>
        <w:spacing w:after="0"/>
        <w:ind w:left="142"/>
        <w:contextualSpacing/>
        <w:jc w:val="both"/>
        <w:rPr>
          <w:rFonts w:ascii="Arial" w:hAnsi="Arial" w:cs="Arial"/>
          <w:b/>
          <w:bCs/>
          <w:i/>
          <w:sz w:val="24"/>
        </w:rPr>
      </w:pPr>
      <w:r w:rsidRPr="002B5D97">
        <w:rPr>
          <w:rFonts w:ascii="Arial" w:hAnsi="Arial" w:cs="Arial"/>
          <w:b/>
          <w:bCs/>
          <w:i/>
          <w:sz w:val="24"/>
        </w:rPr>
        <w:t>Acción(es) o recomendación(es) emitida(s)</w:t>
      </w:r>
    </w:p>
    <w:p w:rsidR="002B5D97" w:rsidRPr="002B5D97" w:rsidRDefault="002B5D97" w:rsidP="002B5D97">
      <w:pPr>
        <w:pStyle w:val="Prrafodelista"/>
        <w:spacing w:after="0"/>
        <w:ind w:left="142"/>
        <w:contextualSpacing/>
        <w:jc w:val="both"/>
        <w:rPr>
          <w:rFonts w:ascii="Arial" w:hAnsi="Arial" w:cs="Arial"/>
          <w:bCs/>
          <w:sz w:val="24"/>
        </w:rPr>
      </w:pPr>
      <w:r w:rsidRPr="002B5D97">
        <w:rPr>
          <w:rFonts w:ascii="Arial" w:hAnsi="Arial" w:cs="Arial"/>
          <w:bCs/>
          <w:sz w:val="24"/>
        </w:rPr>
        <w:t>Recomendaciones en Relación a la Gestión o Control Interno.</w:t>
      </w:r>
    </w:p>
    <w:p w:rsidR="002B5D97" w:rsidRDefault="002B5D97" w:rsidP="002B5D97">
      <w:pPr>
        <w:pStyle w:val="Prrafodelista"/>
        <w:spacing w:after="0"/>
        <w:ind w:left="142"/>
        <w:contextualSpacing/>
        <w:jc w:val="both"/>
        <w:rPr>
          <w:rFonts w:ascii="Arial" w:hAnsi="Arial" w:cs="Arial"/>
          <w:bCs/>
          <w:sz w:val="24"/>
        </w:rPr>
      </w:pPr>
    </w:p>
    <w:p w:rsidR="002B5D97" w:rsidRPr="002B5D97" w:rsidRDefault="002B5D97" w:rsidP="002B5D97">
      <w:pPr>
        <w:pStyle w:val="Prrafodelista"/>
        <w:spacing w:after="0"/>
        <w:ind w:left="142"/>
        <w:contextualSpacing/>
        <w:jc w:val="both"/>
        <w:rPr>
          <w:rFonts w:ascii="Arial" w:hAnsi="Arial" w:cs="Arial"/>
          <w:bCs/>
          <w:sz w:val="24"/>
        </w:rPr>
      </w:pPr>
      <w:r w:rsidRPr="002B5D97">
        <w:rPr>
          <w:rFonts w:ascii="Arial" w:hAnsi="Arial" w:cs="Arial"/>
          <w:bCs/>
          <w:sz w:val="24"/>
        </w:rPr>
        <w:t>Concluir con el proceso de la implementación de las disposiciones señaladas en la Ley General de Contabilidad Gubernamental y la normativa emitida por el Consejo Nacional de Armonización Contable.</w:t>
      </w:r>
    </w:p>
    <w:p w:rsidR="002B5D97" w:rsidRDefault="002B5D97" w:rsidP="002B5D97">
      <w:pPr>
        <w:pStyle w:val="Prrafodelista"/>
        <w:spacing w:after="0"/>
        <w:ind w:left="142"/>
        <w:contextualSpacing/>
        <w:jc w:val="both"/>
        <w:rPr>
          <w:rFonts w:ascii="Arial" w:hAnsi="Arial" w:cs="Arial"/>
          <w:bCs/>
          <w:sz w:val="24"/>
        </w:rPr>
      </w:pPr>
    </w:p>
    <w:p w:rsidR="002B5D97" w:rsidRDefault="002B5D97" w:rsidP="002B5D97">
      <w:pPr>
        <w:pStyle w:val="Prrafodelista"/>
        <w:spacing w:after="0"/>
        <w:contextualSpacing/>
        <w:jc w:val="both"/>
        <w:rPr>
          <w:rFonts w:ascii="Arial" w:hAnsi="Arial" w:cs="Arial"/>
          <w:bCs/>
          <w:sz w:val="24"/>
        </w:rPr>
      </w:pPr>
    </w:p>
    <w:p w:rsidR="002B5D97" w:rsidRPr="002B5D97" w:rsidRDefault="002B5D97" w:rsidP="002B5D97">
      <w:pPr>
        <w:pStyle w:val="Prrafodelista"/>
        <w:spacing w:after="0"/>
        <w:ind w:left="142"/>
        <w:contextualSpacing/>
        <w:jc w:val="both"/>
        <w:rPr>
          <w:rFonts w:ascii="Arial" w:hAnsi="Arial" w:cs="Arial"/>
          <w:b/>
          <w:bCs/>
          <w:sz w:val="24"/>
          <w:u w:val="single"/>
        </w:rPr>
      </w:pPr>
      <w:r w:rsidRPr="002B5D97">
        <w:rPr>
          <w:rFonts w:ascii="Arial" w:hAnsi="Arial" w:cs="Arial"/>
          <w:b/>
          <w:bCs/>
          <w:sz w:val="24"/>
          <w:u w:val="single"/>
        </w:rPr>
        <w:t>ACTIVO</w:t>
      </w:r>
    </w:p>
    <w:p w:rsidR="002B5D97" w:rsidRPr="002B5D97" w:rsidRDefault="002B5D97" w:rsidP="002B5D97">
      <w:pPr>
        <w:pStyle w:val="Prrafodelista"/>
        <w:spacing w:after="0"/>
        <w:ind w:left="142"/>
        <w:contextualSpacing/>
        <w:jc w:val="both"/>
        <w:rPr>
          <w:rFonts w:ascii="Arial" w:hAnsi="Arial" w:cs="Arial"/>
          <w:b/>
          <w:bCs/>
          <w:sz w:val="24"/>
          <w:u w:val="single"/>
        </w:rPr>
      </w:pPr>
      <w:r w:rsidRPr="002B5D97">
        <w:rPr>
          <w:rFonts w:ascii="Arial" w:hAnsi="Arial" w:cs="Arial"/>
          <w:b/>
          <w:bCs/>
          <w:sz w:val="24"/>
          <w:u w:val="single"/>
        </w:rPr>
        <w:t>Activo circulante</w:t>
      </w:r>
    </w:p>
    <w:p w:rsidR="002B5D97" w:rsidRPr="002B5D97" w:rsidRDefault="002B5D97" w:rsidP="002B5D97">
      <w:pPr>
        <w:pStyle w:val="Prrafodelista"/>
        <w:spacing w:after="0"/>
        <w:ind w:left="142"/>
        <w:contextualSpacing/>
        <w:jc w:val="both"/>
        <w:rPr>
          <w:rFonts w:ascii="Arial" w:hAnsi="Arial" w:cs="Arial"/>
          <w:b/>
          <w:bCs/>
          <w:sz w:val="24"/>
          <w:u w:val="single"/>
        </w:rPr>
      </w:pPr>
      <w:r w:rsidRPr="002B5D97">
        <w:rPr>
          <w:rFonts w:ascii="Arial" w:hAnsi="Arial" w:cs="Arial"/>
          <w:b/>
          <w:bCs/>
          <w:sz w:val="24"/>
          <w:u w:val="single"/>
        </w:rPr>
        <w:t>Derechos a Recibir Efectivo o Equivalentes</w:t>
      </w:r>
    </w:p>
    <w:p w:rsidR="002B5D97" w:rsidRPr="002B5D97" w:rsidRDefault="002B5D97" w:rsidP="002B5D97">
      <w:pPr>
        <w:pStyle w:val="Prrafodelista"/>
        <w:spacing w:after="0"/>
        <w:ind w:left="142"/>
        <w:contextualSpacing/>
        <w:jc w:val="both"/>
        <w:rPr>
          <w:rFonts w:ascii="Arial" w:hAnsi="Arial" w:cs="Arial"/>
          <w:b/>
          <w:bCs/>
          <w:sz w:val="24"/>
          <w:u w:val="single"/>
        </w:rPr>
      </w:pPr>
      <w:r w:rsidRPr="002B5D97">
        <w:rPr>
          <w:rFonts w:ascii="Arial" w:hAnsi="Arial" w:cs="Arial"/>
          <w:b/>
          <w:bCs/>
          <w:sz w:val="24"/>
          <w:u w:val="single"/>
        </w:rPr>
        <w:t>Cuentas por cobrar a corto plazo</w:t>
      </w:r>
    </w:p>
    <w:p w:rsidR="00166FC5" w:rsidRDefault="00166FC5" w:rsidP="002B5D97">
      <w:pPr>
        <w:pStyle w:val="Prrafodelista"/>
        <w:spacing w:after="0"/>
        <w:ind w:left="142"/>
        <w:contextualSpacing/>
        <w:jc w:val="both"/>
        <w:rPr>
          <w:rFonts w:ascii="Arial" w:hAnsi="Arial" w:cs="Arial"/>
          <w:bCs/>
          <w:sz w:val="24"/>
        </w:rPr>
      </w:pPr>
    </w:p>
    <w:p w:rsidR="002B5D97" w:rsidRPr="002B5D97" w:rsidRDefault="002B5D97" w:rsidP="002B5D97">
      <w:pPr>
        <w:pStyle w:val="Prrafodelista"/>
        <w:spacing w:after="0"/>
        <w:ind w:left="142"/>
        <w:contextualSpacing/>
        <w:jc w:val="both"/>
        <w:rPr>
          <w:rFonts w:ascii="Arial" w:hAnsi="Arial" w:cs="Arial"/>
          <w:bCs/>
          <w:sz w:val="24"/>
        </w:rPr>
      </w:pPr>
      <w:r>
        <w:rPr>
          <w:rFonts w:ascii="Arial" w:hAnsi="Arial" w:cs="Arial"/>
          <w:bCs/>
          <w:sz w:val="24"/>
        </w:rPr>
        <w:t xml:space="preserve">2. </w:t>
      </w:r>
      <w:r w:rsidRPr="002B5D97">
        <w:rPr>
          <w:rFonts w:ascii="Arial" w:hAnsi="Arial" w:cs="Arial"/>
          <w:bCs/>
          <w:sz w:val="24"/>
        </w:rPr>
        <w:t>Diferencia por $179,819 entre el saldo presentado en Cuenta Pública 2015 y el saldo reflejado en el Sistema de cartera al 31 de diciembre de 2015.</w:t>
      </w:r>
    </w:p>
    <w:p w:rsidR="002B5D97" w:rsidRDefault="002B5D97" w:rsidP="002B5D97">
      <w:pPr>
        <w:pStyle w:val="Prrafodelista"/>
        <w:spacing w:after="0"/>
        <w:ind w:left="142"/>
        <w:contextualSpacing/>
        <w:jc w:val="both"/>
        <w:rPr>
          <w:rFonts w:ascii="Arial" w:hAnsi="Arial" w:cs="Arial"/>
          <w:bCs/>
          <w:sz w:val="24"/>
        </w:rPr>
      </w:pPr>
      <w:r w:rsidRPr="002B5D97">
        <w:rPr>
          <w:rFonts w:ascii="Arial" w:hAnsi="Arial" w:cs="Arial"/>
          <w:bCs/>
          <w:sz w:val="24"/>
        </w:rPr>
        <w:t>La integración es la siguiente:</w:t>
      </w:r>
    </w:p>
    <w:p w:rsidR="002B5D97" w:rsidRDefault="002B5D97" w:rsidP="002B5D97">
      <w:pPr>
        <w:pStyle w:val="Prrafodelista"/>
        <w:spacing w:after="0"/>
        <w:ind w:left="142"/>
        <w:contextualSpacing/>
        <w:jc w:val="both"/>
        <w:rPr>
          <w:rFonts w:ascii="Arial" w:hAnsi="Arial" w:cs="Arial"/>
          <w:bCs/>
          <w:sz w:val="24"/>
        </w:rPr>
      </w:pPr>
    </w:p>
    <w:tbl>
      <w:tblPr>
        <w:tblW w:w="409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4"/>
        <w:gridCol w:w="3947"/>
        <w:gridCol w:w="193"/>
        <w:gridCol w:w="1186"/>
      </w:tblGrid>
      <w:tr w:rsidR="00ED3057" w:rsidRPr="002B5D97" w:rsidTr="00ED3057">
        <w:trPr>
          <w:tblHeader/>
          <w:tblCellSpacing w:w="15" w:type="dxa"/>
          <w:jc w:val="center"/>
        </w:trPr>
        <w:tc>
          <w:tcPr>
            <w:tcW w:w="0" w:type="auto"/>
            <w:shd w:val="clear" w:color="auto" w:fill="A6A6A6" w:themeFill="background1" w:themeFillShade="A6"/>
            <w:vAlign w:val="center"/>
            <w:hideMark/>
          </w:tcPr>
          <w:p w:rsidR="002B5D97" w:rsidRPr="002B5D97" w:rsidRDefault="002B5D97" w:rsidP="002B5D97">
            <w:pPr>
              <w:jc w:val="center"/>
              <w:rPr>
                <w:rFonts w:ascii="Arial" w:hAnsi="Arial" w:cs="Arial"/>
                <w:b/>
                <w:sz w:val="14"/>
                <w:szCs w:val="14"/>
                <w:u w:val="single"/>
                <w:lang w:val="es-MX" w:eastAsia="es-MX"/>
              </w:rPr>
            </w:pPr>
            <w:r w:rsidRPr="002B5D97">
              <w:rPr>
                <w:rFonts w:ascii="Arial" w:hAnsi="Arial" w:cs="Arial"/>
                <w:b/>
                <w:sz w:val="14"/>
                <w:szCs w:val="14"/>
                <w:u w:val="single"/>
                <w:lang w:val="es-MX" w:eastAsia="es-MX"/>
              </w:rPr>
              <w:t>Cuenta contable</w:t>
            </w:r>
          </w:p>
        </w:tc>
        <w:tc>
          <w:tcPr>
            <w:tcW w:w="2936" w:type="pct"/>
            <w:shd w:val="clear" w:color="auto" w:fill="A6A6A6" w:themeFill="background1" w:themeFillShade="A6"/>
            <w:vAlign w:val="center"/>
            <w:hideMark/>
          </w:tcPr>
          <w:p w:rsidR="002B5D97" w:rsidRPr="002B5D97" w:rsidRDefault="002B5D97" w:rsidP="002B5D97">
            <w:pPr>
              <w:jc w:val="center"/>
              <w:rPr>
                <w:rFonts w:ascii="Arial" w:hAnsi="Arial" w:cs="Arial"/>
                <w:b/>
                <w:sz w:val="14"/>
                <w:szCs w:val="14"/>
                <w:u w:val="single"/>
                <w:lang w:val="es-MX" w:eastAsia="es-MX"/>
              </w:rPr>
            </w:pPr>
            <w:r w:rsidRPr="002B5D97">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2B5D97" w:rsidRPr="002B5D97" w:rsidRDefault="002B5D97" w:rsidP="002B5D97">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2B5D97" w:rsidRPr="002B5D97" w:rsidRDefault="002B5D97" w:rsidP="002B5D97">
            <w:pPr>
              <w:jc w:val="center"/>
              <w:rPr>
                <w:rFonts w:ascii="Arial" w:hAnsi="Arial" w:cs="Arial"/>
                <w:b/>
                <w:sz w:val="14"/>
                <w:szCs w:val="14"/>
                <w:u w:val="single"/>
                <w:lang w:val="es-MX" w:eastAsia="es-MX"/>
              </w:rPr>
            </w:pPr>
            <w:r w:rsidRPr="002B5D97">
              <w:rPr>
                <w:rFonts w:ascii="Arial" w:hAnsi="Arial" w:cs="Arial"/>
                <w:b/>
                <w:sz w:val="14"/>
                <w:szCs w:val="14"/>
                <w:u w:val="single"/>
                <w:lang w:val="es-MX" w:eastAsia="es-MX"/>
              </w:rPr>
              <w:t>Contabilidad</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11221.1</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Casas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w:t>
            </w: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244,304</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11221.2</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Materiales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455,431</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11221.3</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Terrenos contado</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11,229,785</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11221.4</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Ventas en abonos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322,415,796</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11221.4.9288</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Alianza Real 2da etapa Barrio Chiapas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8,074,282</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11221.4.9289</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Alianza Real 2da etapa Barrio Veracruz</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8,945,907</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11221.4.9292</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Alianza Real 2da etapa Barrio Zacatecas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6,479,330</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lastRenderedPageBreak/>
              <w:t>11221.5</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Intereses ventas en abonos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128,148,350</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11221.5.9288</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Alianza Real 2da etapa Barrio Chiapas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1,757,760</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11221.5.9289</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Alianza Real 2da etapa Barrio Veracruz</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1,964,309</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11221.5.9292</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Alianza Real 2da etapa Barrio Zacatecas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1,396,307</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11221.6</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Enganches, proyectos vivienda</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1,245,921</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11221.7</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Terrenos contratos mayor extensión</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3,363,281</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11221.8</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Paquetes de materiales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10,990,840</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11221.9</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Urbanización</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1,288,092</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11221.10</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Programa Esta es Tu Casa</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1,858,379</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11229.2</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Inmobiliaria Centro Santa Bárbara [Los Encinos, Apodaca, N.L.]</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558,898</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Subtotal</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Registros contables</w:t>
            </w: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w:t>
            </w: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510,416,972</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Sistema de cartera</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505,069,053</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2936" w:type="pct"/>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Otras cuentas fuera del Sistema de cartera</w:t>
            </w:r>
          </w:p>
        </w:tc>
        <w:tc>
          <w:tcPr>
            <w:tcW w:w="0" w:type="auto"/>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5,168,100</w:t>
            </w:r>
          </w:p>
        </w:tc>
      </w:tr>
      <w:tr w:rsidR="002B5D97" w:rsidRPr="002B5D97" w:rsidTr="00ED3057">
        <w:trPr>
          <w:tblCellSpacing w:w="15" w:type="dxa"/>
          <w:jc w:val="center"/>
        </w:trPr>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Diferencia</w:t>
            </w:r>
          </w:p>
        </w:tc>
        <w:tc>
          <w:tcPr>
            <w:tcW w:w="2936" w:type="pct"/>
            <w:vAlign w:val="center"/>
            <w:hideMark/>
          </w:tcPr>
          <w:p w:rsidR="002B5D97" w:rsidRPr="002B5D97" w:rsidRDefault="002B5D97" w:rsidP="002B5D97">
            <w:pPr>
              <w:jc w:val="center"/>
              <w:rPr>
                <w:rFonts w:ascii="Arial" w:hAnsi="Arial" w:cs="Arial"/>
                <w:sz w:val="14"/>
                <w:szCs w:val="14"/>
                <w:lang w:val="es-MX" w:eastAsia="es-MX"/>
              </w:rPr>
            </w:pP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w:t>
            </w:r>
          </w:p>
        </w:tc>
        <w:tc>
          <w:tcPr>
            <w:tcW w:w="0" w:type="auto"/>
            <w:vAlign w:val="center"/>
            <w:hideMark/>
          </w:tcPr>
          <w:p w:rsidR="002B5D97" w:rsidRPr="002B5D97" w:rsidRDefault="002B5D97" w:rsidP="002B5D97">
            <w:pPr>
              <w:jc w:val="center"/>
              <w:rPr>
                <w:rFonts w:ascii="Arial" w:hAnsi="Arial" w:cs="Arial"/>
                <w:sz w:val="14"/>
                <w:szCs w:val="14"/>
                <w:lang w:val="es-MX" w:eastAsia="es-MX"/>
              </w:rPr>
            </w:pPr>
            <w:r w:rsidRPr="002B5D97">
              <w:rPr>
                <w:rFonts w:ascii="Arial" w:hAnsi="Arial" w:cs="Arial"/>
                <w:sz w:val="14"/>
                <w:szCs w:val="14"/>
                <w:lang w:val="es-MX" w:eastAsia="es-MX"/>
              </w:rPr>
              <w:t>179,819</w:t>
            </w:r>
          </w:p>
        </w:tc>
      </w:tr>
    </w:tbl>
    <w:p w:rsidR="002B5D97" w:rsidRDefault="002B5D97" w:rsidP="002B5D97">
      <w:pPr>
        <w:pStyle w:val="Prrafodelista"/>
        <w:spacing w:after="0"/>
        <w:ind w:left="142"/>
        <w:contextualSpacing/>
        <w:jc w:val="both"/>
        <w:rPr>
          <w:rFonts w:ascii="Arial" w:hAnsi="Arial" w:cs="Arial"/>
          <w:bCs/>
          <w:sz w:val="24"/>
        </w:rPr>
      </w:pPr>
    </w:p>
    <w:p w:rsidR="00ED3057" w:rsidRPr="002B5D97" w:rsidRDefault="00ED3057" w:rsidP="002B5D97">
      <w:pPr>
        <w:pStyle w:val="Prrafodelista"/>
        <w:spacing w:after="0"/>
        <w:ind w:left="142"/>
        <w:contextualSpacing/>
        <w:jc w:val="both"/>
        <w:rPr>
          <w:rFonts w:ascii="Arial" w:hAnsi="Arial" w:cs="Arial"/>
          <w:bCs/>
          <w:sz w:val="24"/>
        </w:rPr>
      </w:pPr>
    </w:p>
    <w:p w:rsidR="00ED3057" w:rsidRPr="00ED3057" w:rsidRDefault="00ED3057" w:rsidP="00ED3057">
      <w:pPr>
        <w:pStyle w:val="Prrafodelista"/>
        <w:spacing w:after="0"/>
        <w:ind w:left="142"/>
        <w:contextualSpacing/>
        <w:jc w:val="both"/>
        <w:rPr>
          <w:rFonts w:ascii="Arial" w:hAnsi="Arial" w:cs="Arial"/>
          <w:b/>
          <w:bCs/>
          <w:sz w:val="24"/>
        </w:rPr>
      </w:pPr>
      <w:r w:rsidRPr="00ED3057">
        <w:rPr>
          <w:rFonts w:ascii="Arial" w:hAnsi="Arial" w:cs="Arial"/>
          <w:b/>
          <w:bCs/>
          <w:sz w:val="24"/>
        </w:rPr>
        <w:t>Acción(es) o recomendación(es) emitida(s)</w:t>
      </w:r>
    </w:p>
    <w:p w:rsidR="002B5D97" w:rsidRPr="00ED3057" w:rsidRDefault="00ED3057" w:rsidP="00ED3057">
      <w:pPr>
        <w:pStyle w:val="Prrafodelista"/>
        <w:spacing w:after="0"/>
        <w:ind w:left="142"/>
        <w:contextualSpacing/>
        <w:jc w:val="both"/>
        <w:rPr>
          <w:rFonts w:ascii="Arial" w:hAnsi="Arial" w:cs="Arial"/>
          <w:bCs/>
          <w:i/>
          <w:sz w:val="24"/>
        </w:rPr>
      </w:pPr>
      <w:r w:rsidRPr="00ED3057">
        <w:rPr>
          <w:rFonts w:ascii="Arial" w:hAnsi="Arial" w:cs="Arial"/>
          <w:bCs/>
          <w:i/>
          <w:sz w:val="24"/>
        </w:rPr>
        <w:t>Recomendaciones en Relación a la Gestión o Control Interno.</w:t>
      </w:r>
    </w:p>
    <w:p w:rsidR="002B5D97" w:rsidRPr="00ED3057" w:rsidRDefault="002B5D97" w:rsidP="002B5D97">
      <w:pPr>
        <w:pStyle w:val="Prrafodelista"/>
        <w:spacing w:after="0"/>
        <w:ind w:left="142"/>
        <w:contextualSpacing/>
        <w:jc w:val="both"/>
        <w:rPr>
          <w:rFonts w:ascii="Arial" w:hAnsi="Arial" w:cs="Arial"/>
          <w:bCs/>
          <w:i/>
          <w:sz w:val="24"/>
        </w:rPr>
      </w:pPr>
    </w:p>
    <w:p w:rsidR="00ED3057" w:rsidRDefault="00ED3057" w:rsidP="002B5D97">
      <w:pPr>
        <w:pStyle w:val="Prrafodelista"/>
        <w:spacing w:after="0"/>
        <w:ind w:left="142"/>
        <w:contextualSpacing/>
        <w:jc w:val="both"/>
        <w:rPr>
          <w:rFonts w:ascii="Arial" w:hAnsi="Arial" w:cs="Arial"/>
          <w:bCs/>
          <w:sz w:val="24"/>
        </w:rPr>
      </w:pPr>
      <w:r w:rsidRPr="00ED3057">
        <w:rPr>
          <w:rFonts w:ascii="Arial" w:hAnsi="Arial" w:cs="Arial"/>
          <w:bCs/>
          <w:sz w:val="24"/>
        </w:rPr>
        <w:t>Establecer mecanismos de control que aseguren la realización de conciliaciones mensuales entre los registros de cuentas por cobrar y el Sistema de cartera, que permitan identificar diferencias para su inmediata aclaración y corrección, a fin de que se cuente con información veraz y oportuna.</w:t>
      </w:r>
    </w:p>
    <w:p w:rsidR="00ED3057" w:rsidRDefault="00ED3057" w:rsidP="002B5D97">
      <w:pPr>
        <w:pStyle w:val="Prrafodelista"/>
        <w:spacing w:after="0"/>
        <w:ind w:left="142"/>
        <w:contextualSpacing/>
        <w:jc w:val="both"/>
        <w:rPr>
          <w:rFonts w:ascii="Arial" w:hAnsi="Arial" w:cs="Arial"/>
          <w:bCs/>
          <w:sz w:val="24"/>
        </w:rPr>
      </w:pPr>
    </w:p>
    <w:p w:rsidR="00ED3057" w:rsidRDefault="00ED3057" w:rsidP="002B5D97">
      <w:pPr>
        <w:pStyle w:val="Prrafodelista"/>
        <w:spacing w:after="0"/>
        <w:ind w:left="142"/>
        <w:contextualSpacing/>
        <w:jc w:val="both"/>
        <w:rPr>
          <w:rFonts w:ascii="Arial" w:hAnsi="Arial" w:cs="Arial"/>
          <w:bCs/>
          <w:sz w:val="24"/>
        </w:rPr>
      </w:pPr>
    </w:p>
    <w:p w:rsidR="00ED3057" w:rsidRDefault="00ED3057" w:rsidP="002B5D97">
      <w:pPr>
        <w:pStyle w:val="Prrafodelista"/>
        <w:spacing w:after="0"/>
        <w:ind w:left="142"/>
        <w:contextualSpacing/>
        <w:jc w:val="both"/>
        <w:rPr>
          <w:rFonts w:ascii="Arial" w:hAnsi="Arial" w:cs="Arial"/>
          <w:bCs/>
          <w:sz w:val="24"/>
        </w:rPr>
      </w:pPr>
    </w:p>
    <w:p w:rsidR="00ED3057" w:rsidRDefault="00ED3057" w:rsidP="002B5D97">
      <w:pPr>
        <w:pStyle w:val="Prrafodelista"/>
        <w:spacing w:after="0"/>
        <w:ind w:left="142"/>
        <w:contextualSpacing/>
        <w:jc w:val="both"/>
        <w:rPr>
          <w:rFonts w:ascii="Arial" w:hAnsi="Arial" w:cs="Arial"/>
          <w:bCs/>
          <w:sz w:val="24"/>
        </w:rPr>
      </w:pPr>
      <w:r>
        <w:rPr>
          <w:rFonts w:ascii="Arial" w:hAnsi="Arial" w:cs="Arial"/>
          <w:bCs/>
          <w:sz w:val="24"/>
        </w:rPr>
        <w:t xml:space="preserve">3. </w:t>
      </w:r>
      <w:r w:rsidRPr="00ED3057">
        <w:rPr>
          <w:rFonts w:ascii="Arial" w:hAnsi="Arial" w:cs="Arial"/>
          <w:bCs/>
          <w:sz w:val="24"/>
        </w:rPr>
        <w:t>El Ente Público presenta al 31 de diciembre de 2015, una cartera vencida por $270</w:t>
      </w:r>
      <w:proofErr w:type="gramStart"/>
      <w:r w:rsidRPr="00ED3057">
        <w:rPr>
          <w:rFonts w:ascii="Arial" w:hAnsi="Arial" w:cs="Arial"/>
          <w:bCs/>
          <w:sz w:val="24"/>
        </w:rPr>
        <w:t>,873,487</w:t>
      </w:r>
      <w:proofErr w:type="gramEnd"/>
      <w:r w:rsidRPr="00ED3057">
        <w:rPr>
          <w:rFonts w:ascii="Arial" w:hAnsi="Arial" w:cs="Arial"/>
          <w:bCs/>
          <w:sz w:val="24"/>
        </w:rPr>
        <w:t xml:space="preserve"> que representa el 54% del total de la cartera activa, su antigüedad es la siguiente:</w:t>
      </w:r>
    </w:p>
    <w:p w:rsidR="00ED3057" w:rsidRDefault="00ED3057" w:rsidP="002B5D97">
      <w:pPr>
        <w:pStyle w:val="Prrafodelista"/>
        <w:spacing w:after="0"/>
        <w:ind w:left="142"/>
        <w:contextualSpacing/>
        <w:jc w:val="both"/>
        <w:rPr>
          <w:rFonts w:ascii="Arial" w:hAnsi="Arial" w:cs="Arial"/>
          <w:bCs/>
          <w:sz w:val="24"/>
        </w:rPr>
      </w:pPr>
    </w:p>
    <w:tbl>
      <w:tblPr>
        <w:tblW w:w="275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6"/>
        <w:gridCol w:w="344"/>
        <w:gridCol w:w="2080"/>
      </w:tblGrid>
      <w:tr w:rsidR="00ED3057" w:rsidRPr="00ED3057" w:rsidTr="00ED3057">
        <w:trPr>
          <w:tblCellSpacing w:w="15" w:type="dxa"/>
          <w:jc w:val="center"/>
        </w:trPr>
        <w:tc>
          <w:tcPr>
            <w:tcW w:w="2373" w:type="pct"/>
            <w:shd w:val="clear" w:color="auto" w:fill="A6A6A6" w:themeFill="background1" w:themeFillShade="A6"/>
            <w:vAlign w:val="center"/>
            <w:hideMark/>
          </w:tcPr>
          <w:p w:rsidR="00ED3057" w:rsidRPr="00ED3057" w:rsidRDefault="00ED3057" w:rsidP="00ED3057">
            <w:pPr>
              <w:jc w:val="center"/>
              <w:rPr>
                <w:rFonts w:ascii="Arial" w:hAnsi="Arial" w:cs="Arial"/>
                <w:b/>
                <w:sz w:val="14"/>
                <w:szCs w:val="14"/>
                <w:u w:val="single"/>
                <w:lang w:val="es-MX" w:eastAsia="es-MX"/>
              </w:rPr>
            </w:pPr>
            <w:r w:rsidRPr="00ED3057">
              <w:rPr>
                <w:rFonts w:ascii="Arial" w:hAnsi="Arial" w:cs="Arial"/>
                <w:b/>
                <w:sz w:val="14"/>
                <w:szCs w:val="14"/>
                <w:u w:val="single"/>
                <w:lang w:val="es-MX" w:eastAsia="es-MX"/>
              </w:rPr>
              <w:t>Antigüedad</w:t>
            </w:r>
          </w:p>
        </w:tc>
        <w:tc>
          <w:tcPr>
            <w:tcW w:w="0" w:type="auto"/>
            <w:shd w:val="clear" w:color="auto" w:fill="A6A6A6" w:themeFill="background1" w:themeFillShade="A6"/>
            <w:vAlign w:val="center"/>
            <w:hideMark/>
          </w:tcPr>
          <w:p w:rsidR="00ED3057" w:rsidRPr="00ED3057" w:rsidRDefault="00ED3057" w:rsidP="00ED3057">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ED3057" w:rsidRPr="00ED3057" w:rsidRDefault="00ED3057" w:rsidP="00ED3057">
            <w:pPr>
              <w:jc w:val="center"/>
              <w:rPr>
                <w:rFonts w:ascii="Arial" w:hAnsi="Arial" w:cs="Arial"/>
                <w:b/>
                <w:sz w:val="14"/>
                <w:szCs w:val="14"/>
                <w:u w:val="single"/>
                <w:lang w:val="es-MX" w:eastAsia="es-MX"/>
              </w:rPr>
            </w:pPr>
            <w:r w:rsidRPr="00ED3057">
              <w:rPr>
                <w:rFonts w:ascii="Arial" w:hAnsi="Arial" w:cs="Arial"/>
                <w:b/>
                <w:sz w:val="14"/>
                <w:szCs w:val="14"/>
                <w:u w:val="single"/>
                <w:lang w:val="es-MX" w:eastAsia="es-MX"/>
              </w:rPr>
              <w:t>Importe</w:t>
            </w:r>
          </w:p>
        </w:tc>
      </w:tr>
      <w:tr w:rsidR="00ED3057" w:rsidRPr="00ED3057" w:rsidTr="00ED3057">
        <w:trPr>
          <w:tblCellSpacing w:w="15" w:type="dxa"/>
          <w:jc w:val="center"/>
        </w:trPr>
        <w:tc>
          <w:tcPr>
            <w:tcW w:w="2373"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Menos de 90 días</w:t>
            </w: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w:t>
            </w: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259,824</w:t>
            </w:r>
          </w:p>
        </w:tc>
      </w:tr>
      <w:tr w:rsidR="00ED3057" w:rsidRPr="00ED3057" w:rsidTr="00ED3057">
        <w:trPr>
          <w:tblCellSpacing w:w="15" w:type="dxa"/>
          <w:jc w:val="center"/>
        </w:trPr>
        <w:tc>
          <w:tcPr>
            <w:tcW w:w="2373"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Más de 90 días</w:t>
            </w:r>
          </w:p>
        </w:tc>
        <w:tc>
          <w:tcPr>
            <w:tcW w:w="0" w:type="auto"/>
            <w:vAlign w:val="center"/>
            <w:hideMark/>
          </w:tcPr>
          <w:p w:rsidR="00ED3057" w:rsidRPr="00ED3057" w:rsidRDefault="00ED3057" w:rsidP="00ED3057">
            <w:pPr>
              <w:jc w:val="center"/>
              <w:rPr>
                <w:rFonts w:ascii="Arial" w:hAnsi="Arial" w:cs="Arial"/>
                <w:sz w:val="14"/>
                <w:szCs w:val="14"/>
                <w:lang w:val="es-MX" w:eastAsia="es-MX"/>
              </w:rPr>
            </w:pP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782,838</w:t>
            </w:r>
          </w:p>
        </w:tc>
      </w:tr>
      <w:tr w:rsidR="00ED3057" w:rsidRPr="00ED3057" w:rsidTr="00ED3057">
        <w:trPr>
          <w:tblCellSpacing w:w="15" w:type="dxa"/>
          <w:jc w:val="center"/>
        </w:trPr>
        <w:tc>
          <w:tcPr>
            <w:tcW w:w="2373"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Más de 180 días</w:t>
            </w:r>
          </w:p>
        </w:tc>
        <w:tc>
          <w:tcPr>
            <w:tcW w:w="0" w:type="auto"/>
            <w:vAlign w:val="center"/>
            <w:hideMark/>
          </w:tcPr>
          <w:p w:rsidR="00ED3057" w:rsidRPr="00ED3057" w:rsidRDefault="00ED3057" w:rsidP="00ED3057">
            <w:pPr>
              <w:jc w:val="center"/>
              <w:rPr>
                <w:rFonts w:ascii="Arial" w:hAnsi="Arial" w:cs="Arial"/>
                <w:sz w:val="14"/>
                <w:szCs w:val="14"/>
                <w:lang w:val="es-MX" w:eastAsia="es-MX"/>
              </w:rPr>
            </w:pP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2,146,824</w:t>
            </w:r>
          </w:p>
        </w:tc>
      </w:tr>
      <w:tr w:rsidR="00ED3057" w:rsidRPr="00ED3057" w:rsidTr="00ED3057">
        <w:trPr>
          <w:tblCellSpacing w:w="15" w:type="dxa"/>
          <w:jc w:val="center"/>
        </w:trPr>
        <w:tc>
          <w:tcPr>
            <w:tcW w:w="2373"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Más de 360 y menos de 720 días</w:t>
            </w:r>
          </w:p>
        </w:tc>
        <w:tc>
          <w:tcPr>
            <w:tcW w:w="0" w:type="auto"/>
            <w:vAlign w:val="center"/>
            <w:hideMark/>
          </w:tcPr>
          <w:p w:rsidR="00ED3057" w:rsidRPr="00ED3057" w:rsidRDefault="00ED3057" w:rsidP="00ED3057">
            <w:pPr>
              <w:jc w:val="center"/>
              <w:rPr>
                <w:rFonts w:ascii="Arial" w:hAnsi="Arial" w:cs="Arial"/>
                <w:sz w:val="14"/>
                <w:szCs w:val="14"/>
                <w:lang w:val="es-MX" w:eastAsia="es-MX"/>
              </w:rPr>
            </w:pP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9,150,741</w:t>
            </w:r>
          </w:p>
        </w:tc>
      </w:tr>
      <w:tr w:rsidR="00ED3057" w:rsidRPr="00ED3057" w:rsidTr="00ED3057">
        <w:trPr>
          <w:tblCellSpacing w:w="15" w:type="dxa"/>
          <w:jc w:val="center"/>
        </w:trPr>
        <w:tc>
          <w:tcPr>
            <w:tcW w:w="2373"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Más de dos años</w:t>
            </w:r>
          </w:p>
        </w:tc>
        <w:tc>
          <w:tcPr>
            <w:tcW w:w="0" w:type="auto"/>
            <w:vAlign w:val="center"/>
            <w:hideMark/>
          </w:tcPr>
          <w:p w:rsidR="00ED3057" w:rsidRPr="00ED3057" w:rsidRDefault="00ED3057" w:rsidP="00ED3057">
            <w:pPr>
              <w:jc w:val="center"/>
              <w:rPr>
                <w:rFonts w:ascii="Arial" w:hAnsi="Arial" w:cs="Arial"/>
                <w:sz w:val="14"/>
                <w:szCs w:val="14"/>
                <w:lang w:val="es-MX" w:eastAsia="es-MX"/>
              </w:rPr>
            </w:pP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258,533,260</w:t>
            </w:r>
          </w:p>
        </w:tc>
      </w:tr>
      <w:tr w:rsidR="00ED3057" w:rsidRPr="00ED3057" w:rsidTr="00ED3057">
        <w:trPr>
          <w:tblCellSpacing w:w="15" w:type="dxa"/>
          <w:jc w:val="center"/>
        </w:trPr>
        <w:tc>
          <w:tcPr>
            <w:tcW w:w="2373"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Total</w:t>
            </w: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w:t>
            </w: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270,873,487</w:t>
            </w:r>
          </w:p>
        </w:tc>
      </w:tr>
    </w:tbl>
    <w:p w:rsidR="00ED3057" w:rsidRPr="002B5D97" w:rsidRDefault="00ED3057" w:rsidP="002B5D97">
      <w:pPr>
        <w:pStyle w:val="Prrafodelista"/>
        <w:spacing w:after="0"/>
        <w:ind w:left="142"/>
        <w:contextualSpacing/>
        <w:jc w:val="both"/>
        <w:rPr>
          <w:rFonts w:ascii="Arial" w:hAnsi="Arial" w:cs="Arial"/>
          <w:bCs/>
          <w:sz w:val="24"/>
        </w:rPr>
      </w:pPr>
    </w:p>
    <w:p w:rsidR="00166FC5" w:rsidRDefault="00ED3057" w:rsidP="00166FC5">
      <w:pPr>
        <w:pStyle w:val="Prrafodelista"/>
        <w:spacing w:after="0"/>
        <w:ind w:left="0"/>
        <w:contextualSpacing/>
        <w:jc w:val="both"/>
        <w:rPr>
          <w:rFonts w:ascii="Arial" w:hAnsi="Arial" w:cs="Arial"/>
          <w:bCs/>
          <w:sz w:val="24"/>
        </w:rPr>
      </w:pPr>
      <w:r w:rsidRPr="00ED3057">
        <w:rPr>
          <w:rFonts w:ascii="Arial" w:hAnsi="Arial" w:cs="Arial"/>
          <w:bCs/>
          <w:sz w:val="24"/>
        </w:rPr>
        <w:t>Así mismo, se observa que la reserva para cuentas incobrables que se tiene creada por $15</w:t>
      </w:r>
      <w:proofErr w:type="gramStart"/>
      <w:r w:rsidRPr="00ED3057">
        <w:rPr>
          <w:rFonts w:ascii="Arial" w:hAnsi="Arial" w:cs="Arial"/>
          <w:bCs/>
          <w:sz w:val="24"/>
        </w:rPr>
        <w:t>,732,361</w:t>
      </w:r>
      <w:proofErr w:type="gramEnd"/>
      <w:r w:rsidRPr="00ED3057">
        <w:rPr>
          <w:rFonts w:ascii="Arial" w:hAnsi="Arial" w:cs="Arial"/>
          <w:bCs/>
          <w:sz w:val="24"/>
        </w:rPr>
        <w:t xml:space="preserve"> resulta insuficiente para cubrir el saldo de la cartera vencida, incumpliendo con lo establecido en la regla 5 del Acuerdo por el que se Emiten las Reglas Específicas del Registro y Valoración del Patrimonio emitidas por el </w:t>
      </w:r>
      <w:proofErr w:type="spellStart"/>
      <w:r w:rsidRPr="00ED3057">
        <w:rPr>
          <w:rFonts w:ascii="Arial" w:hAnsi="Arial" w:cs="Arial"/>
          <w:bCs/>
          <w:sz w:val="24"/>
        </w:rPr>
        <w:t>Conac</w:t>
      </w:r>
      <w:proofErr w:type="spellEnd"/>
      <w:r w:rsidRPr="00ED3057">
        <w:rPr>
          <w:rFonts w:ascii="Arial" w:hAnsi="Arial" w:cs="Arial"/>
          <w:bCs/>
          <w:sz w:val="24"/>
        </w:rPr>
        <w:t>, estableciendo su observancia obligatoria, de conformidad con el artículo 7 de la Ley General de Contabilidad Gubernamental.</w:t>
      </w:r>
    </w:p>
    <w:p w:rsidR="00ED3057" w:rsidRDefault="00ED3057" w:rsidP="00166FC5">
      <w:pPr>
        <w:pStyle w:val="Prrafodelista"/>
        <w:spacing w:after="0"/>
        <w:ind w:left="0"/>
        <w:contextualSpacing/>
        <w:jc w:val="both"/>
        <w:rPr>
          <w:rFonts w:ascii="Arial" w:hAnsi="Arial" w:cs="Arial"/>
          <w:bCs/>
          <w:sz w:val="24"/>
        </w:rPr>
      </w:pPr>
    </w:p>
    <w:p w:rsidR="00ED3057" w:rsidRPr="00ED3057" w:rsidRDefault="00ED3057" w:rsidP="00ED3057">
      <w:pPr>
        <w:pStyle w:val="Prrafodelista"/>
        <w:spacing w:after="0"/>
        <w:ind w:left="0"/>
        <w:contextualSpacing/>
        <w:jc w:val="both"/>
        <w:rPr>
          <w:rFonts w:ascii="Arial" w:hAnsi="Arial" w:cs="Arial"/>
          <w:b/>
          <w:bCs/>
          <w:sz w:val="24"/>
        </w:rPr>
      </w:pPr>
      <w:r w:rsidRPr="00ED3057">
        <w:rPr>
          <w:rFonts w:ascii="Arial" w:hAnsi="Arial" w:cs="Arial"/>
          <w:b/>
          <w:bCs/>
          <w:sz w:val="24"/>
        </w:rPr>
        <w:t>Análisis de la Auditoría Superior del Estado</w:t>
      </w:r>
    </w:p>
    <w:p w:rsidR="00ED3057" w:rsidRDefault="00ED3057" w:rsidP="00ED3057">
      <w:pPr>
        <w:pStyle w:val="Prrafodelista"/>
        <w:spacing w:after="0"/>
        <w:contextualSpacing/>
        <w:jc w:val="both"/>
        <w:rPr>
          <w:rFonts w:ascii="Arial" w:hAnsi="Arial" w:cs="Arial"/>
          <w:bCs/>
          <w:sz w:val="24"/>
        </w:rPr>
      </w:pPr>
    </w:p>
    <w:p w:rsidR="00ED3057" w:rsidRPr="00ED3057" w:rsidRDefault="00ED3057" w:rsidP="00ED3057">
      <w:pPr>
        <w:pStyle w:val="Prrafodelista"/>
        <w:spacing w:after="0"/>
        <w:ind w:left="0"/>
        <w:contextualSpacing/>
        <w:jc w:val="both"/>
        <w:rPr>
          <w:rFonts w:ascii="Arial" w:hAnsi="Arial" w:cs="Arial"/>
          <w:bCs/>
          <w:sz w:val="24"/>
        </w:rPr>
      </w:pPr>
      <w:r w:rsidRPr="00ED3057">
        <w:rPr>
          <w:rFonts w:ascii="Arial" w:hAnsi="Arial" w:cs="Arial"/>
          <w:bCs/>
          <w:sz w:val="24"/>
        </w:rPr>
        <w:t xml:space="preserve">Derivado del análisis de la respuesta y de </w:t>
      </w:r>
      <w:r>
        <w:rPr>
          <w:rFonts w:ascii="Arial" w:hAnsi="Arial" w:cs="Arial"/>
          <w:bCs/>
          <w:sz w:val="24"/>
        </w:rPr>
        <w:t>la documentación proporcionada por el Ente Público, la Auditoría determinó que esta observación se solventó</w:t>
      </w:r>
      <w:r w:rsidRPr="00ED3057">
        <w:rPr>
          <w:rFonts w:ascii="Arial" w:hAnsi="Arial" w:cs="Arial"/>
          <w:bCs/>
          <w:sz w:val="24"/>
        </w:rPr>
        <w:t xml:space="preserve"> parcialmente, debido a que si bien </w:t>
      </w:r>
      <w:r>
        <w:rPr>
          <w:rFonts w:ascii="Arial" w:hAnsi="Arial" w:cs="Arial"/>
          <w:bCs/>
          <w:sz w:val="24"/>
        </w:rPr>
        <w:t>se continuaban</w:t>
      </w:r>
      <w:r w:rsidRPr="00ED3057">
        <w:rPr>
          <w:rFonts w:ascii="Arial" w:hAnsi="Arial" w:cs="Arial"/>
          <w:bCs/>
          <w:sz w:val="24"/>
        </w:rPr>
        <w:t xml:space="preserve"> realizando</w:t>
      </w:r>
      <w:r>
        <w:rPr>
          <w:rFonts w:ascii="Arial" w:hAnsi="Arial" w:cs="Arial"/>
          <w:bCs/>
          <w:sz w:val="24"/>
        </w:rPr>
        <w:t xml:space="preserve"> las</w:t>
      </w:r>
      <w:r w:rsidRPr="00ED3057">
        <w:rPr>
          <w:rFonts w:ascii="Arial" w:hAnsi="Arial" w:cs="Arial"/>
          <w:bCs/>
          <w:sz w:val="24"/>
        </w:rPr>
        <w:t xml:space="preserve"> gestiones para recuperar la cartera de clientes, los resultados obtenidos con las estrategias adoptadas a través del Programa Recuperación de Cartera no le </w:t>
      </w:r>
      <w:r w:rsidRPr="00ED3057">
        <w:rPr>
          <w:rFonts w:ascii="Arial" w:hAnsi="Arial" w:cs="Arial"/>
          <w:bCs/>
          <w:sz w:val="24"/>
        </w:rPr>
        <w:lastRenderedPageBreak/>
        <w:t>han permitido disminuir en forma importante el monto que se encuentra en cartera vencida, ya que el saldo vencido al 30 de septiembre de 2016 es por $268,619,669,</w:t>
      </w:r>
    </w:p>
    <w:p w:rsidR="00ED3057" w:rsidRDefault="00ED3057" w:rsidP="00ED3057">
      <w:pPr>
        <w:pStyle w:val="Prrafodelista"/>
        <w:spacing w:after="0"/>
        <w:contextualSpacing/>
        <w:jc w:val="both"/>
        <w:rPr>
          <w:rFonts w:ascii="Arial" w:hAnsi="Arial" w:cs="Arial"/>
          <w:bCs/>
          <w:sz w:val="24"/>
        </w:rPr>
      </w:pPr>
    </w:p>
    <w:p w:rsidR="00ED3057" w:rsidRDefault="00ED3057" w:rsidP="00ED3057">
      <w:pPr>
        <w:pStyle w:val="Prrafodelista"/>
        <w:spacing w:after="0"/>
        <w:ind w:left="0"/>
        <w:contextualSpacing/>
        <w:jc w:val="both"/>
        <w:rPr>
          <w:rFonts w:ascii="Arial" w:hAnsi="Arial" w:cs="Arial"/>
          <w:bCs/>
          <w:sz w:val="24"/>
        </w:rPr>
      </w:pPr>
    </w:p>
    <w:p w:rsidR="00ED3057" w:rsidRPr="00ED3057" w:rsidRDefault="00ED3057" w:rsidP="00ED3057">
      <w:pPr>
        <w:pStyle w:val="Prrafodelista"/>
        <w:spacing w:after="0"/>
        <w:ind w:left="0"/>
        <w:contextualSpacing/>
        <w:jc w:val="both"/>
        <w:rPr>
          <w:rFonts w:ascii="Arial" w:hAnsi="Arial" w:cs="Arial"/>
          <w:bCs/>
          <w:sz w:val="24"/>
        </w:rPr>
      </w:pPr>
      <w:r w:rsidRPr="00ED3057">
        <w:rPr>
          <w:rFonts w:ascii="Arial" w:hAnsi="Arial" w:cs="Arial"/>
          <w:bCs/>
          <w:sz w:val="24"/>
        </w:rPr>
        <w:t>Por otra parte au</w:t>
      </w:r>
      <w:r w:rsidR="00633BE9">
        <w:rPr>
          <w:rFonts w:ascii="Arial" w:hAnsi="Arial" w:cs="Arial"/>
          <w:bCs/>
          <w:sz w:val="24"/>
        </w:rPr>
        <w:t>n y cuando se contaba con</w:t>
      </w:r>
      <w:r w:rsidRPr="00ED3057">
        <w:rPr>
          <w:rFonts w:ascii="Arial" w:hAnsi="Arial" w:cs="Arial"/>
          <w:bCs/>
          <w:sz w:val="24"/>
        </w:rPr>
        <w:t xml:space="preserve"> la reserva de dominio de los lotes, llegado el momento se podría hacer efectiva para recuperar la propiedad para esta entidad, sin embargo resulta una alternativa complicada y no recomendable ya que se actuaría en contra del sentido social de los servicios que presta el </w:t>
      </w:r>
      <w:proofErr w:type="gramStart"/>
      <w:r w:rsidRPr="00ED3057">
        <w:rPr>
          <w:rFonts w:ascii="Arial" w:hAnsi="Arial" w:cs="Arial"/>
          <w:bCs/>
          <w:sz w:val="24"/>
        </w:rPr>
        <w:t>fideicomiso ,</w:t>
      </w:r>
      <w:proofErr w:type="gramEnd"/>
      <w:r w:rsidRPr="00ED3057">
        <w:rPr>
          <w:rFonts w:ascii="Arial" w:hAnsi="Arial" w:cs="Arial"/>
          <w:bCs/>
          <w:sz w:val="24"/>
        </w:rPr>
        <w:t xml:space="preserve"> por lo tanto es indispensable incrementar la reserva de las cuentas incobrables.</w:t>
      </w:r>
    </w:p>
    <w:p w:rsidR="00ED3057" w:rsidRPr="00ED3057" w:rsidRDefault="00ED3057" w:rsidP="00ED3057">
      <w:pPr>
        <w:pStyle w:val="Prrafodelista"/>
        <w:spacing w:after="0"/>
        <w:contextualSpacing/>
        <w:jc w:val="both"/>
        <w:rPr>
          <w:rFonts w:ascii="Arial" w:hAnsi="Arial" w:cs="Arial"/>
          <w:bCs/>
          <w:sz w:val="24"/>
        </w:rPr>
      </w:pPr>
    </w:p>
    <w:p w:rsidR="00ED3057" w:rsidRDefault="00ED3057" w:rsidP="00ED3057">
      <w:pPr>
        <w:pStyle w:val="Prrafodelista"/>
        <w:spacing w:after="0"/>
        <w:ind w:left="-142"/>
        <w:contextualSpacing/>
        <w:jc w:val="both"/>
        <w:rPr>
          <w:rFonts w:ascii="Arial" w:hAnsi="Arial" w:cs="Arial"/>
          <w:b/>
          <w:bCs/>
          <w:sz w:val="24"/>
        </w:rPr>
      </w:pPr>
      <w:r w:rsidRPr="00ED3057">
        <w:rPr>
          <w:rFonts w:ascii="Arial" w:hAnsi="Arial" w:cs="Arial"/>
          <w:bCs/>
          <w:sz w:val="24"/>
        </w:rPr>
        <w:t xml:space="preserve"> </w:t>
      </w:r>
      <w:r w:rsidRPr="00ED3057">
        <w:rPr>
          <w:rFonts w:ascii="Arial" w:hAnsi="Arial" w:cs="Arial"/>
          <w:bCs/>
          <w:sz w:val="24"/>
        </w:rPr>
        <w:tab/>
      </w:r>
      <w:r w:rsidRPr="00ED3057">
        <w:rPr>
          <w:rFonts w:ascii="Arial" w:hAnsi="Arial" w:cs="Arial"/>
          <w:b/>
          <w:bCs/>
          <w:sz w:val="24"/>
        </w:rPr>
        <w:t>Acción(es) o recomendación(es) emitida(s)</w:t>
      </w:r>
    </w:p>
    <w:p w:rsidR="00ED3057" w:rsidRPr="00ED3057" w:rsidRDefault="00ED3057" w:rsidP="00ED3057">
      <w:pPr>
        <w:pStyle w:val="Prrafodelista"/>
        <w:spacing w:after="0"/>
        <w:ind w:left="142" w:hanging="142"/>
        <w:contextualSpacing/>
        <w:jc w:val="both"/>
        <w:rPr>
          <w:rFonts w:ascii="Arial" w:hAnsi="Arial" w:cs="Arial"/>
          <w:b/>
          <w:bCs/>
          <w:sz w:val="24"/>
        </w:rPr>
      </w:pPr>
      <w:r w:rsidRPr="00ED3057">
        <w:rPr>
          <w:rFonts w:ascii="Arial" w:hAnsi="Arial" w:cs="Arial"/>
          <w:bCs/>
          <w:i/>
          <w:sz w:val="24"/>
        </w:rPr>
        <w:t>Promoción de Fincamiento de Responsabilidad Administrativa.</w:t>
      </w:r>
    </w:p>
    <w:p w:rsidR="00ED3057" w:rsidRPr="00ED3057" w:rsidRDefault="00ED3057" w:rsidP="00166FC5">
      <w:pPr>
        <w:pStyle w:val="Prrafodelista"/>
        <w:spacing w:after="0"/>
        <w:ind w:left="0"/>
        <w:contextualSpacing/>
        <w:jc w:val="both"/>
        <w:rPr>
          <w:rFonts w:ascii="Arial" w:hAnsi="Arial" w:cs="Arial"/>
          <w:bCs/>
          <w:i/>
          <w:sz w:val="24"/>
        </w:rPr>
      </w:pPr>
    </w:p>
    <w:p w:rsidR="00166FC5" w:rsidRDefault="00ED3057" w:rsidP="00166FC5">
      <w:pPr>
        <w:pStyle w:val="Prrafodelista"/>
        <w:spacing w:after="0"/>
        <w:ind w:left="0"/>
        <w:contextualSpacing/>
        <w:jc w:val="both"/>
        <w:rPr>
          <w:rFonts w:ascii="Arial" w:hAnsi="Arial" w:cs="Arial"/>
          <w:bCs/>
          <w:sz w:val="24"/>
        </w:rPr>
      </w:pPr>
      <w:r>
        <w:rPr>
          <w:rFonts w:ascii="Arial" w:hAnsi="Arial" w:cs="Arial"/>
          <w:bCs/>
          <w:sz w:val="24"/>
        </w:rPr>
        <w:t xml:space="preserve">4. </w:t>
      </w:r>
      <w:r w:rsidRPr="00ED3057">
        <w:rPr>
          <w:rFonts w:ascii="Arial" w:hAnsi="Arial" w:cs="Arial"/>
          <w:bCs/>
          <w:sz w:val="24"/>
        </w:rPr>
        <w:t>No se localizó, ni se proporcionó documentación que ampare se hayan realizado gestiones de cobranza a diversos Municipios, respecto al saldo por $12</w:t>
      </w:r>
      <w:proofErr w:type="gramStart"/>
      <w:r w:rsidRPr="00ED3057">
        <w:rPr>
          <w:rFonts w:ascii="Arial" w:hAnsi="Arial" w:cs="Arial"/>
          <w:bCs/>
          <w:sz w:val="24"/>
        </w:rPr>
        <w:t>,278,932</w:t>
      </w:r>
      <w:proofErr w:type="gramEnd"/>
      <w:r w:rsidRPr="00ED3057">
        <w:rPr>
          <w:rFonts w:ascii="Arial" w:hAnsi="Arial" w:cs="Arial"/>
          <w:bCs/>
          <w:sz w:val="24"/>
        </w:rPr>
        <w:t xml:space="preserve"> que integra la cuenta de Cuentas por cobrar a corto plazo, la cual presenta una antigüedad mayor a once años proveniente de la ejecución del programa de entrega de materiales en coordinación con varios Municipios del Estado de Nuevo León, según detalle siguiente:</w:t>
      </w:r>
    </w:p>
    <w:p w:rsidR="00ED3057" w:rsidRDefault="00ED3057" w:rsidP="00166FC5">
      <w:pPr>
        <w:pStyle w:val="Prrafodelista"/>
        <w:spacing w:after="0"/>
        <w:ind w:left="0"/>
        <w:contextualSpacing/>
        <w:jc w:val="both"/>
        <w:rPr>
          <w:rFonts w:ascii="Arial" w:hAnsi="Arial" w:cs="Arial"/>
          <w:bCs/>
          <w:sz w:val="24"/>
        </w:rPr>
      </w:pPr>
    </w:p>
    <w:tbl>
      <w:tblPr>
        <w:tblW w:w="264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7"/>
        <w:gridCol w:w="429"/>
        <w:gridCol w:w="2388"/>
      </w:tblGrid>
      <w:tr w:rsidR="00ED3057" w:rsidRPr="00ED3057" w:rsidTr="00ED3057">
        <w:trPr>
          <w:tblCellSpacing w:w="15" w:type="dxa"/>
          <w:jc w:val="center"/>
        </w:trPr>
        <w:tc>
          <w:tcPr>
            <w:tcW w:w="1792" w:type="pct"/>
            <w:shd w:val="clear" w:color="auto" w:fill="A6A6A6" w:themeFill="background1" w:themeFillShade="A6"/>
            <w:vAlign w:val="center"/>
            <w:hideMark/>
          </w:tcPr>
          <w:p w:rsidR="00ED3057" w:rsidRPr="00ED3057" w:rsidRDefault="00ED3057" w:rsidP="00ED3057">
            <w:pPr>
              <w:jc w:val="center"/>
              <w:rPr>
                <w:rFonts w:ascii="Arial" w:hAnsi="Arial" w:cs="Arial"/>
                <w:b/>
                <w:sz w:val="14"/>
                <w:szCs w:val="14"/>
                <w:u w:val="single"/>
                <w:lang w:val="es-MX" w:eastAsia="es-MX"/>
              </w:rPr>
            </w:pPr>
            <w:r w:rsidRPr="00ED3057">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ED3057" w:rsidRPr="00ED3057" w:rsidRDefault="00ED3057" w:rsidP="00ED3057">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ED3057" w:rsidRPr="00ED3057" w:rsidRDefault="00ED3057" w:rsidP="00ED3057">
            <w:pPr>
              <w:jc w:val="center"/>
              <w:rPr>
                <w:rFonts w:ascii="Arial" w:hAnsi="Arial" w:cs="Arial"/>
                <w:b/>
                <w:sz w:val="14"/>
                <w:szCs w:val="14"/>
                <w:u w:val="single"/>
                <w:lang w:val="es-MX" w:eastAsia="es-MX"/>
              </w:rPr>
            </w:pPr>
            <w:r w:rsidRPr="00ED3057">
              <w:rPr>
                <w:rFonts w:ascii="Arial" w:hAnsi="Arial" w:cs="Arial"/>
                <w:b/>
                <w:sz w:val="14"/>
                <w:szCs w:val="14"/>
                <w:u w:val="single"/>
                <w:lang w:val="es-MX" w:eastAsia="es-MX"/>
              </w:rPr>
              <w:t>Importe</w:t>
            </w:r>
          </w:p>
        </w:tc>
      </w:tr>
      <w:tr w:rsidR="00ED3057" w:rsidRPr="00ED3057" w:rsidTr="00ED3057">
        <w:trPr>
          <w:tblCellSpacing w:w="15" w:type="dxa"/>
          <w:jc w:val="center"/>
        </w:trPr>
        <w:tc>
          <w:tcPr>
            <w:tcW w:w="1792"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Paquetes de materiales</w:t>
            </w: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w:t>
            </w: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10,990,840</w:t>
            </w:r>
          </w:p>
        </w:tc>
      </w:tr>
      <w:tr w:rsidR="00ED3057" w:rsidRPr="00ED3057" w:rsidTr="00ED3057">
        <w:trPr>
          <w:tblCellSpacing w:w="15" w:type="dxa"/>
          <w:jc w:val="center"/>
        </w:trPr>
        <w:tc>
          <w:tcPr>
            <w:tcW w:w="1792"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Urbanización</w:t>
            </w:r>
          </w:p>
        </w:tc>
        <w:tc>
          <w:tcPr>
            <w:tcW w:w="0" w:type="auto"/>
            <w:vAlign w:val="center"/>
            <w:hideMark/>
          </w:tcPr>
          <w:p w:rsidR="00ED3057" w:rsidRPr="00ED3057" w:rsidRDefault="00ED3057" w:rsidP="00ED3057">
            <w:pPr>
              <w:jc w:val="center"/>
              <w:rPr>
                <w:rFonts w:ascii="Arial" w:hAnsi="Arial" w:cs="Arial"/>
                <w:sz w:val="14"/>
                <w:szCs w:val="14"/>
                <w:lang w:val="es-MX" w:eastAsia="es-MX"/>
              </w:rPr>
            </w:pP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1,288,092</w:t>
            </w:r>
          </w:p>
        </w:tc>
      </w:tr>
      <w:tr w:rsidR="00ED3057" w:rsidRPr="00ED3057" w:rsidTr="00ED3057">
        <w:trPr>
          <w:tblCellSpacing w:w="15" w:type="dxa"/>
          <w:jc w:val="center"/>
        </w:trPr>
        <w:tc>
          <w:tcPr>
            <w:tcW w:w="1792" w:type="pct"/>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Total</w:t>
            </w: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w:t>
            </w:r>
          </w:p>
        </w:tc>
        <w:tc>
          <w:tcPr>
            <w:tcW w:w="0" w:type="auto"/>
            <w:vAlign w:val="center"/>
            <w:hideMark/>
          </w:tcPr>
          <w:p w:rsidR="00ED3057" w:rsidRPr="00ED3057" w:rsidRDefault="00ED3057" w:rsidP="00ED3057">
            <w:pPr>
              <w:jc w:val="center"/>
              <w:rPr>
                <w:rFonts w:ascii="Arial" w:hAnsi="Arial" w:cs="Arial"/>
                <w:sz w:val="14"/>
                <w:szCs w:val="14"/>
                <w:lang w:val="es-MX" w:eastAsia="es-MX"/>
              </w:rPr>
            </w:pPr>
            <w:r w:rsidRPr="00ED3057">
              <w:rPr>
                <w:rFonts w:ascii="Arial" w:hAnsi="Arial" w:cs="Arial"/>
                <w:sz w:val="14"/>
                <w:szCs w:val="14"/>
                <w:lang w:val="es-MX" w:eastAsia="es-MX"/>
              </w:rPr>
              <w:t>12,278,932</w:t>
            </w:r>
          </w:p>
        </w:tc>
      </w:tr>
    </w:tbl>
    <w:p w:rsidR="00ED3057" w:rsidRDefault="00ED3057" w:rsidP="00ED3057">
      <w:pPr>
        <w:pStyle w:val="Prrafodelista"/>
        <w:spacing w:after="0"/>
        <w:contextualSpacing/>
        <w:jc w:val="both"/>
        <w:rPr>
          <w:rFonts w:ascii="Arial" w:hAnsi="Arial" w:cs="Arial"/>
          <w:bCs/>
          <w:sz w:val="24"/>
        </w:rPr>
      </w:pPr>
    </w:p>
    <w:p w:rsidR="00633BE9" w:rsidRDefault="00633BE9" w:rsidP="00ED3057">
      <w:pPr>
        <w:pStyle w:val="Prrafodelista"/>
        <w:spacing w:after="0"/>
        <w:ind w:left="0"/>
        <w:contextualSpacing/>
        <w:jc w:val="both"/>
        <w:rPr>
          <w:rFonts w:ascii="Arial" w:hAnsi="Arial" w:cs="Arial"/>
          <w:bCs/>
          <w:sz w:val="24"/>
        </w:rPr>
      </w:pPr>
    </w:p>
    <w:p w:rsidR="00633BE9" w:rsidRDefault="00633BE9" w:rsidP="00ED3057">
      <w:pPr>
        <w:pStyle w:val="Prrafodelista"/>
        <w:spacing w:after="0"/>
        <w:ind w:left="0"/>
        <w:contextualSpacing/>
        <w:jc w:val="both"/>
        <w:rPr>
          <w:rFonts w:ascii="Arial" w:hAnsi="Arial" w:cs="Arial"/>
          <w:bCs/>
          <w:sz w:val="24"/>
        </w:rPr>
      </w:pPr>
    </w:p>
    <w:p w:rsidR="00ED3057" w:rsidRPr="00ED3057" w:rsidRDefault="00ED3057" w:rsidP="00ED3057">
      <w:pPr>
        <w:pStyle w:val="Prrafodelista"/>
        <w:spacing w:after="0"/>
        <w:ind w:left="0"/>
        <w:contextualSpacing/>
        <w:jc w:val="both"/>
        <w:rPr>
          <w:rFonts w:ascii="Arial" w:hAnsi="Arial" w:cs="Arial"/>
          <w:bCs/>
          <w:sz w:val="24"/>
        </w:rPr>
      </w:pPr>
      <w:r w:rsidRPr="00ED3057">
        <w:rPr>
          <w:rFonts w:ascii="Arial" w:hAnsi="Arial" w:cs="Arial"/>
          <w:bCs/>
          <w:sz w:val="24"/>
        </w:rPr>
        <w:t>En revisión de eventos posteriores se observó que a marzo de 2016, no se han recuperado los adeudos.</w:t>
      </w:r>
    </w:p>
    <w:p w:rsidR="00ED3057" w:rsidRPr="00ED3057" w:rsidRDefault="00ED3057" w:rsidP="00ED3057">
      <w:pPr>
        <w:pStyle w:val="Prrafodelista"/>
        <w:spacing w:after="0"/>
        <w:contextualSpacing/>
        <w:jc w:val="both"/>
        <w:rPr>
          <w:rFonts w:ascii="Arial" w:hAnsi="Arial" w:cs="Arial"/>
          <w:bCs/>
          <w:sz w:val="24"/>
        </w:rPr>
      </w:pPr>
    </w:p>
    <w:p w:rsidR="00ED3057" w:rsidRDefault="00ED3057" w:rsidP="00ED3057">
      <w:pPr>
        <w:pStyle w:val="Prrafodelista"/>
        <w:spacing w:after="0"/>
        <w:ind w:left="0"/>
        <w:contextualSpacing/>
        <w:jc w:val="both"/>
        <w:rPr>
          <w:rFonts w:ascii="Arial" w:hAnsi="Arial" w:cs="Arial"/>
          <w:bCs/>
          <w:sz w:val="24"/>
        </w:rPr>
      </w:pPr>
      <w:r w:rsidRPr="00ED3057">
        <w:rPr>
          <w:rFonts w:ascii="Arial" w:hAnsi="Arial" w:cs="Arial"/>
          <w:bCs/>
          <w:sz w:val="24"/>
        </w:rPr>
        <w:t>Esta observación ya fue señalada en el Informe del Resultado de la Cuenta Pública 2014.</w:t>
      </w:r>
      <w:r>
        <w:rPr>
          <w:rFonts w:ascii="Arial" w:hAnsi="Arial" w:cs="Arial"/>
          <w:bCs/>
          <w:sz w:val="24"/>
        </w:rPr>
        <w:t xml:space="preserve"> </w:t>
      </w:r>
    </w:p>
    <w:p w:rsidR="00ED3057" w:rsidRDefault="00ED3057" w:rsidP="00ED3057">
      <w:pPr>
        <w:pStyle w:val="Prrafodelista"/>
        <w:spacing w:after="0"/>
        <w:ind w:left="0"/>
        <w:contextualSpacing/>
        <w:jc w:val="both"/>
        <w:rPr>
          <w:rFonts w:ascii="Arial" w:hAnsi="Arial" w:cs="Arial"/>
          <w:bCs/>
          <w:sz w:val="24"/>
        </w:rPr>
      </w:pPr>
    </w:p>
    <w:p w:rsidR="00ED3057" w:rsidRPr="00ED3057" w:rsidRDefault="00ED3057" w:rsidP="00ED3057">
      <w:pPr>
        <w:pStyle w:val="Prrafodelista"/>
        <w:spacing w:after="0"/>
        <w:ind w:left="0"/>
        <w:contextualSpacing/>
        <w:jc w:val="both"/>
        <w:rPr>
          <w:rFonts w:ascii="Arial" w:hAnsi="Arial" w:cs="Arial"/>
          <w:bCs/>
          <w:sz w:val="24"/>
        </w:rPr>
      </w:pPr>
      <w:r w:rsidRPr="00ED3057">
        <w:rPr>
          <w:rFonts w:ascii="Arial" w:hAnsi="Arial" w:cs="Arial"/>
          <w:b/>
          <w:bCs/>
          <w:sz w:val="24"/>
        </w:rPr>
        <w:t>Acción(es) o recomendación(es) emitida(s)</w:t>
      </w:r>
    </w:p>
    <w:p w:rsidR="00166FC5" w:rsidRPr="00ED3057" w:rsidRDefault="00ED3057" w:rsidP="00ED3057">
      <w:pPr>
        <w:pStyle w:val="Prrafodelista"/>
        <w:spacing w:after="0"/>
        <w:ind w:left="0"/>
        <w:contextualSpacing/>
        <w:jc w:val="both"/>
        <w:rPr>
          <w:rFonts w:ascii="Arial" w:hAnsi="Arial" w:cs="Arial"/>
          <w:bCs/>
          <w:i/>
          <w:sz w:val="24"/>
        </w:rPr>
      </w:pPr>
      <w:r w:rsidRPr="00ED3057">
        <w:rPr>
          <w:rFonts w:ascii="Arial" w:hAnsi="Arial" w:cs="Arial"/>
          <w:bCs/>
          <w:i/>
          <w:sz w:val="24"/>
        </w:rPr>
        <w:t>Recomendaciones en Relación a la Gestión o Control Interno.</w:t>
      </w:r>
    </w:p>
    <w:p w:rsidR="00633BE9" w:rsidRDefault="00633BE9" w:rsidP="00ED3057">
      <w:pPr>
        <w:pStyle w:val="Prrafodelista"/>
        <w:spacing w:after="0"/>
        <w:ind w:left="0"/>
        <w:contextualSpacing/>
        <w:jc w:val="both"/>
        <w:rPr>
          <w:rFonts w:ascii="Arial" w:hAnsi="Arial" w:cs="Arial"/>
          <w:bCs/>
          <w:sz w:val="24"/>
        </w:rPr>
      </w:pPr>
    </w:p>
    <w:p w:rsidR="00ED3057" w:rsidRPr="00ED3057" w:rsidRDefault="00ED3057" w:rsidP="00ED3057">
      <w:pPr>
        <w:pStyle w:val="Prrafodelista"/>
        <w:spacing w:after="0"/>
        <w:ind w:left="0"/>
        <w:contextualSpacing/>
        <w:jc w:val="both"/>
        <w:rPr>
          <w:rFonts w:ascii="Arial" w:hAnsi="Arial" w:cs="Arial"/>
          <w:bCs/>
          <w:sz w:val="24"/>
        </w:rPr>
      </w:pPr>
      <w:r>
        <w:rPr>
          <w:rFonts w:ascii="Arial" w:hAnsi="Arial" w:cs="Arial"/>
          <w:bCs/>
          <w:sz w:val="24"/>
        </w:rPr>
        <w:t xml:space="preserve">5. </w:t>
      </w:r>
      <w:r w:rsidRPr="00ED3057">
        <w:rPr>
          <w:rFonts w:ascii="Arial" w:hAnsi="Arial" w:cs="Arial"/>
          <w:bCs/>
          <w:sz w:val="24"/>
        </w:rPr>
        <w:t>Saldo por recuperar a cargo de Inmobiliaria Centro Santa Bárbara, S.A. de C.V., por $558,898 proveniente del contrato celebrado con ésta para el desarrollo de fraccionamiento en los terrenos aportados por el Ente público, durante el ejercicio 2013 el Ente Público interpuso Interpelación Judicial sobre el cumplimiento y pago del contrato ante el Juzgado 6° Jurisdiccional Concurrente del Estado, observando que durante el ejercicio 2015 no continuó con las acciones legales respectivas para recuperar el mencionado saldo.</w:t>
      </w:r>
    </w:p>
    <w:p w:rsidR="00ED3057" w:rsidRPr="00ED3057" w:rsidRDefault="00ED3057" w:rsidP="00ED3057">
      <w:pPr>
        <w:pStyle w:val="Prrafodelista"/>
        <w:spacing w:after="0"/>
        <w:contextualSpacing/>
        <w:jc w:val="both"/>
        <w:rPr>
          <w:rFonts w:ascii="Arial" w:hAnsi="Arial" w:cs="Arial"/>
          <w:bCs/>
          <w:sz w:val="24"/>
        </w:rPr>
      </w:pPr>
    </w:p>
    <w:p w:rsidR="001562E3" w:rsidRDefault="00ED3057" w:rsidP="001562E3">
      <w:pPr>
        <w:pStyle w:val="Prrafodelista"/>
        <w:spacing w:after="0"/>
        <w:ind w:left="0"/>
        <w:contextualSpacing/>
        <w:jc w:val="both"/>
        <w:rPr>
          <w:rFonts w:ascii="Arial" w:hAnsi="Arial" w:cs="Arial"/>
          <w:bCs/>
          <w:sz w:val="24"/>
        </w:rPr>
      </w:pPr>
      <w:r w:rsidRPr="00ED3057">
        <w:rPr>
          <w:rFonts w:ascii="Arial" w:hAnsi="Arial" w:cs="Arial"/>
          <w:bCs/>
          <w:sz w:val="24"/>
        </w:rPr>
        <w:t>En eventos posteriores observamos que al 31 de marzo de 2016 éste continúa sin ser recuperado.</w:t>
      </w:r>
    </w:p>
    <w:p w:rsidR="001562E3" w:rsidRDefault="001562E3" w:rsidP="001562E3">
      <w:pPr>
        <w:pStyle w:val="Prrafodelista"/>
        <w:spacing w:after="0"/>
        <w:ind w:left="0"/>
        <w:contextualSpacing/>
        <w:jc w:val="both"/>
        <w:rPr>
          <w:rFonts w:ascii="Arial" w:hAnsi="Arial" w:cs="Arial"/>
          <w:bCs/>
          <w:sz w:val="24"/>
        </w:rPr>
      </w:pPr>
    </w:p>
    <w:p w:rsidR="001562E3" w:rsidRPr="001562E3" w:rsidRDefault="001562E3" w:rsidP="001562E3">
      <w:pPr>
        <w:pStyle w:val="Prrafodelista"/>
        <w:spacing w:after="0"/>
        <w:ind w:left="0"/>
        <w:contextualSpacing/>
        <w:jc w:val="both"/>
        <w:rPr>
          <w:rFonts w:ascii="Arial" w:hAnsi="Arial" w:cs="Arial"/>
          <w:bCs/>
          <w:sz w:val="24"/>
        </w:rPr>
      </w:pPr>
      <w:r w:rsidRPr="001562E3">
        <w:rPr>
          <w:rFonts w:ascii="Arial" w:hAnsi="Arial" w:cs="Arial"/>
          <w:b/>
          <w:bCs/>
          <w:sz w:val="24"/>
        </w:rPr>
        <w:t>Acción(es) o recomendación(es) emitida(s)</w:t>
      </w:r>
    </w:p>
    <w:p w:rsidR="0081766E" w:rsidRDefault="001562E3" w:rsidP="001562E3">
      <w:pPr>
        <w:pStyle w:val="Prrafodelista"/>
        <w:spacing w:after="0"/>
        <w:ind w:left="0"/>
        <w:contextualSpacing/>
        <w:jc w:val="both"/>
        <w:rPr>
          <w:rFonts w:ascii="Arial" w:hAnsi="Arial" w:cs="Arial"/>
          <w:b/>
          <w:bCs/>
          <w:sz w:val="24"/>
        </w:rPr>
      </w:pPr>
      <w:r w:rsidRPr="001562E3">
        <w:rPr>
          <w:rFonts w:ascii="Arial" w:hAnsi="Arial" w:cs="Arial"/>
          <w:bCs/>
          <w:i/>
          <w:sz w:val="24"/>
        </w:rPr>
        <w:t>Recomendaciones en Relación a la Gestión o Control Interno</w:t>
      </w:r>
      <w:r w:rsidRPr="001562E3">
        <w:rPr>
          <w:rFonts w:ascii="Arial" w:hAnsi="Arial" w:cs="Arial"/>
          <w:b/>
          <w:bCs/>
          <w:sz w:val="24"/>
        </w:rPr>
        <w:t>.</w:t>
      </w:r>
    </w:p>
    <w:p w:rsidR="00166FC5" w:rsidRDefault="00166FC5" w:rsidP="00166FC5">
      <w:pPr>
        <w:pStyle w:val="Prrafodelista"/>
        <w:spacing w:after="0"/>
        <w:ind w:left="0"/>
        <w:contextualSpacing/>
        <w:jc w:val="both"/>
        <w:rPr>
          <w:rFonts w:ascii="Arial" w:hAnsi="Arial" w:cs="Arial"/>
          <w:b/>
          <w:bCs/>
          <w:sz w:val="24"/>
        </w:rPr>
      </w:pPr>
    </w:p>
    <w:p w:rsidR="001562E3" w:rsidRPr="001562E3" w:rsidRDefault="001562E3" w:rsidP="00166FC5">
      <w:pPr>
        <w:pStyle w:val="Prrafodelista"/>
        <w:spacing w:after="0"/>
        <w:ind w:left="0"/>
        <w:contextualSpacing/>
        <w:jc w:val="both"/>
        <w:rPr>
          <w:rFonts w:ascii="Arial" w:hAnsi="Arial" w:cs="Arial"/>
          <w:bCs/>
          <w:sz w:val="24"/>
        </w:rPr>
      </w:pPr>
      <w:r w:rsidRPr="001562E3">
        <w:rPr>
          <w:rFonts w:ascii="Arial" w:hAnsi="Arial" w:cs="Arial"/>
          <w:bCs/>
          <w:sz w:val="24"/>
        </w:rPr>
        <w:t>Llevar a cabo las acciones legales suficientes para hacer efectivo el cumplimiento y pago del contrato.</w:t>
      </w:r>
    </w:p>
    <w:p w:rsidR="00166FC5" w:rsidRDefault="00166FC5" w:rsidP="00166FC5">
      <w:pPr>
        <w:pStyle w:val="Prrafodelista"/>
        <w:spacing w:after="0"/>
        <w:ind w:left="0"/>
        <w:contextualSpacing/>
        <w:jc w:val="both"/>
        <w:rPr>
          <w:rFonts w:ascii="Arial" w:hAnsi="Arial" w:cs="Arial"/>
          <w:b/>
          <w:bCs/>
          <w:sz w:val="24"/>
        </w:rPr>
      </w:pPr>
    </w:p>
    <w:p w:rsidR="001562E3" w:rsidRPr="001562E3" w:rsidRDefault="001562E3" w:rsidP="001562E3">
      <w:pPr>
        <w:rPr>
          <w:rFonts w:ascii="Arial" w:hAnsi="Arial" w:cs="Arial"/>
          <w:bCs/>
          <w:sz w:val="24"/>
        </w:rPr>
      </w:pPr>
      <w:r>
        <w:rPr>
          <w:rFonts w:ascii="Arial" w:hAnsi="Arial" w:cs="Arial"/>
          <w:bCs/>
          <w:sz w:val="24"/>
        </w:rPr>
        <w:t xml:space="preserve">6. </w:t>
      </w:r>
      <w:r w:rsidRPr="001562E3">
        <w:rPr>
          <w:rFonts w:ascii="Arial" w:hAnsi="Arial" w:cs="Arial"/>
          <w:bCs/>
          <w:sz w:val="24"/>
        </w:rPr>
        <w:t>En la cuenta de Ventas en abonos (11221.4) se incluyen partidas con saldo negativo por un importe total de $(580,032), lo cual es contrario a su naturaleza contable, incumpliendo con el artículo 33 de la Ley General de Contabilidad Gubernamental y 48 primero y segundo párrafos de la Ley de Administración Financiera para el Estado de Nuevo León, siendo su integración:</w:t>
      </w:r>
    </w:p>
    <w:p w:rsidR="001562E3" w:rsidRDefault="001562E3" w:rsidP="00166FC5">
      <w:pPr>
        <w:pStyle w:val="Prrafodelista"/>
        <w:spacing w:after="0"/>
        <w:ind w:left="0"/>
        <w:contextualSpacing/>
        <w:jc w:val="both"/>
        <w:rPr>
          <w:rFonts w:ascii="Arial" w:hAnsi="Arial" w:cs="Arial"/>
          <w:bCs/>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1"/>
        <w:gridCol w:w="3621"/>
        <w:gridCol w:w="315"/>
        <w:gridCol w:w="1490"/>
      </w:tblGrid>
      <w:tr w:rsidR="001562E3" w:rsidRPr="001562E3" w:rsidTr="001562E3">
        <w:trPr>
          <w:tblCellSpacing w:w="15" w:type="dxa"/>
          <w:jc w:val="center"/>
        </w:trPr>
        <w:tc>
          <w:tcPr>
            <w:tcW w:w="0" w:type="auto"/>
            <w:shd w:val="clear" w:color="auto" w:fill="A6A6A6" w:themeFill="background1" w:themeFillShade="A6"/>
            <w:vAlign w:val="center"/>
            <w:hideMark/>
          </w:tcPr>
          <w:p w:rsidR="001562E3" w:rsidRPr="001562E3" w:rsidRDefault="001562E3" w:rsidP="001562E3">
            <w:pPr>
              <w:jc w:val="center"/>
              <w:rPr>
                <w:rFonts w:ascii="Arial" w:hAnsi="Arial" w:cs="Arial"/>
                <w:b/>
                <w:sz w:val="14"/>
                <w:szCs w:val="14"/>
                <w:u w:val="single"/>
                <w:lang w:val="es-MX" w:eastAsia="es-MX"/>
              </w:rPr>
            </w:pPr>
            <w:r w:rsidRPr="001562E3">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1562E3" w:rsidRPr="001562E3" w:rsidRDefault="001562E3" w:rsidP="001562E3">
            <w:pPr>
              <w:jc w:val="center"/>
              <w:rPr>
                <w:rFonts w:ascii="Arial" w:hAnsi="Arial" w:cs="Arial"/>
                <w:b/>
                <w:sz w:val="14"/>
                <w:szCs w:val="14"/>
                <w:u w:val="single"/>
                <w:lang w:val="es-MX" w:eastAsia="es-MX"/>
              </w:rPr>
            </w:pPr>
            <w:r w:rsidRPr="001562E3">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1562E3" w:rsidRPr="001562E3" w:rsidRDefault="001562E3" w:rsidP="001562E3">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1562E3" w:rsidRPr="001562E3" w:rsidRDefault="001562E3" w:rsidP="001562E3">
            <w:pPr>
              <w:jc w:val="center"/>
              <w:rPr>
                <w:rFonts w:ascii="Arial" w:hAnsi="Arial" w:cs="Arial"/>
                <w:b/>
                <w:sz w:val="14"/>
                <w:szCs w:val="14"/>
                <w:u w:val="single"/>
                <w:lang w:val="es-MX" w:eastAsia="es-MX"/>
              </w:rPr>
            </w:pPr>
            <w:r w:rsidRPr="001562E3">
              <w:rPr>
                <w:rFonts w:ascii="Arial" w:hAnsi="Arial" w:cs="Arial"/>
                <w:b/>
                <w:sz w:val="14"/>
                <w:szCs w:val="14"/>
                <w:u w:val="single"/>
                <w:lang w:val="es-MX" w:eastAsia="es-MX"/>
              </w:rPr>
              <w:t>Importe</w:t>
            </w:r>
          </w:p>
        </w:tc>
      </w:tr>
      <w:tr w:rsidR="001562E3" w:rsidRPr="001562E3" w:rsidTr="001562E3">
        <w:trPr>
          <w:tblCellSpacing w:w="15" w:type="dxa"/>
          <w:jc w:val="center"/>
        </w:trPr>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lastRenderedPageBreak/>
              <w:t>11221.4.1253</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Topo Chico Manzana 50.</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(465,221)</w:t>
            </w:r>
          </w:p>
        </w:tc>
      </w:tr>
      <w:tr w:rsidR="001562E3" w:rsidRPr="001562E3" w:rsidTr="001562E3">
        <w:trPr>
          <w:tblCellSpacing w:w="15" w:type="dxa"/>
          <w:jc w:val="center"/>
        </w:trPr>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11221.4.299</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Nayarit.</w:t>
            </w:r>
          </w:p>
        </w:tc>
        <w:tc>
          <w:tcPr>
            <w:tcW w:w="0" w:type="auto"/>
            <w:vAlign w:val="center"/>
            <w:hideMark/>
          </w:tcPr>
          <w:p w:rsidR="001562E3" w:rsidRPr="001562E3" w:rsidRDefault="001562E3" w:rsidP="001562E3">
            <w:pPr>
              <w:jc w:val="center"/>
              <w:rPr>
                <w:rFonts w:ascii="Arial" w:hAnsi="Arial" w:cs="Arial"/>
                <w:sz w:val="14"/>
                <w:szCs w:val="14"/>
                <w:lang w:val="es-MX" w:eastAsia="es-MX"/>
              </w:rPr>
            </w:pP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(5,408)</w:t>
            </w:r>
          </w:p>
        </w:tc>
      </w:tr>
      <w:tr w:rsidR="001562E3" w:rsidRPr="001562E3" w:rsidTr="001562E3">
        <w:trPr>
          <w:tblCellSpacing w:w="15" w:type="dxa"/>
          <w:jc w:val="center"/>
        </w:trPr>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11221.4.303</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California Sur.</w:t>
            </w:r>
          </w:p>
        </w:tc>
        <w:tc>
          <w:tcPr>
            <w:tcW w:w="0" w:type="auto"/>
            <w:vAlign w:val="center"/>
            <w:hideMark/>
          </w:tcPr>
          <w:p w:rsidR="001562E3" w:rsidRPr="001562E3" w:rsidRDefault="001562E3" w:rsidP="001562E3">
            <w:pPr>
              <w:jc w:val="center"/>
              <w:rPr>
                <w:rFonts w:ascii="Arial" w:hAnsi="Arial" w:cs="Arial"/>
                <w:sz w:val="14"/>
                <w:szCs w:val="14"/>
                <w:lang w:val="es-MX" w:eastAsia="es-MX"/>
              </w:rPr>
            </w:pP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(18,339)</w:t>
            </w:r>
          </w:p>
        </w:tc>
      </w:tr>
      <w:tr w:rsidR="001562E3" w:rsidRPr="001562E3" w:rsidTr="001562E3">
        <w:trPr>
          <w:tblCellSpacing w:w="15" w:type="dxa"/>
          <w:jc w:val="center"/>
        </w:trPr>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11221.4.310</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Topo Chico Manzana 81.</w:t>
            </w:r>
          </w:p>
        </w:tc>
        <w:tc>
          <w:tcPr>
            <w:tcW w:w="0" w:type="auto"/>
            <w:vAlign w:val="center"/>
            <w:hideMark/>
          </w:tcPr>
          <w:p w:rsidR="001562E3" w:rsidRPr="001562E3" w:rsidRDefault="001562E3" w:rsidP="001562E3">
            <w:pPr>
              <w:jc w:val="center"/>
              <w:rPr>
                <w:rFonts w:ascii="Arial" w:hAnsi="Arial" w:cs="Arial"/>
                <w:sz w:val="14"/>
                <w:szCs w:val="14"/>
                <w:lang w:val="es-MX" w:eastAsia="es-MX"/>
              </w:rPr>
            </w:pP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(91,064)</w:t>
            </w:r>
          </w:p>
        </w:tc>
      </w:tr>
      <w:tr w:rsidR="001562E3" w:rsidRPr="001562E3" w:rsidTr="001562E3">
        <w:trPr>
          <w:tblCellSpacing w:w="15" w:type="dxa"/>
          <w:jc w:val="center"/>
        </w:trPr>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Total</w:t>
            </w:r>
          </w:p>
        </w:tc>
        <w:tc>
          <w:tcPr>
            <w:tcW w:w="0" w:type="auto"/>
            <w:vAlign w:val="center"/>
            <w:hideMark/>
          </w:tcPr>
          <w:p w:rsidR="001562E3" w:rsidRPr="001562E3" w:rsidRDefault="001562E3" w:rsidP="001562E3">
            <w:pPr>
              <w:jc w:val="center"/>
              <w:rPr>
                <w:rFonts w:ascii="Arial" w:hAnsi="Arial" w:cs="Arial"/>
                <w:sz w:val="14"/>
                <w:szCs w:val="14"/>
                <w:lang w:val="es-MX" w:eastAsia="es-MX"/>
              </w:rPr>
            </w:pP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(580,032)</w:t>
            </w:r>
          </w:p>
        </w:tc>
      </w:tr>
    </w:tbl>
    <w:p w:rsidR="001562E3" w:rsidRPr="001562E3" w:rsidRDefault="001562E3" w:rsidP="00166FC5">
      <w:pPr>
        <w:pStyle w:val="Prrafodelista"/>
        <w:spacing w:after="0"/>
        <w:ind w:left="0"/>
        <w:contextualSpacing/>
        <w:jc w:val="both"/>
        <w:rPr>
          <w:rFonts w:ascii="Arial" w:hAnsi="Arial" w:cs="Arial"/>
          <w:bCs/>
          <w:sz w:val="24"/>
        </w:rPr>
      </w:pPr>
    </w:p>
    <w:p w:rsidR="00166FC5" w:rsidRDefault="00166FC5" w:rsidP="00166FC5">
      <w:pPr>
        <w:pStyle w:val="Prrafodelista"/>
        <w:spacing w:after="0"/>
        <w:ind w:left="0"/>
        <w:contextualSpacing/>
        <w:jc w:val="both"/>
        <w:rPr>
          <w:rFonts w:ascii="Arial" w:hAnsi="Arial" w:cs="Arial"/>
          <w:b/>
          <w:bCs/>
          <w:sz w:val="24"/>
        </w:rPr>
      </w:pPr>
    </w:p>
    <w:p w:rsidR="001562E3" w:rsidRDefault="001562E3" w:rsidP="00166FC5">
      <w:pPr>
        <w:pStyle w:val="Prrafodelista"/>
        <w:spacing w:after="0"/>
        <w:ind w:left="0"/>
        <w:contextualSpacing/>
        <w:jc w:val="both"/>
        <w:rPr>
          <w:rFonts w:ascii="Arial" w:hAnsi="Arial" w:cs="Arial"/>
          <w:b/>
          <w:bCs/>
          <w:sz w:val="24"/>
        </w:rPr>
      </w:pPr>
    </w:p>
    <w:p w:rsidR="001562E3" w:rsidRPr="001562E3" w:rsidRDefault="001562E3" w:rsidP="001562E3">
      <w:pPr>
        <w:pStyle w:val="Prrafodelista"/>
        <w:spacing w:after="0"/>
        <w:ind w:left="142"/>
        <w:contextualSpacing/>
        <w:jc w:val="both"/>
        <w:rPr>
          <w:rFonts w:ascii="Arial" w:hAnsi="Arial" w:cs="Arial"/>
          <w:b/>
          <w:bCs/>
          <w:sz w:val="24"/>
        </w:rPr>
      </w:pPr>
      <w:r w:rsidRPr="001562E3">
        <w:rPr>
          <w:rFonts w:ascii="Arial" w:hAnsi="Arial" w:cs="Arial"/>
          <w:b/>
          <w:bCs/>
          <w:sz w:val="24"/>
        </w:rPr>
        <w:t>Acción(es) o recomendación(es) emitida(s)</w:t>
      </w:r>
    </w:p>
    <w:p w:rsidR="001562E3" w:rsidRDefault="001562E3" w:rsidP="001562E3">
      <w:pPr>
        <w:pStyle w:val="Prrafodelista"/>
        <w:spacing w:after="0"/>
        <w:ind w:left="142"/>
        <w:contextualSpacing/>
        <w:jc w:val="both"/>
        <w:rPr>
          <w:rFonts w:ascii="Arial" w:hAnsi="Arial" w:cs="Arial"/>
          <w:bCs/>
          <w:i/>
          <w:sz w:val="24"/>
        </w:rPr>
      </w:pPr>
      <w:r w:rsidRPr="001562E3">
        <w:rPr>
          <w:rFonts w:ascii="Arial" w:hAnsi="Arial" w:cs="Arial"/>
          <w:bCs/>
          <w:i/>
          <w:sz w:val="24"/>
        </w:rPr>
        <w:t>Promoción de Fincamiento de Responsabilidad Administrativa.</w:t>
      </w:r>
    </w:p>
    <w:p w:rsidR="001562E3" w:rsidRDefault="001562E3" w:rsidP="001562E3">
      <w:pPr>
        <w:pStyle w:val="Prrafodelista"/>
        <w:spacing w:after="0"/>
        <w:ind w:left="142"/>
        <w:contextualSpacing/>
        <w:jc w:val="both"/>
        <w:rPr>
          <w:rFonts w:ascii="Arial" w:hAnsi="Arial" w:cs="Arial"/>
          <w:bCs/>
          <w:i/>
          <w:sz w:val="24"/>
        </w:rPr>
      </w:pPr>
    </w:p>
    <w:p w:rsidR="001562E3" w:rsidRPr="001562E3" w:rsidRDefault="001562E3" w:rsidP="001562E3">
      <w:pPr>
        <w:pStyle w:val="Prrafodelista"/>
        <w:spacing w:after="0"/>
        <w:ind w:left="142"/>
        <w:contextualSpacing/>
        <w:jc w:val="both"/>
        <w:rPr>
          <w:rFonts w:ascii="Arial" w:hAnsi="Arial" w:cs="Arial"/>
          <w:b/>
          <w:bCs/>
          <w:sz w:val="24"/>
          <w:u w:val="single"/>
        </w:rPr>
      </w:pPr>
      <w:r w:rsidRPr="001562E3">
        <w:rPr>
          <w:rFonts w:ascii="Arial" w:hAnsi="Arial" w:cs="Arial"/>
          <w:b/>
          <w:bCs/>
          <w:sz w:val="24"/>
          <w:u w:val="single"/>
        </w:rPr>
        <w:t>Derechos a Recibir Bienes o Servicios</w:t>
      </w:r>
    </w:p>
    <w:p w:rsidR="001562E3" w:rsidRDefault="001562E3" w:rsidP="001562E3">
      <w:pPr>
        <w:pStyle w:val="Prrafodelista"/>
        <w:spacing w:after="0"/>
        <w:ind w:left="142"/>
        <w:contextualSpacing/>
        <w:jc w:val="both"/>
        <w:rPr>
          <w:rFonts w:ascii="Arial" w:hAnsi="Arial" w:cs="Arial"/>
          <w:b/>
          <w:bCs/>
          <w:sz w:val="24"/>
          <w:u w:val="single"/>
        </w:rPr>
      </w:pPr>
      <w:r w:rsidRPr="001562E3">
        <w:rPr>
          <w:rFonts w:ascii="Arial" w:hAnsi="Arial" w:cs="Arial"/>
          <w:b/>
          <w:bCs/>
          <w:sz w:val="24"/>
          <w:u w:val="single"/>
        </w:rPr>
        <w:t>Anticipo a contratistas por obras públicas a corto plazo</w:t>
      </w:r>
    </w:p>
    <w:p w:rsidR="001562E3" w:rsidRDefault="001562E3" w:rsidP="001562E3">
      <w:pPr>
        <w:pStyle w:val="Prrafodelista"/>
        <w:spacing w:after="0"/>
        <w:ind w:left="142"/>
        <w:contextualSpacing/>
        <w:jc w:val="both"/>
        <w:rPr>
          <w:rFonts w:ascii="Arial" w:hAnsi="Arial" w:cs="Arial"/>
          <w:b/>
          <w:bCs/>
          <w:sz w:val="24"/>
          <w:u w:val="single"/>
        </w:rPr>
      </w:pPr>
    </w:p>
    <w:p w:rsidR="001562E3" w:rsidRPr="001562E3" w:rsidRDefault="001562E3" w:rsidP="001562E3">
      <w:pPr>
        <w:pStyle w:val="Prrafodelista"/>
        <w:spacing w:after="0"/>
        <w:ind w:left="142"/>
        <w:contextualSpacing/>
        <w:jc w:val="both"/>
        <w:rPr>
          <w:rFonts w:ascii="Arial" w:hAnsi="Arial" w:cs="Arial"/>
          <w:bCs/>
          <w:sz w:val="24"/>
        </w:rPr>
      </w:pPr>
      <w:r>
        <w:rPr>
          <w:rFonts w:ascii="Arial" w:hAnsi="Arial" w:cs="Arial"/>
          <w:bCs/>
          <w:sz w:val="24"/>
        </w:rPr>
        <w:t xml:space="preserve">7. </w:t>
      </w:r>
      <w:r w:rsidRPr="001562E3">
        <w:rPr>
          <w:rFonts w:ascii="Arial" w:hAnsi="Arial" w:cs="Arial"/>
          <w:bCs/>
          <w:sz w:val="24"/>
        </w:rPr>
        <w:t>El Ente Público tiene registrado un anticipo de $14</w:t>
      </w:r>
      <w:proofErr w:type="gramStart"/>
      <w:r w:rsidRPr="001562E3">
        <w:rPr>
          <w:rFonts w:ascii="Arial" w:hAnsi="Arial" w:cs="Arial"/>
          <w:bCs/>
          <w:sz w:val="24"/>
        </w:rPr>
        <w:t>,270,886</w:t>
      </w:r>
      <w:proofErr w:type="gramEnd"/>
      <w:r w:rsidRPr="001562E3">
        <w:rPr>
          <w:rFonts w:ascii="Arial" w:hAnsi="Arial" w:cs="Arial"/>
          <w:bCs/>
          <w:sz w:val="24"/>
        </w:rPr>
        <w:t xml:space="preserve"> entregado al contratista </w:t>
      </w:r>
      <w:proofErr w:type="spellStart"/>
      <w:r w:rsidRPr="001562E3">
        <w:rPr>
          <w:rFonts w:ascii="Arial" w:hAnsi="Arial" w:cs="Arial"/>
          <w:bCs/>
          <w:sz w:val="24"/>
        </w:rPr>
        <w:t>Gemar</w:t>
      </w:r>
      <w:proofErr w:type="spellEnd"/>
      <w:r w:rsidRPr="001562E3">
        <w:rPr>
          <w:rFonts w:ascii="Arial" w:hAnsi="Arial" w:cs="Arial"/>
          <w:bCs/>
          <w:sz w:val="24"/>
        </w:rPr>
        <w:t xml:space="preserve"> Asfaltos, S.A. de C.V. en el ejercicio 2006, y que a la fecha no ha sido recuperado, correspondiente al contrato No.48055002-003-05 de obra pública a precios unitarios y tiempo determinado, relativo a la obra "Pavimentación con concreto hidráulico de la primera y segunda etapa" ubicada en el fraccionamiento Alianza Real en el municipio de Escobedo, Nuevo León.</w:t>
      </w:r>
    </w:p>
    <w:p w:rsidR="001562E3" w:rsidRDefault="001562E3" w:rsidP="001562E3">
      <w:pPr>
        <w:pStyle w:val="Prrafodelista"/>
        <w:spacing w:after="0"/>
        <w:ind w:left="142"/>
        <w:contextualSpacing/>
        <w:jc w:val="both"/>
        <w:rPr>
          <w:rFonts w:ascii="Arial" w:hAnsi="Arial" w:cs="Arial"/>
          <w:bCs/>
          <w:sz w:val="24"/>
        </w:rPr>
      </w:pPr>
    </w:p>
    <w:p w:rsidR="001562E3" w:rsidRDefault="001562E3" w:rsidP="001562E3">
      <w:pPr>
        <w:pStyle w:val="Prrafodelista"/>
        <w:spacing w:after="0"/>
        <w:ind w:left="142"/>
        <w:contextualSpacing/>
        <w:jc w:val="both"/>
        <w:rPr>
          <w:rFonts w:ascii="Arial" w:hAnsi="Arial" w:cs="Arial"/>
          <w:bCs/>
          <w:sz w:val="24"/>
        </w:rPr>
      </w:pPr>
      <w:r w:rsidRPr="001562E3">
        <w:rPr>
          <w:rFonts w:ascii="Arial" w:hAnsi="Arial" w:cs="Arial"/>
          <w:bCs/>
          <w:sz w:val="24"/>
        </w:rPr>
        <w:t>En la revisión de eventos posteriores, se observó que al 31 de marzo de 2016 aún no ha sido amortizado o recuperado el anticipo.</w:t>
      </w:r>
    </w:p>
    <w:p w:rsid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
          <w:bCs/>
          <w:sz w:val="24"/>
        </w:rPr>
      </w:pPr>
    </w:p>
    <w:p w:rsidR="001562E3" w:rsidRPr="001562E3" w:rsidRDefault="001562E3" w:rsidP="001562E3">
      <w:pPr>
        <w:pStyle w:val="Prrafodelista"/>
        <w:spacing w:after="0"/>
        <w:ind w:left="142"/>
        <w:contextualSpacing/>
        <w:jc w:val="both"/>
        <w:rPr>
          <w:rFonts w:ascii="Arial" w:hAnsi="Arial" w:cs="Arial"/>
          <w:b/>
          <w:bCs/>
          <w:sz w:val="24"/>
        </w:rPr>
      </w:pPr>
      <w:r w:rsidRPr="001562E3">
        <w:rPr>
          <w:rFonts w:ascii="Arial" w:hAnsi="Arial" w:cs="Arial"/>
          <w:b/>
          <w:bCs/>
          <w:sz w:val="24"/>
        </w:rPr>
        <w:t>Análisis de la Auditoría Superior del Estado</w:t>
      </w:r>
    </w:p>
    <w:p w:rsid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Cs/>
          <w:sz w:val="24"/>
        </w:rPr>
      </w:pPr>
      <w:r w:rsidRPr="001562E3">
        <w:rPr>
          <w:rFonts w:ascii="Arial" w:hAnsi="Arial" w:cs="Arial"/>
          <w:bCs/>
          <w:sz w:val="24"/>
        </w:rPr>
        <w:t xml:space="preserve">Derivado del análisis de la respuesta y documentación presentada por el Ente Público </w:t>
      </w:r>
      <w:r>
        <w:rPr>
          <w:rFonts w:ascii="Arial" w:hAnsi="Arial" w:cs="Arial"/>
          <w:bCs/>
          <w:sz w:val="24"/>
        </w:rPr>
        <w:t>la Auditoría determinó que esta observación se solventó</w:t>
      </w:r>
      <w:r w:rsidRPr="001562E3">
        <w:rPr>
          <w:rFonts w:ascii="Arial" w:hAnsi="Arial" w:cs="Arial"/>
          <w:bCs/>
          <w:sz w:val="24"/>
        </w:rPr>
        <w:t xml:space="preserve"> parcialmente, toda vez que proporciona una Sentencia definitiva del Juicio de </w:t>
      </w:r>
      <w:r w:rsidRPr="001562E3">
        <w:rPr>
          <w:rFonts w:ascii="Arial" w:hAnsi="Arial" w:cs="Arial"/>
          <w:bCs/>
          <w:sz w:val="24"/>
        </w:rPr>
        <w:lastRenderedPageBreak/>
        <w:t xml:space="preserve">Nulidad 724/2014, emitida el 29 de septiembre de 2016 por el Tribunal de Justicia Administrativa del Estado de Nuevo León a favor de FOMERREY donde se sobresee el </w:t>
      </w:r>
      <w:r>
        <w:rPr>
          <w:rFonts w:ascii="Arial" w:hAnsi="Arial" w:cs="Arial"/>
          <w:bCs/>
          <w:sz w:val="24"/>
        </w:rPr>
        <w:t>juicio, sin embargo, aún se estaba</w:t>
      </w:r>
      <w:r w:rsidRPr="001562E3">
        <w:rPr>
          <w:rFonts w:ascii="Arial" w:hAnsi="Arial" w:cs="Arial"/>
          <w:bCs/>
          <w:sz w:val="24"/>
        </w:rPr>
        <w:t xml:space="preserve"> atendiendo de la consecución jurisdiccional.</w:t>
      </w:r>
    </w:p>
    <w:p w:rsidR="001562E3" w:rsidRP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
          <w:bCs/>
          <w:sz w:val="24"/>
        </w:rPr>
      </w:pPr>
      <w:r w:rsidRPr="001562E3">
        <w:rPr>
          <w:rFonts w:ascii="Arial" w:hAnsi="Arial" w:cs="Arial"/>
          <w:b/>
          <w:bCs/>
          <w:sz w:val="24"/>
        </w:rPr>
        <w:t>Acción(es) o recomendación(es) emitida(s)</w:t>
      </w:r>
    </w:p>
    <w:p w:rsidR="001562E3" w:rsidRDefault="001562E3" w:rsidP="001562E3">
      <w:pPr>
        <w:pStyle w:val="Prrafodelista"/>
        <w:spacing w:after="0"/>
        <w:ind w:left="142"/>
        <w:contextualSpacing/>
        <w:jc w:val="both"/>
        <w:rPr>
          <w:rFonts w:ascii="Arial" w:hAnsi="Arial" w:cs="Arial"/>
          <w:bCs/>
          <w:i/>
          <w:sz w:val="24"/>
        </w:rPr>
      </w:pPr>
      <w:r w:rsidRPr="001562E3">
        <w:rPr>
          <w:rFonts w:ascii="Arial" w:hAnsi="Arial" w:cs="Arial"/>
          <w:bCs/>
          <w:i/>
          <w:sz w:val="24"/>
        </w:rPr>
        <w:t>Recomendaciones en Relación a la Gestión o Control Interno.</w:t>
      </w:r>
    </w:p>
    <w:p w:rsidR="001562E3" w:rsidRDefault="001562E3" w:rsidP="001562E3">
      <w:pPr>
        <w:pStyle w:val="Prrafodelista"/>
        <w:spacing w:after="0"/>
        <w:ind w:left="142"/>
        <w:contextualSpacing/>
        <w:jc w:val="both"/>
        <w:rPr>
          <w:rFonts w:ascii="Arial" w:hAnsi="Arial" w:cs="Arial"/>
          <w:bCs/>
          <w:i/>
          <w:sz w:val="24"/>
        </w:rPr>
      </w:pPr>
    </w:p>
    <w:p w:rsidR="001562E3" w:rsidRDefault="001562E3" w:rsidP="001562E3">
      <w:pPr>
        <w:pStyle w:val="Prrafodelista"/>
        <w:spacing w:after="0"/>
        <w:ind w:left="142"/>
        <w:contextualSpacing/>
        <w:jc w:val="both"/>
        <w:rPr>
          <w:rFonts w:ascii="Arial" w:hAnsi="Arial" w:cs="Arial"/>
          <w:bCs/>
          <w:sz w:val="24"/>
        </w:rPr>
      </w:pPr>
      <w:r>
        <w:rPr>
          <w:rFonts w:ascii="Arial" w:hAnsi="Arial" w:cs="Arial"/>
          <w:bCs/>
          <w:sz w:val="24"/>
        </w:rPr>
        <w:t xml:space="preserve">8. </w:t>
      </w:r>
      <w:r w:rsidRPr="001562E3">
        <w:rPr>
          <w:rFonts w:ascii="Arial" w:hAnsi="Arial" w:cs="Arial"/>
          <w:bCs/>
          <w:sz w:val="24"/>
        </w:rPr>
        <w:t>Se observó que el Ente Público no realizó durante el ejercicio 2015 gestiones de cobranza para la recuperación de los anticipos entregados a dos contratistas por $390,034, que presentan una antigüedad mayor a once años, a continuación se muestra su integración:</w:t>
      </w:r>
    </w:p>
    <w:p w:rsidR="001562E3" w:rsidRDefault="001562E3" w:rsidP="001562E3">
      <w:pPr>
        <w:pStyle w:val="Prrafodelista"/>
        <w:spacing w:after="0"/>
        <w:ind w:left="142"/>
        <w:contextualSpacing/>
        <w:jc w:val="both"/>
        <w:rPr>
          <w:rFonts w:ascii="Arial" w:hAnsi="Arial" w:cs="Arial"/>
          <w:bCs/>
          <w:sz w:val="24"/>
        </w:rPr>
      </w:pPr>
    </w:p>
    <w:p w:rsidR="001562E3" w:rsidRDefault="001562E3" w:rsidP="001562E3">
      <w:pPr>
        <w:pStyle w:val="Prrafodelista"/>
        <w:spacing w:after="0"/>
        <w:ind w:left="142"/>
        <w:contextualSpacing/>
        <w:jc w:val="both"/>
        <w:rPr>
          <w:rFonts w:ascii="Arial" w:hAnsi="Arial" w:cs="Arial"/>
          <w:bCs/>
          <w:sz w:val="24"/>
        </w:rPr>
      </w:pPr>
    </w:p>
    <w:tbl>
      <w:tblPr>
        <w:tblW w:w="319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6"/>
        <w:gridCol w:w="959"/>
        <w:gridCol w:w="384"/>
      </w:tblGrid>
      <w:tr w:rsidR="001562E3" w:rsidRPr="001562E3" w:rsidTr="001562E3">
        <w:trPr>
          <w:tblCellSpacing w:w="15" w:type="dxa"/>
          <w:jc w:val="center"/>
        </w:trPr>
        <w:tc>
          <w:tcPr>
            <w:tcW w:w="3778" w:type="pct"/>
            <w:shd w:val="clear" w:color="auto" w:fill="A6A6A6" w:themeFill="background1" w:themeFillShade="A6"/>
            <w:vAlign w:val="center"/>
            <w:hideMark/>
          </w:tcPr>
          <w:p w:rsidR="001562E3" w:rsidRPr="001562E3" w:rsidRDefault="001562E3" w:rsidP="001562E3">
            <w:pPr>
              <w:jc w:val="center"/>
              <w:rPr>
                <w:rFonts w:ascii="Arial" w:hAnsi="Arial" w:cs="Arial"/>
                <w:b/>
                <w:sz w:val="14"/>
                <w:szCs w:val="14"/>
                <w:u w:val="single"/>
                <w:lang w:val="es-MX" w:eastAsia="es-MX"/>
              </w:rPr>
            </w:pPr>
            <w:r w:rsidRPr="001562E3">
              <w:rPr>
                <w:rFonts w:ascii="Arial" w:hAnsi="Arial" w:cs="Arial"/>
                <w:b/>
                <w:sz w:val="14"/>
                <w:szCs w:val="14"/>
                <w:u w:val="single"/>
                <w:lang w:val="es-MX" w:eastAsia="es-MX"/>
              </w:rPr>
              <w:t>Contratista</w:t>
            </w:r>
          </w:p>
        </w:tc>
        <w:tc>
          <w:tcPr>
            <w:tcW w:w="0" w:type="auto"/>
            <w:shd w:val="clear" w:color="auto" w:fill="A6A6A6" w:themeFill="background1" w:themeFillShade="A6"/>
            <w:vAlign w:val="center"/>
            <w:hideMark/>
          </w:tcPr>
          <w:p w:rsidR="001562E3" w:rsidRPr="001562E3" w:rsidRDefault="001562E3" w:rsidP="001562E3">
            <w:pPr>
              <w:jc w:val="center"/>
              <w:rPr>
                <w:rFonts w:ascii="Arial" w:hAnsi="Arial" w:cs="Arial"/>
                <w:b/>
                <w:sz w:val="14"/>
                <w:szCs w:val="14"/>
                <w:u w:val="single"/>
                <w:lang w:val="es-MX" w:eastAsia="es-MX"/>
              </w:rPr>
            </w:pPr>
            <w:r w:rsidRPr="001562E3">
              <w:rPr>
                <w:rFonts w:ascii="Arial" w:hAnsi="Arial" w:cs="Arial"/>
                <w:b/>
                <w:sz w:val="14"/>
                <w:szCs w:val="14"/>
                <w:u w:val="single"/>
                <w:lang w:val="es-MX" w:eastAsia="es-MX"/>
              </w:rPr>
              <w:t>Importe</w:t>
            </w:r>
          </w:p>
        </w:tc>
        <w:tc>
          <w:tcPr>
            <w:tcW w:w="0" w:type="auto"/>
            <w:shd w:val="clear" w:color="auto" w:fill="A6A6A6" w:themeFill="background1" w:themeFillShade="A6"/>
            <w:vAlign w:val="center"/>
            <w:hideMark/>
          </w:tcPr>
          <w:p w:rsidR="001562E3" w:rsidRPr="001562E3" w:rsidRDefault="001562E3" w:rsidP="001562E3">
            <w:pPr>
              <w:jc w:val="center"/>
              <w:rPr>
                <w:rFonts w:ascii="Arial" w:hAnsi="Arial" w:cs="Arial"/>
                <w:b/>
                <w:sz w:val="14"/>
                <w:szCs w:val="14"/>
                <w:u w:val="single"/>
                <w:lang w:val="es-MX" w:eastAsia="es-MX"/>
              </w:rPr>
            </w:pPr>
          </w:p>
        </w:tc>
      </w:tr>
      <w:tr w:rsidR="001562E3" w:rsidRPr="001562E3" w:rsidTr="001562E3">
        <w:trPr>
          <w:tblCellSpacing w:w="15" w:type="dxa"/>
          <w:jc w:val="center"/>
        </w:trPr>
        <w:tc>
          <w:tcPr>
            <w:tcW w:w="3778" w:type="pct"/>
            <w:vAlign w:val="center"/>
            <w:hideMark/>
          </w:tcPr>
          <w:p w:rsidR="001562E3" w:rsidRPr="001562E3" w:rsidRDefault="001562E3" w:rsidP="001562E3">
            <w:pPr>
              <w:jc w:val="center"/>
              <w:rPr>
                <w:rFonts w:ascii="Arial" w:hAnsi="Arial" w:cs="Arial"/>
                <w:sz w:val="14"/>
                <w:szCs w:val="14"/>
                <w:lang w:val="es-MX" w:eastAsia="es-MX"/>
              </w:rPr>
            </w:pPr>
            <w:proofErr w:type="spellStart"/>
            <w:r w:rsidRPr="001562E3">
              <w:rPr>
                <w:rFonts w:ascii="Arial" w:hAnsi="Arial" w:cs="Arial"/>
                <w:sz w:val="14"/>
                <w:szCs w:val="14"/>
                <w:lang w:val="es-MX" w:eastAsia="es-MX"/>
              </w:rPr>
              <w:t>Coperlisa</w:t>
            </w:r>
            <w:proofErr w:type="spellEnd"/>
            <w:r w:rsidRPr="001562E3">
              <w:rPr>
                <w:rFonts w:ascii="Arial" w:hAnsi="Arial" w:cs="Arial"/>
                <w:sz w:val="14"/>
                <w:szCs w:val="14"/>
                <w:lang w:val="es-MX" w:eastAsia="es-MX"/>
              </w:rPr>
              <w:t>, S.A. de C.V.</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257,221</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[1]</w:t>
            </w:r>
          </w:p>
        </w:tc>
      </w:tr>
      <w:tr w:rsidR="001562E3" w:rsidRPr="001562E3" w:rsidTr="001562E3">
        <w:trPr>
          <w:tblCellSpacing w:w="15" w:type="dxa"/>
          <w:jc w:val="center"/>
        </w:trPr>
        <w:tc>
          <w:tcPr>
            <w:tcW w:w="3778" w:type="pct"/>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Construcciones e Instalaciones Electromecánicas, S.A de C.V.</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132,813</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[2]</w:t>
            </w:r>
          </w:p>
        </w:tc>
      </w:tr>
      <w:tr w:rsidR="001562E3" w:rsidRPr="001562E3" w:rsidTr="001562E3">
        <w:trPr>
          <w:tblCellSpacing w:w="15" w:type="dxa"/>
          <w:jc w:val="center"/>
        </w:trPr>
        <w:tc>
          <w:tcPr>
            <w:tcW w:w="3778" w:type="pct"/>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Total</w:t>
            </w:r>
          </w:p>
        </w:tc>
        <w:tc>
          <w:tcPr>
            <w:tcW w:w="0" w:type="auto"/>
            <w:vAlign w:val="center"/>
            <w:hideMark/>
          </w:tcPr>
          <w:p w:rsidR="001562E3" w:rsidRPr="001562E3" w:rsidRDefault="001562E3" w:rsidP="001562E3">
            <w:pPr>
              <w:jc w:val="center"/>
              <w:rPr>
                <w:rFonts w:ascii="Arial" w:hAnsi="Arial" w:cs="Arial"/>
                <w:sz w:val="14"/>
                <w:szCs w:val="14"/>
                <w:lang w:val="es-MX" w:eastAsia="es-MX"/>
              </w:rPr>
            </w:pPr>
            <w:r w:rsidRPr="001562E3">
              <w:rPr>
                <w:rFonts w:ascii="Arial" w:hAnsi="Arial" w:cs="Arial"/>
                <w:sz w:val="14"/>
                <w:szCs w:val="14"/>
                <w:lang w:val="es-MX" w:eastAsia="es-MX"/>
              </w:rPr>
              <w:t>390,034</w:t>
            </w:r>
          </w:p>
        </w:tc>
        <w:tc>
          <w:tcPr>
            <w:tcW w:w="0" w:type="auto"/>
            <w:vAlign w:val="center"/>
            <w:hideMark/>
          </w:tcPr>
          <w:p w:rsidR="001562E3" w:rsidRPr="001562E3" w:rsidRDefault="001562E3" w:rsidP="001562E3">
            <w:pPr>
              <w:jc w:val="center"/>
              <w:rPr>
                <w:rFonts w:ascii="Arial" w:hAnsi="Arial" w:cs="Arial"/>
                <w:sz w:val="14"/>
                <w:szCs w:val="14"/>
                <w:lang w:val="es-MX" w:eastAsia="es-MX"/>
              </w:rPr>
            </w:pPr>
          </w:p>
        </w:tc>
      </w:tr>
    </w:tbl>
    <w:p w:rsidR="001562E3" w:rsidRP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Cs/>
          <w:sz w:val="24"/>
        </w:rPr>
      </w:pPr>
      <w:r w:rsidRPr="001562E3">
        <w:rPr>
          <w:rFonts w:ascii="Arial" w:hAnsi="Arial" w:cs="Arial"/>
          <w:b/>
          <w:bCs/>
          <w:sz w:val="24"/>
        </w:rPr>
        <w:t>(</w:t>
      </w:r>
      <w:r w:rsidRPr="001562E3">
        <w:rPr>
          <w:rFonts w:ascii="Arial" w:hAnsi="Arial" w:cs="Arial"/>
          <w:bCs/>
          <w:sz w:val="24"/>
        </w:rPr>
        <w:t>1) Obra de urbanización desarrollada en el fraccionamiento Nueva Esperanza, en el municipio de Escobedo, Nuevo León.</w:t>
      </w:r>
    </w:p>
    <w:p w:rsid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Cs/>
          <w:sz w:val="24"/>
        </w:rPr>
      </w:pPr>
      <w:r w:rsidRPr="001562E3">
        <w:rPr>
          <w:rFonts w:ascii="Arial" w:hAnsi="Arial" w:cs="Arial"/>
          <w:bCs/>
          <w:sz w:val="24"/>
        </w:rPr>
        <w:t>(2) Obra de electrificación desarrollada en el fraccionamiento Ignacio Zaragoza, en el municipio de Linares, Nuevo León.</w:t>
      </w:r>
    </w:p>
    <w:p w:rsid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Cs/>
          <w:sz w:val="24"/>
        </w:rPr>
      </w:pPr>
      <w:r w:rsidRPr="001562E3">
        <w:rPr>
          <w:rFonts w:ascii="Arial" w:hAnsi="Arial" w:cs="Arial"/>
          <w:bCs/>
          <w:sz w:val="24"/>
        </w:rPr>
        <w:t>En la revisión de eventos posteriores, se observó que al 31 de marzo de 2016 aún no han sido recuperados los anticipos.</w:t>
      </w:r>
    </w:p>
    <w:p w:rsidR="001562E3" w:rsidRPr="001562E3" w:rsidRDefault="001562E3" w:rsidP="001562E3">
      <w:pPr>
        <w:pStyle w:val="Prrafodelista"/>
        <w:spacing w:after="0"/>
        <w:ind w:left="142"/>
        <w:contextualSpacing/>
        <w:jc w:val="both"/>
        <w:rPr>
          <w:rFonts w:ascii="Arial" w:hAnsi="Arial" w:cs="Arial"/>
          <w:b/>
          <w:bCs/>
          <w:sz w:val="24"/>
        </w:rPr>
      </w:pPr>
    </w:p>
    <w:p w:rsidR="001562E3" w:rsidRPr="001562E3" w:rsidRDefault="001562E3" w:rsidP="001562E3">
      <w:pPr>
        <w:pStyle w:val="Prrafodelista"/>
        <w:spacing w:after="0"/>
        <w:ind w:left="142"/>
        <w:contextualSpacing/>
        <w:jc w:val="both"/>
        <w:rPr>
          <w:rFonts w:ascii="Arial" w:hAnsi="Arial" w:cs="Arial"/>
          <w:b/>
          <w:bCs/>
          <w:sz w:val="24"/>
        </w:rPr>
      </w:pPr>
      <w:r w:rsidRPr="001562E3">
        <w:rPr>
          <w:rFonts w:ascii="Arial" w:hAnsi="Arial" w:cs="Arial"/>
          <w:b/>
          <w:bCs/>
          <w:sz w:val="24"/>
        </w:rPr>
        <w:t>Acción(es) o recomendación(es) emitida(s)</w:t>
      </w:r>
    </w:p>
    <w:p w:rsidR="001562E3" w:rsidRDefault="001562E3" w:rsidP="001562E3">
      <w:pPr>
        <w:pStyle w:val="Prrafodelista"/>
        <w:spacing w:after="0"/>
        <w:ind w:left="142"/>
        <w:contextualSpacing/>
        <w:jc w:val="both"/>
        <w:rPr>
          <w:rFonts w:ascii="Arial" w:hAnsi="Arial" w:cs="Arial"/>
          <w:bCs/>
          <w:i/>
          <w:sz w:val="24"/>
        </w:rPr>
      </w:pPr>
      <w:r w:rsidRPr="001562E3">
        <w:rPr>
          <w:rFonts w:ascii="Arial" w:hAnsi="Arial" w:cs="Arial"/>
          <w:bCs/>
          <w:i/>
          <w:sz w:val="24"/>
        </w:rPr>
        <w:t>Recomendaciones en Relación a la Gestión o Control Interno.</w:t>
      </w:r>
    </w:p>
    <w:p w:rsidR="001562E3" w:rsidRDefault="001562E3" w:rsidP="00166FC5">
      <w:pPr>
        <w:pStyle w:val="Prrafodelista"/>
        <w:spacing w:after="0"/>
        <w:ind w:left="0"/>
        <w:contextualSpacing/>
        <w:jc w:val="both"/>
        <w:rPr>
          <w:rFonts w:ascii="Arial" w:hAnsi="Arial" w:cs="Arial"/>
          <w:b/>
          <w:bCs/>
          <w:sz w:val="24"/>
        </w:rPr>
      </w:pPr>
    </w:p>
    <w:p w:rsidR="001562E3" w:rsidRDefault="001562E3" w:rsidP="00166FC5">
      <w:pPr>
        <w:pStyle w:val="Prrafodelista"/>
        <w:spacing w:after="0"/>
        <w:ind w:left="0"/>
        <w:contextualSpacing/>
        <w:jc w:val="both"/>
        <w:rPr>
          <w:rFonts w:ascii="Arial" w:hAnsi="Arial" w:cs="Arial"/>
          <w:b/>
          <w:bCs/>
          <w:sz w:val="24"/>
        </w:rPr>
      </w:pPr>
    </w:p>
    <w:p w:rsidR="00166FC5" w:rsidRPr="001562E3" w:rsidRDefault="001562E3" w:rsidP="00166FC5">
      <w:pPr>
        <w:pStyle w:val="Prrafodelista"/>
        <w:spacing w:after="0"/>
        <w:ind w:left="0"/>
        <w:contextualSpacing/>
        <w:jc w:val="both"/>
        <w:rPr>
          <w:rFonts w:ascii="Arial" w:hAnsi="Arial" w:cs="Arial"/>
          <w:b/>
          <w:bCs/>
          <w:sz w:val="24"/>
          <w:u w:val="single"/>
        </w:rPr>
      </w:pPr>
      <w:r w:rsidRPr="001562E3">
        <w:rPr>
          <w:rFonts w:ascii="Arial" w:hAnsi="Arial" w:cs="Arial"/>
          <w:b/>
          <w:bCs/>
          <w:sz w:val="24"/>
          <w:u w:val="single"/>
        </w:rPr>
        <w:t>Inventarios</w:t>
      </w:r>
    </w:p>
    <w:p w:rsidR="00166FC5" w:rsidRDefault="00166FC5" w:rsidP="00166FC5">
      <w:pPr>
        <w:pStyle w:val="Prrafodelista"/>
        <w:spacing w:after="0"/>
        <w:ind w:left="0"/>
        <w:contextualSpacing/>
        <w:jc w:val="both"/>
        <w:rPr>
          <w:rFonts w:ascii="Arial" w:hAnsi="Arial" w:cs="Arial"/>
          <w:b/>
          <w:bCs/>
          <w:sz w:val="24"/>
        </w:rPr>
      </w:pPr>
    </w:p>
    <w:p w:rsidR="00166FC5" w:rsidRDefault="001562E3" w:rsidP="00166FC5">
      <w:pPr>
        <w:pStyle w:val="Prrafodelista"/>
        <w:spacing w:after="0"/>
        <w:ind w:left="0"/>
        <w:contextualSpacing/>
        <w:jc w:val="both"/>
        <w:rPr>
          <w:rFonts w:ascii="Arial" w:hAnsi="Arial" w:cs="Arial"/>
          <w:bCs/>
          <w:sz w:val="24"/>
        </w:rPr>
      </w:pPr>
      <w:r>
        <w:rPr>
          <w:rFonts w:ascii="Arial" w:hAnsi="Arial" w:cs="Arial"/>
          <w:bCs/>
          <w:sz w:val="24"/>
        </w:rPr>
        <w:t xml:space="preserve">9. </w:t>
      </w:r>
      <w:r w:rsidRPr="001562E3">
        <w:rPr>
          <w:rFonts w:ascii="Arial" w:hAnsi="Arial" w:cs="Arial"/>
          <w:bCs/>
          <w:sz w:val="24"/>
        </w:rPr>
        <w:t xml:space="preserve">Se observó que el Ente Público no cuenta con un sistema de control y de valuación de inventarios de mercancías terminadas, mercancías en proceso de elaboración y de materias primas que le permita llevar registro y control del movimiento de inventarios por concepto de entradas, salidas, existencias y generen el registro automático en los momentos contables correspondientes, contraviniendo lo establecido en el artículo 19 fracciones II, V y VI y 40 de la Ley General de Contabilidad Gubernamental y Regla 1 del Acuerdo por el que se Emiten las Reglas </w:t>
      </w:r>
      <w:proofErr w:type="spellStart"/>
      <w:r w:rsidRPr="001562E3">
        <w:rPr>
          <w:rFonts w:ascii="Arial" w:hAnsi="Arial" w:cs="Arial"/>
          <w:bCs/>
          <w:sz w:val="24"/>
        </w:rPr>
        <w:t>Especificas</w:t>
      </w:r>
      <w:proofErr w:type="spellEnd"/>
      <w:r w:rsidRPr="001562E3">
        <w:rPr>
          <w:rFonts w:ascii="Arial" w:hAnsi="Arial" w:cs="Arial"/>
          <w:bCs/>
          <w:sz w:val="24"/>
        </w:rPr>
        <w:t xml:space="preserve"> del Registro y Valoración de Patrimonio emitido por el </w:t>
      </w:r>
      <w:proofErr w:type="spellStart"/>
      <w:r w:rsidRPr="001562E3">
        <w:rPr>
          <w:rFonts w:ascii="Arial" w:hAnsi="Arial" w:cs="Arial"/>
          <w:bCs/>
          <w:sz w:val="24"/>
        </w:rPr>
        <w:t>Conac</w:t>
      </w:r>
      <w:proofErr w:type="spellEnd"/>
      <w:r w:rsidRPr="001562E3">
        <w:rPr>
          <w:rFonts w:ascii="Arial" w:hAnsi="Arial" w:cs="Arial"/>
          <w:bCs/>
          <w:sz w:val="24"/>
        </w:rPr>
        <w:t>, estableciendo su observancia obligatoria de conformidad con el artículo 7 de la Ley General de Contabilidad Gubernamental.</w:t>
      </w:r>
    </w:p>
    <w:p w:rsidR="00B77589" w:rsidRDefault="00B77589" w:rsidP="001562E3">
      <w:pPr>
        <w:pStyle w:val="Prrafodelista"/>
        <w:spacing w:after="0"/>
        <w:ind w:left="0"/>
        <w:contextualSpacing/>
        <w:jc w:val="both"/>
        <w:rPr>
          <w:rFonts w:ascii="Arial" w:hAnsi="Arial" w:cs="Arial"/>
          <w:b/>
          <w:bCs/>
          <w:sz w:val="24"/>
        </w:rPr>
      </w:pPr>
    </w:p>
    <w:p w:rsidR="001562E3" w:rsidRPr="001562E3" w:rsidRDefault="001562E3" w:rsidP="001562E3">
      <w:pPr>
        <w:pStyle w:val="Prrafodelista"/>
        <w:spacing w:after="0"/>
        <w:ind w:left="0"/>
        <w:contextualSpacing/>
        <w:jc w:val="both"/>
        <w:rPr>
          <w:rFonts w:ascii="Arial" w:hAnsi="Arial" w:cs="Arial"/>
          <w:b/>
          <w:bCs/>
          <w:sz w:val="24"/>
        </w:rPr>
      </w:pPr>
      <w:r w:rsidRPr="001562E3">
        <w:rPr>
          <w:rFonts w:ascii="Arial" w:hAnsi="Arial" w:cs="Arial"/>
          <w:b/>
          <w:bCs/>
          <w:sz w:val="24"/>
        </w:rPr>
        <w:t>Análisis de la Auditoría Superior del Estado</w:t>
      </w:r>
    </w:p>
    <w:p w:rsidR="001562E3" w:rsidRDefault="001562E3" w:rsidP="001562E3">
      <w:pPr>
        <w:pStyle w:val="Prrafodelista"/>
        <w:spacing w:after="0"/>
        <w:ind w:left="0"/>
        <w:contextualSpacing/>
        <w:jc w:val="both"/>
        <w:rPr>
          <w:rFonts w:ascii="Arial" w:hAnsi="Arial" w:cs="Arial"/>
          <w:bCs/>
          <w:sz w:val="24"/>
        </w:rPr>
      </w:pPr>
    </w:p>
    <w:p w:rsidR="001562E3" w:rsidRPr="001562E3" w:rsidRDefault="001562E3" w:rsidP="001562E3">
      <w:pPr>
        <w:pStyle w:val="Prrafodelista"/>
        <w:spacing w:after="0"/>
        <w:ind w:left="0"/>
        <w:contextualSpacing/>
        <w:jc w:val="both"/>
        <w:rPr>
          <w:rFonts w:ascii="Arial" w:hAnsi="Arial" w:cs="Arial"/>
          <w:bCs/>
          <w:sz w:val="24"/>
        </w:rPr>
      </w:pPr>
      <w:r>
        <w:rPr>
          <w:rFonts w:ascii="Arial" w:hAnsi="Arial" w:cs="Arial"/>
          <w:bCs/>
          <w:sz w:val="24"/>
        </w:rPr>
        <w:t>Analizada</w:t>
      </w:r>
      <w:r w:rsidRPr="001562E3">
        <w:rPr>
          <w:rFonts w:ascii="Arial" w:hAnsi="Arial" w:cs="Arial"/>
          <w:bCs/>
          <w:sz w:val="24"/>
        </w:rPr>
        <w:t xml:space="preserve"> la respuesta y documentación proporcionada por el Ente Público, la </w:t>
      </w:r>
      <w:r>
        <w:rPr>
          <w:rFonts w:ascii="Arial" w:hAnsi="Arial" w:cs="Arial"/>
          <w:bCs/>
          <w:sz w:val="24"/>
        </w:rPr>
        <w:t>Auditoría determinó que esta observación se solventó parcialmente, toda vez que el sistema se enco</w:t>
      </w:r>
      <w:r w:rsidRPr="001562E3">
        <w:rPr>
          <w:rFonts w:ascii="Arial" w:hAnsi="Arial" w:cs="Arial"/>
          <w:bCs/>
          <w:sz w:val="24"/>
        </w:rPr>
        <w:t>ntra</w:t>
      </w:r>
      <w:r>
        <w:rPr>
          <w:rFonts w:ascii="Arial" w:hAnsi="Arial" w:cs="Arial"/>
          <w:bCs/>
          <w:sz w:val="24"/>
        </w:rPr>
        <w:t>ba</w:t>
      </w:r>
      <w:r w:rsidRPr="001562E3">
        <w:rPr>
          <w:rFonts w:ascii="Arial" w:hAnsi="Arial" w:cs="Arial"/>
          <w:bCs/>
          <w:sz w:val="24"/>
        </w:rPr>
        <w:t xml:space="preserve"> en periodo de prue</w:t>
      </w:r>
      <w:r>
        <w:rPr>
          <w:rFonts w:ascii="Arial" w:hAnsi="Arial" w:cs="Arial"/>
          <w:bCs/>
          <w:sz w:val="24"/>
        </w:rPr>
        <w:t>bas, sin embargo, aún no se enco</w:t>
      </w:r>
      <w:r w:rsidRPr="001562E3">
        <w:rPr>
          <w:rFonts w:ascii="Arial" w:hAnsi="Arial" w:cs="Arial"/>
          <w:bCs/>
          <w:sz w:val="24"/>
        </w:rPr>
        <w:t>ntra</w:t>
      </w:r>
      <w:r>
        <w:rPr>
          <w:rFonts w:ascii="Arial" w:hAnsi="Arial" w:cs="Arial"/>
          <w:bCs/>
          <w:sz w:val="24"/>
        </w:rPr>
        <w:t>ba en operación. La</w:t>
      </w:r>
      <w:r w:rsidRPr="001562E3">
        <w:rPr>
          <w:rFonts w:ascii="Arial" w:hAnsi="Arial" w:cs="Arial"/>
          <w:bCs/>
          <w:sz w:val="24"/>
        </w:rPr>
        <w:t xml:space="preserve"> Auditoría Superior del Estado dará seguimiento en la revisión de la Cuenta Pública 2016.</w:t>
      </w:r>
    </w:p>
    <w:p w:rsidR="001562E3" w:rsidRPr="001562E3" w:rsidRDefault="001562E3" w:rsidP="001562E3">
      <w:pPr>
        <w:pStyle w:val="Prrafodelista"/>
        <w:spacing w:after="0"/>
        <w:ind w:left="0"/>
        <w:contextualSpacing/>
        <w:jc w:val="both"/>
        <w:rPr>
          <w:rFonts w:ascii="Arial" w:hAnsi="Arial" w:cs="Arial"/>
          <w:bCs/>
          <w:sz w:val="24"/>
        </w:rPr>
      </w:pPr>
    </w:p>
    <w:p w:rsidR="001562E3" w:rsidRPr="001562E3" w:rsidRDefault="001562E3" w:rsidP="001562E3">
      <w:pPr>
        <w:pStyle w:val="Prrafodelista"/>
        <w:spacing w:after="0"/>
        <w:ind w:left="0"/>
        <w:contextualSpacing/>
        <w:jc w:val="both"/>
        <w:rPr>
          <w:rFonts w:ascii="Arial" w:hAnsi="Arial" w:cs="Arial"/>
          <w:b/>
          <w:bCs/>
          <w:sz w:val="24"/>
        </w:rPr>
      </w:pPr>
      <w:r w:rsidRPr="001562E3">
        <w:rPr>
          <w:rFonts w:ascii="Arial" w:hAnsi="Arial" w:cs="Arial"/>
          <w:b/>
          <w:bCs/>
          <w:sz w:val="24"/>
        </w:rPr>
        <w:t>Acción(es) o recomendación(es) emitida(s)</w:t>
      </w:r>
    </w:p>
    <w:p w:rsidR="001562E3" w:rsidRPr="001562E3" w:rsidRDefault="001562E3" w:rsidP="001562E3">
      <w:pPr>
        <w:pStyle w:val="Prrafodelista"/>
        <w:spacing w:after="0"/>
        <w:ind w:left="0"/>
        <w:contextualSpacing/>
        <w:jc w:val="both"/>
        <w:rPr>
          <w:rFonts w:ascii="Arial" w:hAnsi="Arial" w:cs="Arial"/>
          <w:bCs/>
          <w:i/>
          <w:sz w:val="24"/>
        </w:rPr>
      </w:pPr>
      <w:r w:rsidRPr="001562E3">
        <w:rPr>
          <w:rFonts w:ascii="Arial" w:hAnsi="Arial" w:cs="Arial"/>
          <w:bCs/>
          <w:i/>
          <w:sz w:val="24"/>
        </w:rPr>
        <w:t>Recomendaciones en Relación a la Gestión o Control Interno.</w:t>
      </w:r>
    </w:p>
    <w:p w:rsidR="001562E3" w:rsidRDefault="001562E3" w:rsidP="00166FC5">
      <w:pPr>
        <w:pStyle w:val="Prrafodelista"/>
        <w:spacing w:after="0"/>
        <w:ind w:left="0"/>
        <w:contextualSpacing/>
        <w:jc w:val="both"/>
        <w:rPr>
          <w:rFonts w:ascii="Arial" w:hAnsi="Arial" w:cs="Arial"/>
          <w:bCs/>
          <w:sz w:val="24"/>
        </w:rPr>
      </w:pPr>
    </w:p>
    <w:p w:rsidR="00B77589" w:rsidRPr="001562E3" w:rsidRDefault="00B77589" w:rsidP="00166FC5">
      <w:pPr>
        <w:pStyle w:val="Prrafodelista"/>
        <w:spacing w:after="0"/>
        <w:ind w:left="0"/>
        <w:contextualSpacing/>
        <w:jc w:val="both"/>
        <w:rPr>
          <w:rFonts w:ascii="Arial" w:hAnsi="Arial" w:cs="Arial"/>
          <w:bCs/>
          <w:sz w:val="24"/>
        </w:rPr>
      </w:pPr>
    </w:p>
    <w:p w:rsidR="00166FC5" w:rsidRDefault="001562E3" w:rsidP="00166FC5">
      <w:pPr>
        <w:pStyle w:val="Prrafodelista"/>
        <w:spacing w:after="0"/>
        <w:ind w:left="0"/>
        <w:contextualSpacing/>
        <w:jc w:val="both"/>
        <w:rPr>
          <w:rFonts w:ascii="Arial" w:hAnsi="Arial" w:cs="Arial"/>
          <w:bCs/>
          <w:sz w:val="24"/>
        </w:rPr>
      </w:pPr>
      <w:r>
        <w:rPr>
          <w:rFonts w:ascii="Arial" w:hAnsi="Arial" w:cs="Arial"/>
          <w:bCs/>
          <w:sz w:val="24"/>
        </w:rPr>
        <w:t xml:space="preserve">10. </w:t>
      </w:r>
      <w:r w:rsidRPr="001562E3">
        <w:rPr>
          <w:rFonts w:ascii="Arial" w:hAnsi="Arial" w:cs="Arial"/>
          <w:bCs/>
          <w:sz w:val="24"/>
        </w:rPr>
        <w:t xml:space="preserve">El saldo de Mercancías terminadas al 31 de diciembre de 2015 por $113,521,785, incluye $60,327,894 por concepto de actualización calculada al 31 de diciembre de 2007, según la NIF B-10, Efectos de la Inflación, observando que el Ente Público no mostró evidencia del cálculo que permita validar si esta revaluación corresponde únicamente a esta cuenta o si deba de distribuirse a los saldos de los inventarios de Materias Primas y de Mercancías </w:t>
      </w:r>
      <w:r w:rsidRPr="001562E3">
        <w:rPr>
          <w:rFonts w:ascii="Arial" w:hAnsi="Arial" w:cs="Arial"/>
          <w:bCs/>
          <w:sz w:val="24"/>
        </w:rPr>
        <w:lastRenderedPageBreak/>
        <w:t>en Proceso de Elaboración o en su caso, si ya debió de haber afectado el costo de ventas.</w:t>
      </w:r>
    </w:p>
    <w:p w:rsidR="001562E3" w:rsidRDefault="001562E3" w:rsidP="00166FC5">
      <w:pPr>
        <w:pStyle w:val="Prrafodelista"/>
        <w:spacing w:after="0"/>
        <w:ind w:left="0"/>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
          <w:bCs/>
          <w:sz w:val="24"/>
        </w:rPr>
      </w:pPr>
      <w:r w:rsidRPr="001562E3">
        <w:rPr>
          <w:rFonts w:ascii="Arial" w:hAnsi="Arial" w:cs="Arial"/>
          <w:b/>
          <w:bCs/>
          <w:sz w:val="24"/>
        </w:rPr>
        <w:t>Análisis de la Auditoría Superior del Estado</w:t>
      </w:r>
    </w:p>
    <w:p w:rsid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Cs/>
          <w:sz w:val="24"/>
        </w:rPr>
      </w:pPr>
      <w:r w:rsidRPr="001562E3">
        <w:rPr>
          <w:rFonts w:ascii="Arial" w:hAnsi="Arial" w:cs="Arial"/>
          <w:bCs/>
          <w:sz w:val="24"/>
        </w:rPr>
        <w:t>Derivado del análisis de la respuesta y de la documentación presentada por el Ente Público,</w:t>
      </w:r>
      <w:r>
        <w:rPr>
          <w:rFonts w:ascii="Arial" w:hAnsi="Arial" w:cs="Arial"/>
          <w:bCs/>
          <w:sz w:val="24"/>
        </w:rPr>
        <w:t xml:space="preserve"> la Auditoría determinó que esta observación se solventó</w:t>
      </w:r>
      <w:r w:rsidRPr="001562E3">
        <w:rPr>
          <w:rFonts w:ascii="Arial" w:hAnsi="Arial" w:cs="Arial"/>
          <w:bCs/>
          <w:sz w:val="24"/>
        </w:rPr>
        <w:t xml:space="preserve"> parcialmente, debido a que si bien el Ente Público proporcionó una póliza de diario por la reclasificación de l</w:t>
      </w:r>
      <w:r>
        <w:rPr>
          <w:rFonts w:ascii="Arial" w:hAnsi="Arial" w:cs="Arial"/>
          <w:bCs/>
          <w:sz w:val="24"/>
        </w:rPr>
        <w:t>a actualización del inventario, no proporcionó</w:t>
      </w:r>
      <w:r w:rsidRPr="001562E3">
        <w:rPr>
          <w:rFonts w:ascii="Arial" w:hAnsi="Arial" w:cs="Arial"/>
          <w:bCs/>
          <w:sz w:val="24"/>
        </w:rPr>
        <w:t xml:space="preserve"> evidencia de si debió de haberse a</w:t>
      </w:r>
      <w:r w:rsidR="008D152D">
        <w:rPr>
          <w:rFonts w:ascii="Arial" w:hAnsi="Arial" w:cs="Arial"/>
          <w:bCs/>
          <w:sz w:val="24"/>
        </w:rPr>
        <w:t>fectado el costo de ventas. La</w:t>
      </w:r>
      <w:r w:rsidRPr="001562E3">
        <w:rPr>
          <w:rFonts w:ascii="Arial" w:hAnsi="Arial" w:cs="Arial"/>
          <w:bCs/>
          <w:sz w:val="24"/>
        </w:rPr>
        <w:t xml:space="preserve"> Auditoría Superior del Estado dará seguimiento en la revisión de la Cuenta Pública 2016.</w:t>
      </w:r>
    </w:p>
    <w:p w:rsidR="001562E3" w:rsidRPr="001562E3" w:rsidRDefault="001562E3" w:rsidP="001562E3">
      <w:pPr>
        <w:pStyle w:val="Prrafodelista"/>
        <w:spacing w:after="0"/>
        <w:ind w:left="-142"/>
        <w:contextualSpacing/>
        <w:jc w:val="both"/>
        <w:rPr>
          <w:rFonts w:ascii="Arial" w:hAnsi="Arial" w:cs="Arial"/>
          <w:bCs/>
          <w:sz w:val="24"/>
        </w:rPr>
      </w:pPr>
    </w:p>
    <w:p w:rsidR="001562E3" w:rsidRPr="001562E3" w:rsidRDefault="001562E3" w:rsidP="001562E3">
      <w:pPr>
        <w:pStyle w:val="Prrafodelista"/>
        <w:spacing w:after="0"/>
        <w:ind w:left="-142"/>
        <w:contextualSpacing/>
        <w:jc w:val="both"/>
        <w:rPr>
          <w:rFonts w:ascii="Arial" w:hAnsi="Arial" w:cs="Arial"/>
          <w:b/>
          <w:bCs/>
          <w:sz w:val="24"/>
        </w:rPr>
      </w:pPr>
      <w:r>
        <w:rPr>
          <w:rFonts w:ascii="Arial" w:hAnsi="Arial" w:cs="Arial"/>
          <w:bCs/>
          <w:sz w:val="24"/>
        </w:rPr>
        <w:t xml:space="preserve"> </w:t>
      </w:r>
      <w:r w:rsidRPr="001562E3">
        <w:rPr>
          <w:rFonts w:ascii="Arial" w:hAnsi="Arial" w:cs="Arial"/>
          <w:b/>
          <w:bCs/>
          <w:sz w:val="24"/>
        </w:rPr>
        <w:t>Acción(es) o recomendación(es) emitida(s)</w:t>
      </w:r>
    </w:p>
    <w:p w:rsidR="001562E3" w:rsidRPr="001562E3" w:rsidRDefault="001562E3" w:rsidP="001562E3">
      <w:pPr>
        <w:pStyle w:val="Prrafodelista"/>
        <w:spacing w:after="0"/>
        <w:ind w:left="-142"/>
        <w:contextualSpacing/>
        <w:jc w:val="both"/>
        <w:rPr>
          <w:rFonts w:ascii="Arial" w:hAnsi="Arial" w:cs="Arial"/>
          <w:bCs/>
          <w:i/>
          <w:sz w:val="24"/>
        </w:rPr>
      </w:pPr>
      <w:r w:rsidRPr="001562E3">
        <w:rPr>
          <w:rFonts w:ascii="Arial" w:hAnsi="Arial" w:cs="Arial"/>
          <w:bCs/>
          <w:i/>
          <w:sz w:val="24"/>
        </w:rPr>
        <w:t>Recomendaciones en Relación a la Gestión o Control Interno.</w:t>
      </w:r>
    </w:p>
    <w:p w:rsidR="001562E3" w:rsidRDefault="001562E3" w:rsidP="001562E3">
      <w:pPr>
        <w:pStyle w:val="Prrafodelista"/>
        <w:spacing w:after="0"/>
        <w:ind w:left="-142"/>
        <w:contextualSpacing/>
        <w:jc w:val="both"/>
        <w:rPr>
          <w:rFonts w:ascii="Arial" w:hAnsi="Arial" w:cs="Arial"/>
          <w:bCs/>
          <w:sz w:val="24"/>
        </w:rPr>
      </w:pPr>
    </w:p>
    <w:p w:rsidR="00B77589" w:rsidRDefault="00B77589" w:rsidP="00166FC5">
      <w:pPr>
        <w:pStyle w:val="Prrafodelista"/>
        <w:spacing w:after="0"/>
        <w:ind w:left="0"/>
        <w:contextualSpacing/>
        <w:jc w:val="both"/>
        <w:rPr>
          <w:rFonts w:ascii="Arial" w:hAnsi="Arial" w:cs="Arial"/>
          <w:bCs/>
          <w:sz w:val="24"/>
        </w:rPr>
      </w:pPr>
    </w:p>
    <w:p w:rsidR="008D152D" w:rsidRDefault="008D152D" w:rsidP="00166FC5">
      <w:pPr>
        <w:pStyle w:val="Prrafodelista"/>
        <w:spacing w:after="0"/>
        <w:ind w:left="0"/>
        <w:contextualSpacing/>
        <w:jc w:val="both"/>
        <w:rPr>
          <w:rFonts w:ascii="Arial" w:hAnsi="Arial" w:cs="Arial"/>
          <w:bCs/>
          <w:sz w:val="24"/>
        </w:rPr>
      </w:pPr>
      <w:r>
        <w:rPr>
          <w:rFonts w:ascii="Arial" w:hAnsi="Arial" w:cs="Arial"/>
          <w:bCs/>
          <w:sz w:val="24"/>
        </w:rPr>
        <w:t>11</w:t>
      </w:r>
      <w:r>
        <w:t xml:space="preserve">. </w:t>
      </w:r>
      <w:r w:rsidRPr="008D152D">
        <w:rPr>
          <w:rFonts w:ascii="Arial" w:hAnsi="Arial" w:cs="Arial"/>
          <w:bCs/>
          <w:sz w:val="24"/>
        </w:rPr>
        <w:t>Durante el proceso de revisión de los inventarios de terrenos se detectó que existen diferencias entre el saldo de los inventarios al 31 de diciembre de 2015 y las integraciones proporcionadas por el Ente Público, originadas por la falta de conciliación,</w:t>
      </w:r>
      <w:r>
        <w:rPr>
          <w:rFonts w:ascii="Arial" w:hAnsi="Arial" w:cs="Arial"/>
          <w:bCs/>
          <w:sz w:val="24"/>
        </w:rPr>
        <w:t xml:space="preserve"> su integración es la siguiente.</w:t>
      </w:r>
    </w:p>
    <w:p w:rsidR="008D152D" w:rsidRDefault="008D152D" w:rsidP="00166FC5">
      <w:pPr>
        <w:pStyle w:val="Prrafodelista"/>
        <w:spacing w:after="0"/>
        <w:ind w:left="0"/>
        <w:contextualSpacing/>
        <w:jc w:val="both"/>
        <w:rPr>
          <w:rFonts w:ascii="Arial" w:hAnsi="Arial" w:cs="Arial"/>
          <w:bCs/>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161"/>
        <w:gridCol w:w="1707"/>
        <w:gridCol w:w="161"/>
        <w:gridCol w:w="1675"/>
        <w:gridCol w:w="161"/>
        <w:gridCol w:w="1181"/>
        <w:gridCol w:w="161"/>
        <w:gridCol w:w="894"/>
      </w:tblGrid>
      <w:tr w:rsidR="008D152D" w:rsidRPr="008D152D" w:rsidTr="008D152D">
        <w:trPr>
          <w:tblCellSpacing w:w="15" w:type="dxa"/>
          <w:jc w:val="center"/>
        </w:trPr>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Mercancías Terminadas</w:t>
            </w: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Mercancías en Proceso</w:t>
            </w: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Materias Primas</w:t>
            </w: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Total</w:t>
            </w:r>
          </w:p>
        </w:tc>
      </w:tr>
      <w:tr w:rsidR="008D152D" w:rsidRPr="008D152D" w:rsidTr="008D152D">
        <w:trPr>
          <w:tblCellSpacing w:w="15" w:type="dxa"/>
          <w:jc w:val="center"/>
        </w:trPr>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Registros Contables</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113,521,785</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36,056,540</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176,838,063</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326,416,388</w:t>
            </w:r>
          </w:p>
        </w:tc>
      </w:tr>
      <w:tr w:rsidR="008D152D" w:rsidRPr="008D152D" w:rsidTr="008D152D">
        <w:trPr>
          <w:tblCellSpacing w:w="15" w:type="dxa"/>
          <w:jc w:val="center"/>
        </w:trPr>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Integración</w:t>
            </w:r>
          </w:p>
        </w:tc>
        <w:tc>
          <w:tcPr>
            <w:tcW w:w="0" w:type="auto"/>
            <w:vAlign w:val="center"/>
            <w:hideMark/>
          </w:tcPr>
          <w:p w:rsidR="008D152D" w:rsidRPr="008D152D" w:rsidRDefault="008D152D" w:rsidP="008D152D">
            <w:pPr>
              <w:jc w:val="center"/>
              <w:rPr>
                <w:rFonts w:ascii="Arial" w:hAnsi="Arial" w:cs="Arial"/>
                <w:sz w:val="14"/>
                <w:szCs w:val="14"/>
                <w:lang w:val="es-MX" w:eastAsia="es-MX"/>
              </w:rPr>
            </w:pP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101,695,101</w:t>
            </w:r>
          </w:p>
        </w:tc>
        <w:tc>
          <w:tcPr>
            <w:tcW w:w="0" w:type="auto"/>
            <w:vAlign w:val="center"/>
            <w:hideMark/>
          </w:tcPr>
          <w:p w:rsidR="008D152D" w:rsidRPr="008D152D" w:rsidRDefault="008D152D" w:rsidP="008D152D">
            <w:pPr>
              <w:jc w:val="center"/>
              <w:rPr>
                <w:rFonts w:ascii="Arial" w:hAnsi="Arial" w:cs="Arial"/>
                <w:sz w:val="14"/>
                <w:szCs w:val="14"/>
                <w:lang w:val="es-MX" w:eastAsia="es-MX"/>
              </w:rPr>
            </w:pP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47,883,200</w:t>
            </w:r>
          </w:p>
        </w:tc>
        <w:tc>
          <w:tcPr>
            <w:tcW w:w="0" w:type="auto"/>
            <w:vAlign w:val="center"/>
            <w:hideMark/>
          </w:tcPr>
          <w:p w:rsidR="008D152D" w:rsidRPr="008D152D" w:rsidRDefault="008D152D" w:rsidP="008D152D">
            <w:pPr>
              <w:jc w:val="center"/>
              <w:rPr>
                <w:rFonts w:ascii="Arial" w:hAnsi="Arial" w:cs="Arial"/>
                <w:sz w:val="14"/>
                <w:szCs w:val="14"/>
                <w:lang w:val="es-MX" w:eastAsia="es-MX"/>
              </w:rPr>
            </w:pP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176,838,087</w:t>
            </w:r>
          </w:p>
        </w:tc>
        <w:tc>
          <w:tcPr>
            <w:tcW w:w="0" w:type="auto"/>
            <w:vAlign w:val="center"/>
            <w:hideMark/>
          </w:tcPr>
          <w:p w:rsidR="008D152D" w:rsidRPr="008D152D" w:rsidRDefault="008D152D" w:rsidP="008D152D">
            <w:pPr>
              <w:jc w:val="center"/>
              <w:rPr>
                <w:rFonts w:ascii="Arial" w:hAnsi="Arial" w:cs="Arial"/>
                <w:sz w:val="14"/>
                <w:szCs w:val="14"/>
                <w:lang w:val="es-MX" w:eastAsia="es-MX"/>
              </w:rPr>
            </w:pP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326,416,388</w:t>
            </w:r>
          </w:p>
        </w:tc>
      </w:tr>
      <w:tr w:rsidR="008D152D" w:rsidRPr="008D152D" w:rsidTr="008D152D">
        <w:trPr>
          <w:tblCellSpacing w:w="15" w:type="dxa"/>
          <w:jc w:val="center"/>
        </w:trPr>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Total</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11,826,684</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(11,826,660)</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(24)</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0</w:t>
            </w:r>
          </w:p>
        </w:tc>
      </w:tr>
    </w:tbl>
    <w:p w:rsidR="001562E3" w:rsidRPr="001562E3" w:rsidRDefault="008D152D" w:rsidP="00166FC5">
      <w:pPr>
        <w:pStyle w:val="Prrafodelista"/>
        <w:spacing w:after="0"/>
        <w:ind w:left="0"/>
        <w:contextualSpacing/>
        <w:jc w:val="both"/>
        <w:rPr>
          <w:rFonts w:ascii="Arial" w:hAnsi="Arial" w:cs="Arial"/>
          <w:bCs/>
          <w:sz w:val="24"/>
        </w:rPr>
      </w:pPr>
      <w:r>
        <w:rPr>
          <w:rFonts w:ascii="Arial" w:hAnsi="Arial" w:cs="Arial"/>
          <w:bCs/>
          <w:sz w:val="24"/>
        </w:rPr>
        <w:t xml:space="preserve"> </w:t>
      </w:r>
    </w:p>
    <w:p w:rsidR="00166FC5" w:rsidRDefault="00166FC5" w:rsidP="00166FC5">
      <w:pPr>
        <w:pStyle w:val="Prrafodelista"/>
        <w:spacing w:after="0"/>
        <w:ind w:left="0"/>
        <w:contextualSpacing/>
        <w:jc w:val="both"/>
        <w:rPr>
          <w:rFonts w:ascii="Arial" w:hAnsi="Arial" w:cs="Arial"/>
          <w:b/>
          <w:bCs/>
          <w:sz w:val="24"/>
        </w:rPr>
      </w:pPr>
    </w:p>
    <w:p w:rsidR="008D152D" w:rsidRPr="008D152D" w:rsidRDefault="008D152D" w:rsidP="008D152D">
      <w:pPr>
        <w:pStyle w:val="Prrafodelista"/>
        <w:spacing w:after="0"/>
        <w:ind w:hanging="578"/>
        <w:contextualSpacing/>
        <w:jc w:val="both"/>
        <w:rPr>
          <w:rFonts w:ascii="Arial" w:hAnsi="Arial" w:cs="Arial"/>
          <w:b/>
          <w:bCs/>
          <w:sz w:val="24"/>
        </w:rPr>
      </w:pPr>
      <w:r w:rsidRPr="008D152D">
        <w:rPr>
          <w:rFonts w:ascii="Arial" w:hAnsi="Arial" w:cs="Arial"/>
          <w:b/>
          <w:bCs/>
          <w:sz w:val="24"/>
        </w:rPr>
        <w:t>Análisis de la Auditoría Superior del Estado</w:t>
      </w:r>
    </w:p>
    <w:p w:rsidR="008D152D" w:rsidRDefault="008D152D" w:rsidP="008D152D">
      <w:pPr>
        <w:pStyle w:val="Prrafodelista"/>
        <w:spacing w:after="0"/>
        <w:ind w:left="142"/>
        <w:contextualSpacing/>
        <w:jc w:val="both"/>
        <w:rPr>
          <w:rFonts w:ascii="Arial" w:hAnsi="Arial" w:cs="Arial"/>
          <w:bCs/>
          <w:sz w:val="24"/>
        </w:rPr>
      </w:pPr>
    </w:p>
    <w:p w:rsidR="008D152D" w:rsidRPr="008D152D" w:rsidRDefault="008D152D" w:rsidP="008D152D">
      <w:pPr>
        <w:pStyle w:val="Prrafodelista"/>
        <w:spacing w:after="0"/>
        <w:ind w:left="142"/>
        <w:contextualSpacing/>
        <w:jc w:val="both"/>
        <w:rPr>
          <w:rFonts w:ascii="Arial" w:hAnsi="Arial" w:cs="Arial"/>
          <w:bCs/>
          <w:sz w:val="24"/>
        </w:rPr>
      </w:pPr>
      <w:r>
        <w:rPr>
          <w:rFonts w:ascii="Arial" w:hAnsi="Arial" w:cs="Arial"/>
          <w:bCs/>
          <w:sz w:val="24"/>
        </w:rPr>
        <w:t>Analizada</w:t>
      </w:r>
      <w:r w:rsidRPr="008D152D">
        <w:rPr>
          <w:rFonts w:ascii="Arial" w:hAnsi="Arial" w:cs="Arial"/>
          <w:bCs/>
          <w:sz w:val="24"/>
        </w:rPr>
        <w:t xml:space="preserve"> la respuesta y documentación proporcionada por el Ente Público, la</w:t>
      </w:r>
      <w:r>
        <w:rPr>
          <w:rFonts w:ascii="Arial" w:hAnsi="Arial" w:cs="Arial"/>
          <w:bCs/>
          <w:sz w:val="24"/>
        </w:rPr>
        <w:t xml:space="preserve"> Auditoría determinó que esta observación se solventó</w:t>
      </w:r>
      <w:r w:rsidRPr="008D152D">
        <w:rPr>
          <w:rFonts w:ascii="Arial" w:hAnsi="Arial" w:cs="Arial"/>
          <w:bCs/>
          <w:sz w:val="24"/>
        </w:rPr>
        <w:t xml:space="preserve"> parcialmente, toda </w:t>
      </w:r>
      <w:r w:rsidRPr="008D152D">
        <w:rPr>
          <w:rFonts w:ascii="Arial" w:hAnsi="Arial" w:cs="Arial"/>
          <w:bCs/>
          <w:sz w:val="24"/>
        </w:rPr>
        <w:lastRenderedPageBreak/>
        <w:t>vez que</w:t>
      </w:r>
      <w:r>
        <w:rPr>
          <w:rFonts w:ascii="Arial" w:hAnsi="Arial" w:cs="Arial"/>
          <w:bCs/>
          <w:sz w:val="24"/>
        </w:rPr>
        <w:t xml:space="preserve"> durante el proceso de auditoría se proporcionó</w:t>
      </w:r>
      <w:r w:rsidRPr="008D152D">
        <w:rPr>
          <w:rFonts w:ascii="Arial" w:hAnsi="Arial" w:cs="Arial"/>
          <w:bCs/>
          <w:sz w:val="24"/>
        </w:rPr>
        <w:t xml:space="preserve"> la conciliación a nivel total de inventar</w:t>
      </w:r>
      <w:r>
        <w:rPr>
          <w:rFonts w:ascii="Arial" w:hAnsi="Arial" w:cs="Arial"/>
          <w:bCs/>
          <w:sz w:val="24"/>
        </w:rPr>
        <w:t>ios, sin embargo, no se presentó</w:t>
      </w:r>
      <w:r w:rsidRPr="008D152D">
        <w:rPr>
          <w:rFonts w:ascii="Arial" w:hAnsi="Arial" w:cs="Arial"/>
          <w:bCs/>
          <w:sz w:val="24"/>
        </w:rPr>
        <w:t xml:space="preserve"> la conciliación d</w:t>
      </w:r>
      <w:r>
        <w:rPr>
          <w:rFonts w:ascii="Arial" w:hAnsi="Arial" w:cs="Arial"/>
          <w:bCs/>
          <w:sz w:val="24"/>
        </w:rPr>
        <w:t>e cada tipo de inventarios. La</w:t>
      </w:r>
      <w:r w:rsidRPr="008D152D">
        <w:rPr>
          <w:rFonts w:ascii="Arial" w:hAnsi="Arial" w:cs="Arial"/>
          <w:bCs/>
          <w:sz w:val="24"/>
        </w:rPr>
        <w:t xml:space="preserve"> Auditoría Superior del Estado dará seguimiento en la revisión de la Cuenta Pública 2016.</w:t>
      </w:r>
    </w:p>
    <w:p w:rsidR="008D152D" w:rsidRPr="008D152D" w:rsidRDefault="008D152D" w:rsidP="008D152D">
      <w:pPr>
        <w:pStyle w:val="Prrafodelista"/>
        <w:spacing w:after="0"/>
        <w:ind w:hanging="578"/>
        <w:contextualSpacing/>
        <w:jc w:val="both"/>
        <w:rPr>
          <w:rFonts w:ascii="Arial" w:hAnsi="Arial" w:cs="Arial"/>
          <w:b/>
          <w:bCs/>
          <w:sz w:val="24"/>
        </w:rPr>
      </w:pPr>
    </w:p>
    <w:p w:rsidR="008D152D" w:rsidRPr="008D152D" w:rsidRDefault="008D152D" w:rsidP="008D152D">
      <w:pPr>
        <w:pStyle w:val="Prrafodelista"/>
        <w:spacing w:after="0"/>
        <w:ind w:hanging="578"/>
        <w:contextualSpacing/>
        <w:jc w:val="both"/>
        <w:rPr>
          <w:rFonts w:ascii="Arial" w:hAnsi="Arial" w:cs="Arial"/>
          <w:b/>
          <w:bCs/>
          <w:sz w:val="24"/>
        </w:rPr>
      </w:pPr>
      <w:r w:rsidRPr="008D152D">
        <w:rPr>
          <w:rFonts w:ascii="Arial" w:hAnsi="Arial" w:cs="Arial"/>
          <w:b/>
          <w:bCs/>
          <w:sz w:val="24"/>
        </w:rPr>
        <w:t>Acción(es) o recomendación(es) emitida(s)</w:t>
      </w:r>
    </w:p>
    <w:p w:rsidR="008D152D" w:rsidRPr="008D152D" w:rsidRDefault="008D152D" w:rsidP="008D152D">
      <w:pPr>
        <w:pStyle w:val="Prrafodelista"/>
        <w:spacing w:after="0"/>
        <w:ind w:hanging="578"/>
        <w:contextualSpacing/>
        <w:jc w:val="both"/>
        <w:rPr>
          <w:rFonts w:ascii="Arial" w:hAnsi="Arial" w:cs="Arial"/>
          <w:bCs/>
          <w:i/>
          <w:sz w:val="24"/>
        </w:rPr>
      </w:pPr>
      <w:r w:rsidRPr="008D152D">
        <w:rPr>
          <w:rFonts w:ascii="Arial" w:hAnsi="Arial" w:cs="Arial"/>
          <w:bCs/>
          <w:i/>
          <w:sz w:val="24"/>
        </w:rPr>
        <w:t>Recomendaciones en Relación a la Gestión o Control Interno.</w:t>
      </w:r>
    </w:p>
    <w:p w:rsidR="008D152D" w:rsidRDefault="008D152D" w:rsidP="008D152D">
      <w:pPr>
        <w:pStyle w:val="Prrafodelista"/>
        <w:spacing w:after="0"/>
        <w:ind w:left="142"/>
        <w:contextualSpacing/>
        <w:jc w:val="both"/>
        <w:rPr>
          <w:rFonts w:ascii="Arial" w:hAnsi="Arial" w:cs="Arial"/>
          <w:bCs/>
          <w:sz w:val="24"/>
        </w:rPr>
      </w:pPr>
    </w:p>
    <w:p w:rsidR="008D152D" w:rsidRDefault="008D152D" w:rsidP="008D152D">
      <w:pPr>
        <w:pStyle w:val="Prrafodelista"/>
        <w:spacing w:after="0"/>
        <w:ind w:left="142"/>
        <w:contextualSpacing/>
        <w:jc w:val="both"/>
        <w:rPr>
          <w:rFonts w:ascii="Arial" w:hAnsi="Arial" w:cs="Arial"/>
          <w:bCs/>
          <w:sz w:val="24"/>
        </w:rPr>
      </w:pPr>
      <w:r w:rsidRPr="008D152D">
        <w:rPr>
          <w:rFonts w:ascii="Arial" w:hAnsi="Arial" w:cs="Arial"/>
          <w:bCs/>
          <w:sz w:val="24"/>
        </w:rPr>
        <w:t>Elaborar la conciliación mensual de los saldos contables de cada tipo de inventarios vs las integraciones correspondientes.</w:t>
      </w:r>
    </w:p>
    <w:p w:rsidR="008D152D" w:rsidRDefault="008D152D" w:rsidP="008D152D">
      <w:pPr>
        <w:pStyle w:val="Prrafodelista"/>
        <w:spacing w:after="0"/>
        <w:ind w:left="142"/>
        <w:contextualSpacing/>
        <w:jc w:val="both"/>
        <w:rPr>
          <w:rFonts w:ascii="Arial" w:hAnsi="Arial" w:cs="Arial"/>
          <w:bCs/>
          <w:sz w:val="24"/>
        </w:rPr>
      </w:pPr>
    </w:p>
    <w:p w:rsidR="008D152D" w:rsidRDefault="008D152D" w:rsidP="008D152D">
      <w:pPr>
        <w:pStyle w:val="Prrafodelista"/>
        <w:spacing w:after="0"/>
        <w:ind w:left="142"/>
        <w:contextualSpacing/>
        <w:jc w:val="both"/>
        <w:rPr>
          <w:rFonts w:ascii="Arial" w:hAnsi="Arial" w:cs="Arial"/>
          <w:b/>
          <w:bCs/>
          <w:sz w:val="24"/>
          <w:u w:val="single"/>
        </w:rPr>
      </w:pPr>
      <w:r w:rsidRPr="008D152D">
        <w:rPr>
          <w:rFonts w:ascii="Arial" w:hAnsi="Arial" w:cs="Arial"/>
          <w:b/>
          <w:bCs/>
          <w:sz w:val="24"/>
          <w:u w:val="single"/>
        </w:rPr>
        <w:t>Activo no circulante</w:t>
      </w:r>
    </w:p>
    <w:p w:rsidR="008D152D" w:rsidRDefault="008D152D" w:rsidP="008D152D">
      <w:pPr>
        <w:pStyle w:val="Prrafodelista"/>
        <w:spacing w:after="0"/>
        <w:ind w:left="142"/>
        <w:contextualSpacing/>
        <w:jc w:val="both"/>
        <w:rPr>
          <w:rFonts w:ascii="Arial" w:hAnsi="Arial" w:cs="Arial"/>
          <w:b/>
          <w:bCs/>
          <w:sz w:val="24"/>
          <w:u w:val="single"/>
        </w:rPr>
      </w:pPr>
    </w:p>
    <w:p w:rsidR="008D152D" w:rsidRDefault="008D152D" w:rsidP="008D152D">
      <w:pPr>
        <w:pStyle w:val="Prrafodelista"/>
        <w:spacing w:after="0"/>
        <w:ind w:left="142"/>
        <w:contextualSpacing/>
        <w:jc w:val="both"/>
        <w:rPr>
          <w:rFonts w:ascii="Arial" w:hAnsi="Arial" w:cs="Arial"/>
          <w:bCs/>
          <w:sz w:val="24"/>
        </w:rPr>
      </w:pPr>
      <w:r>
        <w:rPr>
          <w:rFonts w:ascii="Arial" w:hAnsi="Arial" w:cs="Arial"/>
          <w:bCs/>
          <w:sz w:val="24"/>
        </w:rPr>
        <w:t xml:space="preserve">12. </w:t>
      </w:r>
      <w:r w:rsidRPr="008D152D">
        <w:rPr>
          <w:rFonts w:ascii="Arial" w:hAnsi="Arial" w:cs="Arial"/>
          <w:bCs/>
          <w:sz w:val="24"/>
        </w:rPr>
        <w:t xml:space="preserve">Se observó que el listado de los bienes muebles e inmuebles del Ente Público no fue conciliado físicamente, en algunos casos solamente en su descripción se menciona la agrupación de estos bienes por lotes o por años de adquisición, incumpliendo con el artículo 27 de la Ley General de Contabilidad Gubernamental, 48 fracción II de la Ley de Administración Financiera para el Estado de Nuevo León y regla 9 de las Reglas Específicas para el Registro y Valoración del Patrimonio emitidas por el </w:t>
      </w:r>
      <w:proofErr w:type="spellStart"/>
      <w:r w:rsidRPr="008D152D">
        <w:rPr>
          <w:rFonts w:ascii="Arial" w:hAnsi="Arial" w:cs="Arial"/>
          <w:bCs/>
          <w:sz w:val="24"/>
        </w:rPr>
        <w:t>Conac</w:t>
      </w:r>
      <w:proofErr w:type="spellEnd"/>
      <w:r w:rsidRPr="008D152D">
        <w:rPr>
          <w:rFonts w:ascii="Arial" w:hAnsi="Arial" w:cs="Arial"/>
          <w:bCs/>
          <w:sz w:val="24"/>
        </w:rPr>
        <w:t>, estableciendo su observancia obligatoria, de conformidad con el artículo 7 de la Ley General de Contabilidad Gubernamental.</w:t>
      </w:r>
    </w:p>
    <w:p w:rsidR="008D152D" w:rsidRDefault="008D152D" w:rsidP="008D152D">
      <w:pPr>
        <w:pStyle w:val="Prrafodelista"/>
        <w:spacing w:after="0"/>
        <w:ind w:left="142"/>
        <w:contextualSpacing/>
        <w:jc w:val="both"/>
        <w:rPr>
          <w:rFonts w:ascii="Arial" w:hAnsi="Arial" w:cs="Arial"/>
          <w:bCs/>
          <w:sz w:val="24"/>
        </w:rPr>
      </w:pPr>
    </w:p>
    <w:p w:rsidR="008D152D" w:rsidRPr="008D152D" w:rsidRDefault="008D152D" w:rsidP="008D152D">
      <w:pPr>
        <w:pStyle w:val="Prrafodelista"/>
        <w:spacing w:after="0"/>
        <w:ind w:left="142"/>
        <w:contextualSpacing/>
        <w:jc w:val="both"/>
        <w:rPr>
          <w:rFonts w:ascii="Arial" w:hAnsi="Arial" w:cs="Arial"/>
          <w:b/>
          <w:bCs/>
          <w:sz w:val="24"/>
        </w:rPr>
      </w:pPr>
      <w:r w:rsidRPr="008D152D">
        <w:rPr>
          <w:rFonts w:ascii="Arial" w:hAnsi="Arial" w:cs="Arial"/>
          <w:b/>
          <w:bCs/>
          <w:sz w:val="24"/>
        </w:rPr>
        <w:t>Análisis de la Auditoría Superior del Estado</w:t>
      </w:r>
    </w:p>
    <w:p w:rsidR="008D152D" w:rsidRDefault="008D152D" w:rsidP="008D152D">
      <w:pPr>
        <w:pStyle w:val="Prrafodelista"/>
        <w:spacing w:after="0"/>
        <w:ind w:left="142"/>
        <w:contextualSpacing/>
        <w:jc w:val="both"/>
        <w:rPr>
          <w:rFonts w:ascii="Arial" w:hAnsi="Arial" w:cs="Arial"/>
          <w:bCs/>
          <w:sz w:val="24"/>
        </w:rPr>
      </w:pPr>
    </w:p>
    <w:p w:rsidR="008D152D" w:rsidRPr="008D152D" w:rsidRDefault="008D152D" w:rsidP="008D152D">
      <w:pPr>
        <w:pStyle w:val="Prrafodelista"/>
        <w:spacing w:after="0"/>
        <w:ind w:left="142"/>
        <w:contextualSpacing/>
        <w:jc w:val="both"/>
        <w:rPr>
          <w:rFonts w:ascii="Arial" w:hAnsi="Arial" w:cs="Arial"/>
          <w:bCs/>
          <w:sz w:val="24"/>
        </w:rPr>
      </w:pPr>
      <w:r w:rsidRPr="008D152D">
        <w:rPr>
          <w:rFonts w:ascii="Arial" w:hAnsi="Arial" w:cs="Arial"/>
          <w:bCs/>
          <w:sz w:val="24"/>
        </w:rPr>
        <w:t>Derivado del análisis de la respuesta presentada,</w:t>
      </w:r>
      <w:r>
        <w:rPr>
          <w:rFonts w:ascii="Arial" w:hAnsi="Arial" w:cs="Arial"/>
          <w:bCs/>
          <w:sz w:val="24"/>
        </w:rPr>
        <w:t xml:space="preserve"> por el Ente, la Auditoría determinó que esta observación se solventó</w:t>
      </w:r>
      <w:r w:rsidRPr="008D152D">
        <w:rPr>
          <w:rFonts w:ascii="Arial" w:hAnsi="Arial" w:cs="Arial"/>
          <w:bCs/>
          <w:sz w:val="24"/>
        </w:rPr>
        <w:t xml:space="preserve"> parcialmente, debido a que </w:t>
      </w:r>
      <w:r>
        <w:rPr>
          <w:rFonts w:ascii="Arial" w:hAnsi="Arial" w:cs="Arial"/>
          <w:bCs/>
          <w:sz w:val="24"/>
        </w:rPr>
        <w:t>se encontraban</w:t>
      </w:r>
      <w:r w:rsidRPr="008D152D">
        <w:rPr>
          <w:rFonts w:ascii="Arial" w:hAnsi="Arial" w:cs="Arial"/>
          <w:bCs/>
          <w:sz w:val="24"/>
        </w:rPr>
        <w:t xml:space="preserve"> en proceso los trabajos para la conclusión de la conciliación correspondiente e identificación de los bienes que se encuentran en uso.</w:t>
      </w:r>
    </w:p>
    <w:p w:rsidR="008D152D" w:rsidRPr="008D152D" w:rsidRDefault="008D152D" w:rsidP="008D152D">
      <w:pPr>
        <w:pStyle w:val="Prrafodelista"/>
        <w:spacing w:after="0"/>
        <w:ind w:left="142"/>
        <w:contextualSpacing/>
        <w:jc w:val="both"/>
        <w:rPr>
          <w:rFonts w:ascii="Arial" w:hAnsi="Arial" w:cs="Arial"/>
          <w:bCs/>
          <w:sz w:val="24"/>
        </w:rPr>
      </w:pPr>
    </w:p>
    <w:p w:rsidR="008D152D" w:rsidRPr="008D152D" w:rsidRDefault="008D152D" w:rsidP="008D152D">
      <w:pPr>
        <w:pStyle w:val="Prrafodelista"/>
        <w:spacing w:after="0"/>
        <w:ind w:left="142"/>
        <w:contextualSpacing/>
        <w:jc w:val="both"/>
        <w:rPr>
          <w:rFonts w:ascii="Arial" w:hAnsi="Arial" w:cs="Arial"/>
          <w:b/>
          <w:bCs/>
          <w:sz w:val="24"/>
        </w:rPr>
      </w:pPr>
      <w:r w:rsidRPr="008D152D">
        <w:rPr>
          <w:rFonts w:ascii="Arial" w:hAnsi="Arial" w:cs="Arial"/>
          <w:b/>
          <w:bCs/>
          <w:sz w:val="24"/>
        </w:rPr>
        <w:t>Acción(es) o recomendación(es) emitida(s)</w:t>
      </w:r>
    </w:p>
    <w:p w:rsidR="008D152D" w:rsidRPr="008D152D" w:rsidRDefault="008D152D" w:rsidP="008D152D">
      <w:pPr>
        <w:pStyle w:val="Prrafodelista"/>
        <w:spacing w:after="0"/>
        <w:ind w:left="142"/>
        <w:contextualSpacing/>
        <w:jc w:val="both"/>
        <w:rPr>
          <w:rFonts w:ascii="Arial" w:hAnsi="Arial" w:cs="Arial"/>
          <w:bCs/>
          <w:i/>
          <w:sz w:val="24"/>
        </w:rPr>
      </w:pPr>
      <w:r w:rsidRPr="008D152D">
        <w:rPr>
          <w:rFonts w:ascii="Arial" w:hAnsi="Arial" w:cs="Arial"/>
          <w:bCs/>
          <w:i/>
          <w:sz w:val="24"/>
        </w:rPr>
        <w:t>Promoción de Fincamiento de Responsabilidad Administrativa.</w:t>
      </w:r>
    </w:p>
    <w:p w:rsidR="008D152D" w:rsidRDefault="008D152D" w:rsidP="008D152D">
      <w:pPr>
        <w:pStyle w:val="Prrafodelista"/>
        <w:spacing w:after="0"/>
        <w:ind w:left="142"/>
        <w:contextualSpacing/>
        <w:jc w:val="both"/>
        <w:rPr>
          <w:rFonts w:ascii="Arial" w:hAnsi="Arial" w:cs="Arial"/>
          <w:bCs/>
          <w:sz w:val="24"/>
        </w:rPr>
      </w:pPr>
    </w:p>
    <w:p w:rsidR="008D152D" w:rsidRDefault="008D152D" w:rsidP="008D152D">
      <w:pPr>
        <w:pStyle w:val="Prrafodelista"/>
        <w:spacing w:after="0"/>
        <w:ind w:left="142"/>
        <w:contextualSpacing/>
        <w:jc w:val="both"/>
        <w:rPr>
          <w:rFonts w:ascii="Arial" w:hAnsi="Arial" w:cs="Arial"/>
          <w:b/>
          <w:bCs/>
          <w:sz w:val="24"/>
          <w:u w:val="single"/>
        </w:rPr>
      </w:pPr>
      <w:r w:rsidRPr="008D152D">
        <w:rPr>
          <w:rFonts w:ascii="Arial" w:hAnsi="Arial" w:cs="Arial"/>
          <w:b/>
          <w:bCs/>
          <w:sz w:val="24"/>
          <w:u w:val="single"/>
        </w:rPr>
        <w:lastRenderedPageBreak/>
        <w:t>Bienes Inmuebles, Infraestructura y Construcciones en Proceso</w:t>
      </w:r>
    </w:p>
    <w:p w:rsidR="008D152D" w:rsidRDefault="008D152D" w:rsidP="008D152D">
      <w:pPr>
        <w:pStyle w:val="Prrafodelista"/>
        <w:spacing w:after="0"/>
        <w:ind w:left="142"/>
        <w:contextualSpacing/>
        <w:jc w:val="both"/>
        <w:rPr>
          <w:rFonts w:ascii="Arial" w:hAnsi="Arial" w:cs="Arial"/>
          <w:b/>
          <w:bCs/>
          <w:sz w:val="24"/>
          <w:u w:val="single"/>
        </w:rPr>
      </w:pPr>
    </w:p>
    <w:p w:rsidR="008D152D" w:rsidRPr="008D152D" w:rsidRDefault="008D152D" w:rsidP="008D152D">
      <w:pPr>
        <w:pStyle w:val="Prrafodelista"/>
        <w:spacing w:after="0"/>
        <w:ind w:left="142"/>
        <w:contextualSpacing/>
        <w:jc w:val="both"/>
        <w:rPr>
          <w:rFonts w:ascii="Arial" w:hAnsi="Arial" w:cs="Arial"/>
          <w:bCs/>
          <w:sz w:val="24"/>
        </w:rPr>
      </w:pPr>
      <w:r>
        <w:rPr>
          <w:rFonts w:ascii="Arial" w:hAnsi="Arial" w:cs="Arial"/>
          <w:bCs/>
          <w:sz w:val="24"/>
        </w:rPr>
        <w:t xml:space="preserve">13. </w:t>
      </w:r>
      <w:r w:rsidRPr="008D152D">
        <w:rPr>
          <w:rFonts w:ascii="Arial" w:hAnsi="Arial" w:cs="Arial"/>
          <w:bCs/>
          <w:sz w:val="24"/>
        </w:rPr>
        <w:t xml:space="preserve">El Ente Público proporcionó un listado de los bienes muebles e inmuebles al 31 de diciembre de 2015, observando que existen activos totalmente depreciados y de los cuales no se proporcionó evidencia de que los bienes se encuentren en uso, conforme a lo establecido en el Acuerdo por el que se emiten las Reglas Específicas del Registro y Valoración del Patrimonio (Inciso B - Punto 1.1 Inventario Físico, Punto 6 Depreciación, Deterioro y Amortización, del Ejercicio y Acumulada de Bienes, Punto 9 Diferencias obtenidas de la conciliación física-contable y de la baja de bienes y Punto 11 Bienes no localizados) emitidas por el </w:t>
      </w:r>
      <w:proofErr w:type="spellStart"/>
      <w:r w:rsidRPr="008D152D">
        <w:rPr>
          <w:rFonts w:ascii="Arial" w:hAnsi="Arial" w:cs="Arial"/>
          <w:bCs/>
          <w:sz w:val="24"/>
        </w:rPr>
        <w:t>Conac</w:t>
      </w:r>
      <w:proofErr w:type="spellEnd"/>
      <w:r w:rsidRPr="008D152D">
        <w:rPr>
          <w:rFonts w:ascii="Arial" w:hAnsi="Arial" w:cs="Arial"/>
          <w:bCs/>
          <w:sz w:val="24"/>
        </w:rPr>
        <w:t>, estableciendo su observancia obligatoria, de conformidad con el artículo 7 de la Ley General de Contabilidad Gubernamental.</w:t>
      </w:r>
    </w:p>
    <w:p w:rsidR="008D152D" w:rsidRDefault="008D152D" w:rsidP="008D152D">
      <w:pPr>
        <w:pStyle w:val="Prrafodelista"/>
        <w:spacing w:after="0"/>
        <w:ind w:left="142"/>
        <w:contextualSpacing/>
        <w:jc w:val="both"/>
        <w:rPr>
          <w:rFonts w:ascii="Arial" w:hAnsi="Arial" w:cs="Arial"/>
          <w:bCs/>
          <w:sz w:val="24"/>
        </w:rPr>
      </w:pPr>
    </w:p>
    <w:p w:rsidR="008D152D" w:rsidRDefault="008D152D" w:rsidP="008D152D">
      <w:pPr>
        <w:pStyle w:val="Prrafodelista"/>
        <w:spacing w:after="0"/>
        <w:ind w:left="142"/>
        <w:contextualSpacing/>
        <w:jc w:val="both"/>
        <w:rPr>
          <w:rFonts w:ascii="Arial" w:hAnsi="Arial" w:cs="Arial"/>
          <w:bCs/>
          <w:sz w:val="24"/>
        </w:rPr>
      </w:pPr>
      <w:r w:rsidRPr="008D152D">
        <w:rPr>
          <w:rFonts w:ascii="Arial" w:hAnsi="Arial" w:cs="Arial"/>
          <w:bCs/>
          <w:sz w:val="24"/>
        </w:rPr>
        <w:t>Siendo su integración la siguiente:</w:t>
      </w:r>
    </w:p>
    <w:p w:rsidR="008D152D" w:rsidRDefault="008D152D" w:rsidP="008D152D">
      <w:pPr>
        <w:pStyle w:val="Prrafodelista"/>
        <w:spacing w:after="0"/>
        <w:ind w:left="142"/>
        <w:contextualSpacing/>
        <w:jc w:val="both"/>
        <w:rPr>
          <w:rFonts w:ascii="Arial" w:hAnsi="Arial" w:cs="Arial"/>
          <w:bCs/>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1"/>
        <w:gridCol w:w="158"/>
        <w:gridCol w:w="1207"/>
        <w:gridCol w:w="158"/>
        <w:gridCol w:w="1201"/>
        <w:gridCol w:w="158"/>
        <w:gridCol w:w="781"/>
        <w:gridCol w:w="2373"/>
      </w:tblGrid>
      <w:tr w:rsidR="008D152D" w:rsidRPr="008D152D" w:rsidTr="008D152D">
        <w:trPr>
          <w:tblHeader/>
          <w:tblCellSpacing w:w="15" w:type="dxa"/>
          <w:jc w:val="center"/>
        </w:trPr>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Tipo de activo</w:t>
            </w: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Bienes depreciados</w:t>
            </w: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Bienes por depreciar</w:t>
            </w: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Total</w:t>
            </w:r>
          </w:p>
        </w:tc>
        <w:tc>
          <w:tcPr>
            <w:tcW w:w="0" w:type="auto"/>
            <w:shd w:val="clear" w:color="auto" w:fill="A6A6A6" w:themeFill="background1" w:themeFillShade="A6"/>
            <w:vAlign w:val="center"/>
            <w:hideMark/>
          </w:tcPr>
          <w:p w:rsidR="008D152D" w:rsidRPr="008D152D" w:rsidRDefault="008D152D" w:rsidP="008D152D">
            <w:pPr>
              <w:jc w:val="center"/>
              <w:rPr>
                <w:rFonts w:ascii="Arial" w:hAnsi="Arial" w:cs="Arial"/>
                <w:b/>
                <w:sz w:val="14"/>
                <w:szCs w:val="14"/>
                <w:u w:val="single"/>
                <w:lang w:val="es-MX" w:eastAsia="es-MX"/>
              </w:rPr>
            </w:pPr>
            <w:r w:rsidRPr="008D152D">
              <w:rPr>
                <w:rFonts w:ascii="Arial" w:hAnsi="Arial" w:cs="Arial"/>
                <w:b/>
                <w:sz w:val="14"/>
                <w:szCs w:val="14"/>
                <w:u w:val="single"/>
                <w:lang w:val="es-MX" w:eastAsia="es-MX"/>
              </w:rPr>
              <w:t>Fecha de última adquisición bienes depreciados</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Obras de interés social</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311,705</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5,304,295</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5,616,000</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15/10/1992</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Construcciones y mejoras</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7,085,279</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2,391,440</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9,476,719</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07/09/2005</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Gastos de instalación</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106,450</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106,450</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02/11/1992</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Mobiliario y equipo</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10,047,207</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3,572,452</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13,619,659</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20/12/2005</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Equipo de cómputo</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8,335,718</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130,687</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8,466,405</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03/02/2012</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Equipo de transporte</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15,884,839</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15,884,839</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30/11/2011</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Maquinaria y equipo</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781,119</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1,010,551</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1,791,670</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13/09/2004</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Equipo técnico</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262,629</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246,286</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 </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508,915</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09/11/2005</w:t>
            </w:r>
          </w:p>
        </w:tc>
      </w:tr>
      <w:tr w:rsidR="008D152D" w:rsidRPr="008D152D" w:rsidTr="008D152D">
        <w:trPr>
          <w:tblCellSpacing w:w="15" w:type="dxa"/>
          <w:jc w:val="center"/>
        </w:trPr>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Total</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42,814,946</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12,655,711</w:t>
            </w:r>
          </w:p>
        </w:tc>
        <w:tc>
          <w:tcPr>
            <w:tcW w:w="0" w:type="auto"/>
            <w:vAlign w:val="center"/>
            <w:hideMark/>
          </w:tcPr>
          <w:p w:rsidR="008D152D" w:rsidRPr="008D152D" w:rsidRDefault="008D152D" w:rsidP="008D152D">
            <w:pPr>
              <w:rPr>
                <w:rFonts w:ascii="Arial" w:hAnsi="Arial" w:cs="Arial"/>
                <w:sz w:val="14"/>
                <w:szCs w:val="14"/>
                <w:lang w:val="es-MX" w:eastAsia="es-MX"/>
              </w:rPr>
            </w:pPr>
            <w:r w:rsidRPr="008D152D">
              <w:rPr>
                <w:rFonts w:ascii="Arial" w:hAnsi="Arial" w:cs="Arial"/>
                <w:sz w:val="14"/>
                <w:szCs w:val="14"/>
                <w:lang w:val="es-MX" w:eastAsia="es-MX"/>
              </w:rPr>
              <w:t>$</w:t>
            </w:r>
          </w:p>
        </w:tc>
        <w:tc>
          <w:tcPr>
            <w:tcW w:w="0" w:type="auto"/>
            <w:vAlign w:val="center"/>
            <w:hideMark/>
          </w:tcPr>
          <w:p w:rsidR="008D152D" w:rsidRPr="008D152D" w:rsidRDefault="008D152D" w:rsidP="008D152D">
            <w:pPr>
              <w:jc w:val="right"/>
              <w:rPr>
                <w:rFonts w:ascii="Arial" w:hAnsi="Arial" w:cs="Arial"/>
                <w:sz w:val="14"/>
                <w:szCs w:val="14"/>
                <w:lang w:val="es-MX" w:eastAsia="es-MX"/>
              </w:rPr>
            </w:pPr>
            <w:r w:rsidRPr="008D152D">
              <w:rPr>
                <w:rFonts w:ascii="Arial" w:hAnsi="Arial" w:cs="Arial"/>
                <w:sz w:val="14"/>
                <w:szCs w:val="14"/>
                <w:lang w:val="es-MX" w:eastAsia="es-MX"/>
              </w:rPr>
              <w:t>55,470,657</w:t>
            </w:r>
          </w:p>
        </w:tc>
        <w:tc>
          <w:tcPr>
            <w:tcW w:w="0" w:type="auto"/>
            <w:vAlign w:val="center"/>
            <w:hideMark/>
          </w:tcPr>
          <w:p w:rsidR="008D152D" w:rsidRPr="008D152D" w:rsidRDefault="008D152D" w:rsidP="008D152D">
            <w:pPr>
              <w:jc w:val="center"/>
              <w:rPr>
                <w:rFonts w:ascii="Arial" w:hAnsi="Arial" w:cs="Arial"/>
                <w:sz w:val="14"/>
                <w:szCs w:val="14"/>
                <w:lang w:val="es-MX" w:eastAsia="es-MX"/>
              </w:rPr>
            </w:pPr>
            <w:r w:rsidRPr="008D152D">
              <w:rPr>
                <w:rFonts w:ascii="Arial" w:hAnsi="Arial" w:cs="Arial"/>
                <w:sz w:val="14"/>
                <w:szCs w:val="14"/>
                <w:lang w:val="es-MX" w:eastAsia="es-MX"/>
              </w:rPr>
              <w:t> </w:t>
            </w:r>
          </w:p>
        </w:tc>
      </w:tr>
    </w:tbl>
    <w:p w:rsidR="008D152D" w:rsidRPr="008D152D" w:rsidRDefault="008D152D" w:rsidP="008D152D">
      <w:pPr>
        <w:pStyle w:val="Prrafodelista"/>
        <w:spacing w:after="0"/>
        <w:ind w:left="142"/>
        <w:contextualSpacing/>
        <w:jc w:val="both"/>
        <w:rPr>
          <w:rFonts w:ascii="Arial" w:hAnsi="Arial" w:cs="Arial"/>
          <w:bCs/>
          <w:sz w:val="24"/>
        </w:rPr>
      </w:pPr>
    </w:p>
    <w:p w:rsidR="00166FC5" w:rsidRDefault="00166FC5" w:rsidP="008D152D">
      <w:pPr>
        <w:pStyle w:val="Prrafodelista"/>
        <w:spacing w:after="0"/>
        <w:ind w:left="0" w:hanging="578"/>
        <w:contextualSpacing/>
        <w:jc w:val="both"/>
        <w:rPr>
          <w:rFonts w:ascii="Arial" w:hAnsi="Arial" w:cs="Arial"/>
          <w:b/>
          <w:bCs/>
          <w:sz w:val="24"/>
        </w:rPr>
      </w:pPr>
    </w:p>
    <w:p w:rsidR="008D152D" w:rsidRPr="008D152D" w:rsidRDefault="008D152D" w:rsidP="008D152D">
      <w:pPr>
        <w:pStyle w:val="Prrafodelista"/>
        <w:spacing w:after="0"/>
        <w:ind w:left="0"/>
        <w:contextualSpacing/>
        <w:jc w:val="both"/>
        <w:rPr>
          <w:rFonts w:ascii="Arial" w:hAnsi="Arial" w:cs="Arial"/>
          <w:b/>
          <w:bCs/>
          <w:sz w:val="24"/>
        </w:rPr>
      </w:pPr>
      <w:r w:rsidRPr="008D152D">
        <w:rPr>
          <w:rFonts w:ascii="Arial" w:hAnsi="Arial" w:cs="Arial"/>
          <w:b/>
          <w:bCs/>
          <w:sz w:val="24"/>
        </w:rPr>
        <w:t>Acción(es) o recomendación(es) emitida(s)</w:t>
      </w:r>
    </w:p>
    <w:p w:rsidR="00166FC5" w:rsidRPr="008D152D" w:rsidRDefault="008D152D" w:rsidP="008D152D">
      <w:pPr>
        <w:pStyle w:val="Prrafodelista"/>
        <w:spacing w:after="0"/>
        <w:ind w:left="0"/>
        <w:contextualSpacing/>
        <w:jc w:val="both"/>
        <w:rPr>
          <w:rFonts w:ascii="Arial" w:hAnsi="Arial" w:cs="Arial"/>
          <w:bCs/>
          <w:i/>
          <w:sz w:val="24"/>
        </w:rPr>
      </w:pPr>
      <w:r w:rsidRPr="008D152D">
        <w:rPr>
          <w:rFonts w:ascii="Arial" w:hAnsi="Arial" w:cs="Arial"/>
          <w:bCs/>
          <w:i/>
          <w:sz w:val="24"/>
        </w:rPr>
        <w:t>Promoción de Fincamiento de Responsabilidad Administrativa.</w:t>
      </w:r>
    </w:p>
    <w:p w:rsidR="00166FC5" w:rsidRDefault="00166FC5" w:rsidP="00166FC5">
      <w:pPr>
        <w:pStyle w:val="Prrafodelista"/>
        <w:spacing w:after="0"/>
        <w:ind w:left="0"/>
        <w:contextualSpacing/>
        <w:jc w:val="both"/>
        <w:rPr>
          <w:rFonts w:ascii="Arial" w:hAnsi="Arial" w:cs="Arial"/>
          <w:bCs/>
          <w:i/>
          <w:sz w:val="24"/>
        </w:rPr>
      </w:pPr>
    </w:p>
    <w:p w:rsidR="008D152D" w:rsidRPr="008D152D" w:rsidRDefault="008D152D" w:rsidP="00166FC5">
      <w:pPr>
        <w:pStyle w:val="Prrafodelista"/>
        <w:spacing w:after="0"/>
        <w:ind w:left="0"/>
        <w:contextualSpacing/>
        <w:jc w:val="both"/>
        <w:rPr>
          <w:rFonts w:ascii="Arial" w:hAnsi="Arial" w:cs="Arial"/>
          <w:b/>
          <w:bCs/>
          <w:sz w:val="24"/>
          <w:u w:val="single"/>
        </w:rPr>
      </w:pPr>
      <w:r w:rsidRPr="008D152D">
        <w:rPr>
          <w:rFonts w:ascii="Arial" w:hAnsi="Arial" w:cs="Arial"/>
          <w:b/>
          <w:bCs/>
          <w:sz w:val="24"/>
          <w:u w:val="single"/>
        </w:rPr>
        <w:t>Depreciación, Deterioro y Amortización Acumulada de Bienes e Intangibles</w:t>
      </w:r>
    </w:p>
    <w:p w:rsidR="00166FC5" w:rsidRDefault="00166FC5" w:rsidP="00166FC5">
      <w:pPr>
        <w:pStyle w:val="Prrafodelista"/>
        <w:spacing w:after="0"/>
        <w:ind w:left="0"/>
        <w:contextualSpacing/>
        <w:jc w:val="both"/>
        <w:rPr>
          <w:rFonts w:ascii="Arial" w:hAnsi="Arial" w:cs="Arial"/>
          <w:b/>
          <w:bCs/>
          <w:sz w:val="24"/>
        </w:rPr>
      </w:pPr>
    </w:p>
    <w:p w:rsidR="008D152D" w:rsidRPr="008D152D" w:rsidRDefault="008D152D" w:rsidP="008D152D">
      <w:pPr>
        <w:pStyle w:val="Prrafodelista"/>
        <w:spacing w:after="0"/>
        <w:ind w:left="0"/>
        <w:contextualSpacing/>
        <w:jc w:val="both"/>
        <w:rPr>
          <w:rFonts w:ascii="Arial" w:hAnsi="Arial" w:cs="Arial"/>
          <w:bCs/>
          <w:sz w:val="24"/>
        </w:rPr>
      </w:pPr>
      <w:r>
        <w:rPr>
          <w:rFonts w:ascii="Arial" w:hAnsi="Arial" w:cs="Arial"/>
          <w:bCs/>
          <w:sz w:val="24"/>
        </w:rPr>
        <w:t xml:space="preserve">14. </w:t>
      </w:r>
      <w:r w:rsidRPr="008D152D">
        <w:rPr>
          <w:rFonts w:ascii="Arial" w:hAnsi="Arial" w:cs="Arial"/>
          <w:bCs/>
          <w:sz w:val="24"/>
        </w:rPr>
        <w:t xml:space="preserve">El Ente Público determinó el cálculo de la depreciación considerando un valor de desecho igual a uno, siendo que sus activos (edificios, equipo de transporte y maquinaria), aún conservan un valor muy superior al determinado al momento de dejar de ser útil para el Ente, además se observó que no se realizó una estimación adecuada de la vida útil de los activos, ya que no proporcionó un dictamen técnico, peritaje obtenido o estudio realizado por el Ente Público de la vida útil de los bienes, incumpliendo con lo establecido en el Acuerdo por el que se emiten las Reglas Específicas del Registro y Valoración del Patrimonio (inciso B - punto 6 - Depreciación, deterioro y amortización, del ejercicio y acumulada de bienes) emitidas por el </w:t>
      </w:r>
      <w:proofErr w:type="spellStart"/>
      <w:r w:rsidRPr="008D152D">
        <w:rPr>
          <w:rFonts w:ascii="Arial" w:hAnsi="Arial" w:cs="Arial"/>
          <w:bCs/>
          <w:sz w:val="24"/>
        </w:rPr>
        <w:t>Conac</w:t>
      </w:r>
      <w:proofErr w:type="spellEnd"/>
      <w:r w:rsidRPr="008D152D">
        <w:rPr>
          <w:rFonts w:ascii="Arial" w:hAnsi="Arial" w:cs="Arial"/>
          <w:bCs/>
          <w:sz w:val="24"/>
        </w:rPr>
        <w:t>, estableciendo su observancia obligatoria, de conformidad con el artículo 7 de la Ley General de Contabilidad Gubernamental.</w:t>
      </w:r>
    </w:p>
    <w:p w:rsidR="008D152D" w:rsidRDefault="008D152D" w:rsidP="008D152D">
      <w:pPr>
        <w:pStyle w:val="Prrafodelista"/>
        <w:spacing w:after="0"/>
        <w:ind w:left="0"/>
        <w:contextualSpacing/>
        <w:jc w:val="both"/>
        <w:rPr>
          <w:rFonts w:ascii="Arial" w:hAnsi="Arial" w:cs="Arial"/>
          <w:bCs/>
          <w:sz w:val="24"/>
        </w:rPr>
      </w:pPr>
    </w:p>
    <w:p w:rsidR="008D152D" w:rsidRPr="008D152D" w:rsidRDefault="008D152D" w:rsidP="008D152D">
      <w:pPr>
        <w:pStyle w:val="Prrafodelista"/>
        <w:spacing w:after="0"/>
        <w:ind w:left="0"/>
        <w:contextualSpacing/>
        <w:jc w:val="both"/>
        <w:rPr>
          <w:rFonts w:ascii="Arial" w:hAnsi="Arial" w:cs="Arial"/>
          <w:bCs/>
          <w:sz w:val="24"/>
        </w:rPr>
      </w:pPr>
      <w:r w:rsidRPr="008D152D">
        <w:rPr>
          <w:rFonts w:ascii="Arial" w:hAnsi="Arial" w:cs="Arial"/>
          <w:bCs/>
          <w:sz w:val="24"/>
        </w:rPr>
        <w:t>Para determinar la vida útil, deben tenerse en cuenta, entre otros, lo siguiente:</w:t>
      </w:r>
    </w:p>
    <w:p w:rsidR="00166FC5" w:rsidRDefault="00166FC5" w:rsidP="00166FC5">
      <w:pPr>
        <w:pStyle w:val="Prrafodelista"/>
        <w:spacing w:after="0"/>
        <w:ind w:left="0"/>
        <w:contextualSpacing/>
        <w:jc w:val="both"/>
        <w:rPr>
          <w:rFonts w:ascii="Arial" w:hAnsi="Arial" w:cs="Arial"/>
          <w:b/>
          <w:bCs/>
          <w:sz w:val="24"/>
        </w:rPr>
      </w:pPr>
    </w:p>
    <w:p w:rsidR="008D152D" w:rsidRPr="008D152D" w:rsidRDefault="008D152D" w:rsidP="008D152D">
      <w:pPr>
        <w:pStyle w:val="Prrafodelista"/>
        <w:spacing w:after="0"/>
        <w:ind w:left="0"/>
        <w:contextualSpacing/>
        <w:jc w:val="both"/>
        <w:rPr>
          <w:rFonts w:ascii="Arial" w:hAnsi="Arial" w:cs="Arial"/>
          <w:bCs/>
          <w:sz w:val="24"/>
        </w:rPr>
      </w:pPr>
      <w:r w:rsidRPr="008D152D">
        <w:rPr>
          <w:rFonts w:ascii="Arial" w:hAnsi="Arial" w:cs="Arial"/>
          <w:bCs/>
          <w:sz w:val="24"/>
        </w:rPr>
        <w:t>a) El uso que el ente público espera realizar del activo. El uso se estima por referencia a la capacidad o rendimiento físico esperado del activo.</w:t>
      </w:r>
    </w:p>
    <w:p w:rsidR="008D152D" w:rsidRPr="008D152D" w:rsidRDefault="008D152D" w:rsidP="008D152D">
      <w:pPr>
        <w:pStyle w:val="Prrafodelista"/>
        <w:spacing w:after="0"/>
        <w:contextualSpacing/>
        <w:jc w:val="both"/>
        <w:rPr>
          <w:rFonts w:ascii="Arial" w:hAnsi="Arial" w:cs="Arial"/>
          <w:bCs/>
          <w:sz w:val="24"/>
        </w:rPr>
      </w:pPr>
    </w:p>
    <w:p w:rsidR="008D152D" w:rsidRPr="008D152D" w:rsidRDefault="008D152D" w:rsidP="008D152D">
      <w:pPr>
        <w:pStyle w:val="Prrafodelista"/>
        <w:spacing w:after="0"/>
        <w:ind w:left="0"/>
        <w:contextualSpacing/>
        <w:jc w:val="both"/>
        <w:rPr>
          <w:rFonts w:ascii="Arial" w:hAnsi="Arial" w:cs="Arial"/>
          <w:bCs/>
          <w:sz w:val="24"/>
        </w:rPr>
      </w:pPr>
      <w:r w:rsidRPr="008D152D">
        <w:rPr>
          <w:rFonts w:ascii="Arial" w:hAnsi="Arial" w:cs="Arial"/>
          <w:bCs/>
          <w:sz w:val="24"/>
        </w:rPr>
        <w:t>b) El deterioro natural esperado, que depende de factores operativos tales como el número de turnos de trabajo en los que será usado el bien, el programa de reparaciones y mantenimiento del ente, así como el nivel de cuidado y mantenimiento mientras el activo no está siendo dedicado a tareas productivas.</w:t>
      </w:r>
    </w:p>
    <w:p w:rsidR="008D152D" w:rsidRPr="008D152D" w:rsidRDefault="008D152D" w:rsidP="008D152D">
      <w:pPr>
        <w:pStyle w:val="Prrafodelista"/>
        <w:spacing w:after="0"/>
        <w:contextualSpacing/>
        <w:jc w:val="both"/>
        <w:rPr>
          <w:rFonts w:ascii="Arial" w:hAnsi="Arial" w:cs="Arial"/>
          <w:bCs/>
          <w:sz w:val="24"/>
        </w:rPr>
      </w:pPr>
    </w:p>
    <w:p w:rsidR="008D152D" w:rsidRPr="008D152D" w:rsidRDefault="008D152D" w:rsidP="008D152D">
      <w:pPr>
        <w:pStyle w:val="Prrafodelista"/>
        <w:spacing w:after="0"/>
        <w:ind w:left="0"/>
        <w:contextualSpacing/>
        <w:jc w:val="both"/>
        <w:rPr>
          <w:rFonts w:ascii="Arial" w:hAnsi="Arial" w:cs="Arial"/>
          <w:bCs/>
          <w:sz w:val="24"/>
        </w:rPr>
      </w:pPr>
      <w:r w:rsidRPr="008D152D">
        <w:rPr>
          <w:rFonts w:ascii="Arial" w:hAnsi="Arial" w:cs="Arial"/>
          <w:bCs/>
          <w:sz w:val="24"/>
        </w:rPr>
        <w:t>c) La obsolescencia técnica derivada de los cambios y mejoras en la producción, o bien de los cambios en la demanda del mercado de los productos o servicios que se obtienen con el activo; y</w:t>
      </w:r>
    </w:p>
    <w:p w:rsidR="008D152D" w:rsidRPr="008D152D" w:rsidRDefault="008D152D" w:rsidP="008D152D">
      <w:pPr>
        <w:pStyle w:val="Prrafodelista"/>
        <w:spacing w:after="0"/>
        <w:contextualSpacing/>
        <w:jc w:val="both"/>
        <w:rPr>
          <w:rFonts w:ascii="Arial" w:hAnsi="Arial" w:cs="Arial"/>
          <w:bCs/>
          <w:sz w:val="24"/>
        </w:rPr>
      </w:pPr>
    </w:p>
    <w:p w:rsidR="008D152D" w:rsidRDefault="008D152D" w:rsidP="008D152D">
      <w:pPr>
        <w:pStyle w:val="Prrafodelista"/>
        <w:spacing w:after="0"/>
        <w:ind w:left="0"/>
        <w:contextualSpacing/>
        <w:jc w:val="both"/>
        <w:rPr>
          <w:rFonts w:ascii="Arial" w:hAnsi="Arial" w:cs="Arial"/>
          <w:bCs/>
          <w:sz w:val="24"/>
        </w:rPr>
      </w:pPr>
      <w:r w:rsidRPr="008D152D">
        <w:rPr>
          <w:rFonts w:ascii="Arial" w:hAnsi="Arial" w:cs="Arial"/>
          <w:bCs/>
          <w:sz w:val="24"/>
        </w:rPr>
        <w:t>d) Los límites legales o restricciones similares sobre el uso del activo, tales como las fechas de caducidad de los contratos de servicio relacionados con el bien.</w:t>
      </w:r>
    </w:p>
    <w:p w:rsidR="008D152D" w:rsidRDefault="008D152D" w:rsidP="008D152D">
      <w:pPr>
        <w:pStyle w:val="Prrafodelista"/>
        <w:spacing w:after="0"/>
        <w:ind w:left="0"/>
        <w:contextualSpacing/>
        <w:jc w:val="both"/>
        <w:rPr>
          <w:rFonts w:ascii="Arial" w:hAnsi="Arial" w:cs="Arial"/>
          <w:bCs/>
          <w:sz w:val="24"/>
        </w:rPr>
      </w:pPr>
    </w:p>
    <w:p w:rsidR="008D152D" w:rsidRPr="008D152D" w:rsidRDefault="008D152D" w:rsidP="008D152D">
      <w:pPr>
        <w:pStyle w:val="Prrafodelista"/>
        <w:spacing w:after="0"/>
        <w:ind w:left="0"/>
        <w:contextualSpacing/>
        <w:jc w:val="both"/>
        <w:rPr>
          <w:rFonts w:ascii="Arial" w:hAnsi="Arial" w:cs="Arial"/>
          <w:bCs/>
          <w:sz w:val="24"/>
        </w:rPr>
      </w:pPr>
      <w:r w:rsidRPr="008D152D">
        <w:rPr>
          <w:rFonts w:ascii="Arial" w:hAnsi="Arial" w:cs="Arial"/>
          <w:b/>
          <w:bCs/>
          <w:sz w:val="24"/>
        </w:rPr>
        <w:t>Acción(es) o recomendación(es) emitida(s)</w:t>
      </w:r>
    </w:p>
    <w:p w:rsidR="00166FC5" w:rsidRPr="008D152D" w:rsidRDefault="008D152D" w:rsidP="008D152D">
      <w:pPr>
        <w:pStyle w:val="Prrafodelista"/>
        <w:spacing w:after="0"/>
        <w:ind w:left="0"/>
        <w:contextualSpacing/>
        <w:jc w:val="both"/>
        <w:rPr>
          <w:rFonts w:ascii="Arial" w:hAnsi="Arial" w:cs="Arial"/>
          <w:bCs/>
          <w:i/>
          <w:sz w:val="24"/>
        </w:rPr>
      </w:pPr>
      <w:r w:rsidRPr="008D152D">
        <w:rPr>
          <w:rFonts w:ascii="Arial" w:hAnsi="Arial" w:cs="Arial"/>
          <w:bCs/>
          <w:i/>
          <w:sz w:val="24"/>
        </w:rPr>
        <w:t>Promoción de Fincamiento de Responsabilidad Administrativa.</w:t>
      </w:r>
    </w:p>
    <w:p w:rsidR="00166FC5" w:rsidRDefault="00166FC5" w:rsidP="00166FC5">
      <w:pPr>
        <w:pStyle w:val="Prrafodelista"/>
        <w:spacing w:after="0"/>
        <w:ind w:left="0"/>
        <w:contextualSpacing/>
        <w:jc w:val="both"/>
        <w:rPr>
          <w:rFonts w:ascii="Arial" w:hAnsi="Arial" w:cs="Arial"/>
          <w:b/>
          <w:bCs/>
          <w:sz w:val="24"/>
        </w:rPr>
      </w:pPr>
    </w:p>
    <w:p w:rsidR="008D152D" w:rsidRDefault="008D152D" w:rsidP="00166FC5">
      <w:pPr>
        <w:pStyle w:val="Prrafodelista"/>
        <w:spacing w:after="0"/>
        <w:ind w:left="0"/>
        <w:contextualSpacing/>
        <w:jc w:val="both"/>
        <w:rPr>
          <w:rFonts w:ascii="Arial" w:hAnsi="Arial" w:cs="Arial"/>
          <w:b/>
          <w:bCs/>
          <w:sz w:val="24"/>
        </w:rPr>
      </w:pPr>
    </w:p>
    <w:p w:rsidR="00D21D9B" w:rsidRPr="00D21D9B" w:rsidRDefault="00D21D9B" w:rsidP="00D21D9B">
      <w:pPr>
        <w:pStyle w:val="Prrafodelista"/>
        <w:spacing w:after="0"/>
        <w:ind w:left="0"/>
        <w:contextualSpacing/>
        <w:jc w:val="both"/>
        <w:rPr>
          <w:rFonts w:ascii="Arial" w:hAnsi="Arial" w:cs="Arial"/>
          <w:b/>
          <w:bCs/>
          <w:sz w:val="24"/>
          <w:u w:val="single"/>
        </w:rPr>
      </w:pPr>
      <w:r w:rsidRPr="00D21D9B">
        <w:rPr>
          <w:rFonts w:ascii="Arial" w:hAnsi="Arial" w:cs="Arial"/>
          <w:b/>
          <w:bCs/>
          <w:sz w:val="24"/>
          <w:u w:val="single"/>
        </w:rPr>
        <w:t>Derechos a Recibir Efectivo o Equivalentes a Largo Plazo</w:t>
      </w:r>
    </w:p>
    <w:p w:rsidR="00D21D9B" w:rsidRPr="00D21D9B" w:rsidRDefault="00D21D9B" w:rsidP="00D21D9B">
      <w:pPr>
        <w:pStyle w:val="Prrafodelista"/>
        <w:spacing w:after="0"/>
        <w:ind w:left="0"/>
        <w:contextualSpacing/>
        <w:jc w:val="both"/>
        <w:rPr>
          <w:rFonts w:ascii="Arial" w:hAnsi="Arial" w:cs="Arial"/>
          <w:b/>
          <w:bCs/>
          <w:sz w:val="24"/>
          <w:u w:val="single"/>
        </w:rPr>
      </w:pPr>
      <w:r w:rsidRPr="00D21D9B">
        <w:rPr>
          <w:rFonts w:ascii="Arial" w:hAnsi="Arial" w:cs="Arial"/>
          <w:b/>
          <w:bCs/>
          <w:sz w:val="24"/>
          <w:u w:val="single"/>
        </w:rPr>
        <w:t>Documentos por cobrar a largo plazo</w:t>
      </w:r>
    </w:p>
    <w:p w:rsidR="00D21D9B" w:rsidRDefault="00D21D9B" w:rsidP="00166FC5">
      <w:pPr>
        <w:pStyle w:val="Prrafodelista"/>
        <w:spacing w:after="0"/>
        <w:ind w:left="0"/>
        <w:contextualSpacing/>
        <w:jc w:val="both"/>
        <w:rPr>
          <w:rFonts w:ascii="Arial" w:hAnsi="Arial" w:cs="Arial"/>
          <w:b/>
          <w:bCs/>
          <w:sz w:val="24"/>
        </w:rPr>
      </w:pPr>
    </w:p>
    <w:p w:rsidR="00D21D9B" w:rsidRPr="00D21D9B" w:rsidRDefault="00D21D9B" w:rsidP="00D21D9B">
      <w:pPr>
        <w:pStyle w:val="Prrafodelista"/>
        <w:spacing w:after="0"/>
        <w:ind w:left="0"/>
        <w:contextualSpacing/>
        <w:jc w:val="both"/>
        <w:rPr>
          <w:rFonts w:ascii="Arial" w:hAnsi="Arial" w:cs="Arial"/>
          <w:bCs/>
          <w:sz w:val="24"/>
        </w:rPr>
      </w:pPr>
      <w:r>
        <w:rPr>
          <w:rFonts w:ascii="Arial" w:hAnsi="Arial" w:cs="Arial"/>
          <w:bCs/>
          <w:sz w:val="24"/>
        </w:rPr>
        <w:t xml:space="preserve">15. </w:t>
      </w:r>
      <w:r w:rsidRPr="00D21D9B">
        <w:rPr>
          <w:rFonts w:ascii="Arial" w:hAnsi="Arial" w:cs="Arial"/>
          <w:bCs/>
          <w:sz w:val="24"/>
        </w:rPr>
        <w:t>El Ente Público tiene una cuenta por cobrar a la Constructora Circulo Naranja, S.A. de C.V. por importe de $2,335,500, según contrato de fideicomiso del 27 de julio de 2005 para la ejecución del proyecto de desarrollo habitacional consistente en la urbanización de 219 lotes e igual número de viviendas a construirse sobre los mismos, en el Fraccionamiento Las Villas en el Municipio de Cadereyta Jiménez, Nuevo León, observando que presenta una antigüedad de 10 años, no mostrando el Ente Público evidencia de gestiones para su recuperación.</w:t>
      </w:r>
    </w:p>
    <w:p w:rsidR="00D21D9B" w:rsidRDefault="00D21D9B" w:rsidP="00D21D9B">
      <w:pPr>
        <w:pStyle w:val="Prrafodelista"/>
        <w:spacing w:after="0"/>
        <w:ind w:left="0"/>
        <w:contextualSpacing/>
        <w:jc w:val="both"/>
        <w:rPr>
          <w:rFonts w:ascii="Arial" w:hAnsi="Arial" w:cs="Arial"/>
          <w:bCs/>
          <w:sz w:val="24"/>
        </w:rPr>
      </w:pPr>
    </w:p>
    <w:p w:rsidR="00D21D9B" w:rsidRDefault="00D21D9B" w:rsidP="00D21D9B">
      <w:pPr>
        <w:pStyle w:val="Prrafodelista"/>
        <w:spacing w:after="0"/>
        <w:ind w:left="0"/>
        <w:contextualSpacing/>
        <w:jc w:val="both"/>
        <w:rPr>
          <w:rFonts w:ascii="Arial" w:hAnsi="Arial" w:cs="Arial"/>
          <w:bCs/>
          <w:sz w:val="24"/>
        </w:rPr>
      </w:pPr>
    </w:p>
    <w:p w:rsidR="00D21D9B" w:rsidRPr="00D21D9B" w:rsidRDefault="00D21D9B" w:rsidP="00D21D9B">
      <w:pPr>
        <w:pStyle w:val="Prrafodelista"/>
        <w:spacing w:after="0"/>
        <w:ind w:left="0"/>
        <w:contextualSpacing/>
        <w:jc w:val="both"/>
        <w:rPr>
          <w:rFonts w:ascii="Arial" w:hAnsi="Arial" w:cs="Arial"/>
          <w:bCs/>
          <w:sz w:val="24"/>
        </w:rPr>
      </w:pPr>
    </w:p>
    <w:p w:rsidR="00D21D9B" w:rsidRPr="00D21D9B" w:rsidRDefault="00D21D9B" w:rsidP="00D21D9B">
      <w:pPr>
        <w:pStyle w:val="Prrafodelista"/>
        <w:spacing w:after="0"/>
        <w:ind w:left="-142"/>
        <w:contextualSpacing/>
        <w:jc w:val="both"/>
        <w:rPr>
          <w:rFonts w:ascii="Arial" w:hAnsi="Arial" w:cs="Arial"/>
          <w:b/>
          <w:bCs/>
          <w:sz w:val="24"/>
        </w:rPr>
      </w:pPr>
      <w:r w:rsidRPr="00D21D9B">
        <w:rPr>
          <w:rFonts w:ascii="Arial" w:hAnsi="Arial" w:cs="Arial"/>
          <w:b/>
          <w:bCs/>
          <w:sz w:val="24"/>
        </w:rPr>
        <w:tab/>
        <w:t>Análisis de la Auditoría Superior del Estado</w:t>
      </w:r>
    </w:p>
    <w:p w:rsidR="00D21D9B" w:rsidRDefault="00D21D9B" w:rsidP="00D21D9B">
      <w:pPr>
        <w:pStyle w:val="Prrafodelista"/>
        <w:spacing w:after="0"/>
        <w:contextualSpacing/>
        <w:jc w:val="both"/>
        <w:rPr>
          <w:rFonts w:ascii="Arial" w:hAnsi="Arial" w:cs="Arial"/>
          <w:bCs/>
          <w:sz w:val="24"/>
        </w:rPr>
      </w:pPr>
    </w:p>
    <w:p w:rsidR="00D21D9B" w:rsidRPr="00D21D9B" w:rsidRDefault="00D21D9B" w:rsidP="00D21D9B">
      <w:pPr>
        <w:pStyle w:val="Prrafodelista"/>
        <w:spacing w:after="0"/>
        <w:ind w:left="0"/>
        <w:contextualSpacing/>
        <w:jc w:val="both"/>
        <w:rPr>
          <w:rFonts w:ascii="Arial" w:hAnsi="Arial" w:cs="Arial"/>
          <w:bCs/>
          <w:sz w:val="24"/>
        </w:rPr>
      </w:pPr>
      <w:r w:rsidRPr="00D21D9B">
        <w:rPr>
          <w:rFonts w:ascii="Arial" w:hAnsi="Arial" w:cs="Arial"/>
          <w:bCs/>
          <w:sz w:val="24"/>
        </w:rPr>
        <w:t>Derivado del análisis de la respuesta y documentación presentada por el Ente Público</w:t>
      </w:r>
      <w:r>
        <w:rPr>
          <w:rFonts w:ascii="Arial" w:hAnsi="Arial" w:cs="Arial"/>
          <w:bCs/>
          <w:sz w:val="24"/>
        </w:rPr>
        <w:t xml:space="preserve"> la Auditoría determinó que esta observación se solventó</w:t>
      </w:r>
      <w:r w:rsidRPr="00D21D9B">
        <w:rPr>
          <w:rFonts w:ascii="Arial" w:hAnsi="Arial" w:cs="Arial"/>
          <w:bCs/>
          <w:sz w:val="24"/>
        </w:rPr>
        <w:t xml:space="preserve"> parcia</w:t>
      </w:r>
      <w:r>
        <w:rPr>
          <w:rFonts w:ascii="Arial" w:hAnsi="Arial" w:cs="Arial"/>
          <w:bCs/>
          <w:sz w:val="24"/>
        </w:rPr>
        <w:t>lmente, toda vez que se mencionó que estaban</w:t>
      </w:r>
      <w:r w:rsidRPr="00D21D9B">
        <w:rPr>
          <w:rFonts w:ascii="Arial" w:hAnsi="Arial" w:cs="Arial"/>
          <w:bCs/>
          <w:sz w:val="24"/>
        </w:rPr>
        <w:t xml:space="preserve"> en proceso las acciones legales para continuar con la operación del Fideicomiso.</w:t>
      </w:r>
    </w:p>
    <w:p w:rsidR="00D21D9B" w:rsidRPr="00D21D9B" w:rsidRDefault="00D21D9B" w:rsidP="00D21D9B">
      <w:pPr>
        <w:pStyle w:val="Prrafodelista"/>
        <w:spacing w:after="0"/>
        <w:contextualSpacing/>
        <w:jc w:val="both"/>
        <w:rPr>
          <w:rFonts w:ascii="Arial" w:hAnsi="Arial" w:cs="Arial"/>
          <w:b/>
          <w:bCs/>
          <w:sz w:val="24"/>
        </w:rPr>
      </w:pPr>
    </w:p>
    <w:p w:rsidR="00D21D9B" w:rsidRPr="00D21D9B" w:rsidRDefault="00D21D9B" w:rsidP="00D21D9B">
      <w:pPr>
        <w:pStyle w:val="Prrafodelista"/>
        <w:spacing w:after="0"/>
        <w:contextualSpacing/>
        <w:jc w:val="both"/>
        <w:rPr>
          <w:rFonts w:ascii="Arial" w:hAnsi="Arial" w:cs="Arial"/>
          <w:b/>
          <w:bCs/>
          <w:sz w:val="24"/>
        </w:rPr>
      </w:pPr>
    </w:p>
    <w:p w:rsidR="00D21D9B" w:rsidRPr="00D21D9B" w:rsidRDefault="00D21D9B" w:rsidP="00D21D9B">
      <w:pPr>
        <w:pStyle w:val="Prrafodelista"/>
        <w:spacing w:after="0"/>
        <w:ind w:left="-142"/>
        <w:contextualSpacing/>
        <w:jc w:val="both"/>
        <w:rPr>
          <w:rFonts w:ascii="Arial" w:hAnsi="Arial" w:cs="Arial"/>
          <w:b/>
          <w:bCs/>
          <w:sz w:val="24"/>
        </w:rPr>
      </w:pPr>
      <w:r w:rsidRPr="00D21D9B">
        <w:rPr>
          <w:rFonts w:ascii="Arial" w:hAnsi="Arial" w:cs="Arial"/>
          <w:b/>
          <w:bCs/>
          <w:sz w:val="24"/>
        </w:rPr>
        <w:t xml:space="preserve"> </w:t>
      </w:r>
      <w:r w:rsidRPr="00D21D9B">
        <w:rPr>
          <w:rFonts w:ascii="Arial" w:hAnsi="Arial" w:cs="Arial"/>
          <w:b/>
          <w:bCs/>
          <w:sz w:val="24"/>
        </w:rPr>
        <w:tab/>
        <w:t>Acción(es) o recomendación(es) emitida(s)</w:t>
      </w:r>
    </w:p>
    <w:p w:rsidR="00D21D9B" w:rsidRPr="00D21D9B" w:rsidRDefault="00D21D9B" w:rsidP="00D21D9B">
      <w:pPr>
        <w:pStyle w:val="Prrafodelista"/>
        <w:spacing w:after="0"/>
        <w:ind w:left="0"/>
        <w:contextualSpacing/>
        <w:jc w:val="both"/>
        <w:rPr>
          <w:rFonts w:ascii="Arial" w:hAnsi="Arial" w:cs="Arial"/>
          <w:bCs/>
          <w:sz w:val="24"/>
        </w:rPr>
      </w:pPr>
      <w:r w:rsidRPr="00D21D9B">
        <w:rPr>
          <w:rFonts w:ascii="Arial" w:hAnsi="Arial" w:cs="Arial"/>
          <w:bCs/>
          <w:sz w:val="24"/>
        </w:rPr>
        <w:t>Recomendaciones en Relación a la Gestión o Control Interno.</w:t>
      </w:r>
    </w:p>
    <w:p w:rsidR="00D21D9B" w:rsidRDefault="00D21D9B" w:rsidP="00D21D9B">
      <w:pPr>
        <w:pStyle w:val="Prrafodelista"/>
        <w:spacing w:after="0"/>
        <w:ind w:left="0"/>
        <w:contextualSpacing/>
        <w:jc w:val="both"/>
        <w:rPr>
          <w:rFonts w:ascii="Arial" w:hAnsi="Arial" w:cs="Arial"/>
          <w:bCs/>
          <w:sz w:val="24"/>
        </w:rPr>
      </w:pPr>
    </w:p>
    <w:p w:rsidR="00D21D9B" w:rsidRPr="00D21D9B" w:rsidRDefault="00D21D9B" w:rsidP="00D21D9B">
      <w:pPr>
        <w:pStyle w:val="Prrafodelista"/>
        <w:spacing w:after="0"/>
        <w:ind w:left="0"/>
        <w:contextualSpacing/>
        <w:jc w:val="both"/>
        <w:rPr>
          <w:rFonts w:ascii="Arial" w:hAnsi="Arial" w:cs="Arial"/>
          <w:bCs/>
          <w:sz w:val="24"/>
        </w:rPr>
      </w:pPr>
      <w:r w:rsidRPr="00D21D9B">
        <w:rPr>
          <w:rFonts w:ascii="Arial" w:hAnsi="Arial" w:cs="Arial"/>
          <w:bCs/>
          <w:sz w:val="24"/>
        </w:rPr>
        <w:t>Dar seguimiento al proceso legal para continuar con la operación del Fideicomiso a fin de poder captar las contraprestaciones correspondientes.</w:t>
      </w:r>
    </w:p>
    <w:p w:rsidR="00D21D9B" w:rsidRPr="00D21D9B" w:rsidRDefault="00D21D9B" w:rsidP="00D21D9B">
      <w:pPr>
        <w:pStyle w:val="Prrafodelista"/>
        <w:spacing w:after="0"/>
        <w:contextualSpacing/>
        <w:jc w:val="both"/>
        <w:rPr>
          <w:rFonts w:ascii="Arial" w:hAnsi="Arial" w:cs="Arial"/>
          <w:b/>
          <w:bCs/>
          <w:sz w:val="24"/>
        </w:rPr>
      </w:pPr>
    </w:p>
    <w:p w:rsidR="00D21D9B" w:rsidRPr="00D21D9B" w:rsidRDefault="00D21D9B" w:rsidP="00166FC5">
      <w:pPr>
        <w:pStyle w:val="Prrafodelista"/>
        <w:spacing w:after="0"/>
        <w:ind w:left="0"/>
        <w:contextualSpacing/>
        <w:jc w:val="both"/>
        <w:rPr>
          <w:rFonts w:ascii="Arial" w:hAnsi="Arial" w:cs="Arial"/>
          <w:b/>
          <w:bCs/>
          <w:sz w:val="24"/>
          <w:u w:val="single"/>
        </w:rPr>
      </w:pPr>
      <w:r w:rsidRPr="00D21D9B">
        <w:rPr>
          <w:rFonts w:ascii="Arial" w:hAnsi="Arial" w:cs="Arial"/>
          <w:b/>
          <w:bCs/>
          <w:sz w:val="24"/>
          <w:u w:val="single"/>
        </w:rPr>
        <w:t>Otros derechos a recibir efectivo o equivalentes a largo plazo</w:t>
      </w:r>
    </w:p>
    <w:p w:rsidR="00D21D9B" w:rsidRPr="00D21D9B" w:rsidRDefault="00D21D9B" w:rsidP="00166FC5">
      <w:pPr>
        <w:pStyle w:val="Prrafodelista"/>
        <w:spacing w:after="0"/>
        <w:ind w:left="0"/>
        <w:contextualSpacing/>
        <w:jc w:val="both"/>
        <w:rPr>
          <w:rFonts w:ascii="Arial" w:hAnsi="Arial" w:cs="Arial"/>
          <w:b/>
          <w:bCs/>
          <w:sz w:val="24"/>
          <w:u w:val="single"/>
        </w:rPr>
      </w:pPr>
    </w:p>
    <w:p w:rsidR="00D21D9B" w:rsidRDefault="00D21D9B" w:rsidP="00166FC5">
      <w:pPr>
        <w:pStyle w:val="Prrafodelista"/>
        <w:spacing w:after="0"/>
        <w:ind w:left="0"/>
        <w:contextualSpacing/>
        <w:jc w:val="both"/>
        <w:rPr>
          <w:rFonts w:ascii="Arial" w:hAnsi="Arial" w:cs="Arial"/>
          <w:b/>
          <w:bCs/>
          <w:sz w:val="24"/>
        </w:rPr>
      </w:pPr>
    </w:p>
    <w:p w:rsidR="00D21D9B" w:rsidRPr="00D21D9B" w:rsidRDefault="00D21D9B" w:rsidP="00D21D9B">
      <w:pPr>
        <w:pStyle w:val="Prrafodelista"/>
        <w:spacing w:after="0"/>
        <w:ind w:left="0"/>
        <w:contextualSpacing/>
        <w:jc w:val="both"/>
        <w:rPr>
          <w:rFonts w:ascii="Arial" w:hAnsi="Arial" w:cs="Arial"/>
          <w:bCs/>
          <w:sz w:val="24"/>
        </w:rPr>
      </w:pPr>
      <w:r>
        <w:rPr>
          <w:rFonts w:ascii="Arial" w:hAnsi="Arial" w:cs="Arial"/>
          <w:bCs/>
          <w:sz w:val="24"/>
        </w:rPr>
        <w:t xml:space="preserve">16. </w:t>
      </w:r>
      <w:r w:rsidRPr="00D21D9B">
        <w:rPr>
          <w:rFonts w:ascii="Arial" w:hAnsi="Arial" w:cs="Arial"/>
          <w:bCs/>
          <w:sz w:val="24"/>
        </w:rPr>
        <w:t>Observamos que el Ente Público tiene registradas dos aportaciones con antigüedad superior a 20 años por valor de $739,910, realizadas a instituciones bancarias de las cuales no se proporcionó evidencia documental que justifique mantener dichos registros.</w:t>
      </w:r>
    </w:p>
    <w:p w:rsidR="00D21D9B" w:rsidRDefault="00D21D9B" w:rsidP="00D21D9B">
      <w:pPr>
        <w:pStyle w:val="Prrafodelista"/>
        <w:spacing w:after="0"/>
        <w:ind w:left="0"/>
        <w:contextualSpacing/>
        <w:jc w:val="both"/>
        <w:rPr>
          <w:rFonts w:ascii="Arial" w:hAnsi="Arial" w:cs="Arial"/>
          <w:bCs/>
          <w:sz w:val="24"/>
        </w:rPr>
      </w:pPr>
    </w:p>
    <w:p w:rsidR="00D21D9B" w:rsidRDefault="00D21D9B" w:rsidP="00D21D9B">
      <w:pPr>
        <w:pStyle w:val="Prrafodelista"/>
        <w:spacing w:after="0"/>
        <w:ind w:left="0"/>
        <w:contextualSpacing/>
        <w:jc w:val="both"/>
        <w:rPr>
          <w:rFonts w:ascii="Arial" w:hAnsi="Arial" w:cs="Arial"/>
          <w:bCs/>
          <w:sz w:val="24"/>
        </w:rPr>
      </w:pPr>
      <w:r w:rsidRPr="00D21D9B">
        <w:rPr>
          <w:rFonts w:ascii="Arial" w:hAnsi="Arial" w:cs="Arial"/>
          <w:bCs/>
          <w:sz w:val="24"/>
        </w:rPr>
        <w:t>A continuación se muestra su integración:</w:t>
      </w:r>
    </w:p>
    <w:p w:rsidR="00D21D9B" w:rsidRDefault="00D21D9B" w:rsidP="00D21D9B">
      <w:pPr>
        <w:pStyle w:val="Prrafodelista"/>
        <w:spacing w:after="0"/>
        <w:ind w:left="0"/>
        <w:contextualSpacing/>
        <w:jc w:val="both"/>
        <w:rPr>
          <w:rFonts w:ascii="Arial" w:hAnsi="Arial" w:cs="Arial"/>
          <w:bCs/>
          <w:sz w:val="24"/>
        </w:rPr>
      </w:pPr>
    </w:p>
    <w:tbl>
      <w:tblPr>
        <w:tblW w:w="358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710"/>
        <w:gridCol w:w="231"/>
        <w:gridCol w:w="1178"/>
      </w:tblGrid>
      <w:tr w:rsidR="00D21D9B" w:rsidRPr="00D21D9B" w:rsidTr="00D21D9B">
        <w:trPr>
          <w:tblCellSpacing w:w="15" w:type="dxa"/>
          <w:jc w:val="center"/>
        </w:trPr>
        <w:tc>
          <w:tcPr>
            <w:tcW w:w="0" w:type="auto"/>
            <w:shd w:val="clear" w:color="auto" w:fill="A6A6A6" w:themeFill="background1" w:themeFillShade="A6"/>
            <w:vAlign w:val="center"/>
            <w:hideMark/>
          </w:tcPr>
          <w:p w:rsidR="00D21D9B" w:rsidRPr="00D21D9B" w:rsidRDefault="00D21D9B" w:rsidP="00D21D9B">
            <w:pPr>
              <w:jc w:val="center"/>
              <w:rPr>
                <w:rFonts w:ascii="Arial" w:hAnsi="Arial" w:cs="Arial"/>
                <w:sz w:val="14"/>
                <w:szCs w:val="14"/>
                <w:u w:val="single"/>
                <w:lang w:val="es-MX" w:eastAsia="es-MX"/>
              </w:rPr>
            </w:pPr>
            <w:r w:rsidRPr="00D21D9B">
              <w:rPr>
                <w:rFonts w:ascii="Arial" w:hAnsi="Arial" w:cs="Arial"/>
                <w:sz w:val="14"/>
                <w:szCs w:val="14"/>
                <w:u w:val="single"/>
                <w:lang w:val="es-MX" w:eastAsia="es-MX"/>
              </w:rPr>
              <w:t>Fecha de registro</w:t>
            </w:r>
          </w:p>
        </w:tc>
        <w:tc>
          <w:tcPr>
            <w:tcW w:w="2307" w:type="pct"/>
            <w:shd w:val="clear" w:color="auto" w:fill="A6A6A6" w:themeFill="background1" w:themeFillShade="A6"/>
            <w:vAlign w:val="center"/>
            <w:hideMark/>
          </w:tcPr>
          <w:p w:rsidR="00D21D9B" w:rsidRPr="00D21D9B" w:rsidRDefault="00D21D9B" w:rsidP="00D21D9B">
            <w:pPr>
              <w:jc w:val="center"/>
              <w:rPr>
                <w:rFonts w:ascii="Arial" w:hAnsi="Arial" w:cs="Arial"/>
                <w:sz w:val="14"/>
                <w:szCs w:val="14"/>
                <w:u w:val="single"/>
                <w:lang w:val="es-MX" w:eastAsia="es-MX"/>
              </w:rPr>
            </w:pPr>
            <w:r w:rsidRPr="00D21D9B">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D21D9B" w:rsidRPr="00D21D9B" w:rsidRDefault="00D21D9B" w:rsidP="00D21D9B">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D21D9B" w:rsidRPr="00D21D9B" w:rsidRDefault="00D21D9B" w:rsidP="00D21D9B">
            <w:pPr>
              <w:jc w:val="center"/>
              <w:rPr>
                <w:rFonts w:ascii="Arial" w:hAnsi="Arial" w:cs="Arial"/>
                <w:sz w:val="14"/>
                <w:szCs w:val="14"/>
                <w:u w:val="single"/>
                <w:lang w:val="es-MX" w:eastAsia="es-MX"/>
              </w:rPr>
            </w:pPr>
            <w:r w:rsidRPr="00D21D9B">
              <w:rPr>
                <w:rFonts w:ascii="Arial" w:hAnsi="Arial" w:cs="Arial"/>
                <w:sz w:val="14"/>
                <w:szCs w:val="14"/>
                <w:u w:val="single"/>
                <w:lang w:val="es-MX" w:eastAsia="es-MX"/>
              </w:rPr>
              <w:t>Aportación</w:t>
            </w:r>
          </w:p>
        </w:tc>
      </w:tr>
      <w:tr w:rsidR="00D21D9B" w:rsidRPr="00D21D9B" w:rsidTr="00D21D9B">
        <w:trPr>
          <w:tblCellSpacing w:w="15" w:type="dxa"/>
          <w:jc w:val="center"/>
        </w:trPr>
        <w:tc>
          <w:tcPr>
            <w:tcW w:w="0" w:type="auto"/>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15/07/1994</w:t>
            </w:r>
          </w:p>
        </w:tc>
        <w:tc>
          <w:tcPr>
            <w:tcW w:w="2307" w:type="pct"/>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 xml:space="preserve">Banca </w:t>
            </w:r>
            <w:proofErr w:type="spellStart"/>
            <w:r w:rsidRPr="00D21D9B">
              <w:rPr>
                <w:rFonts w:ascii="Arial" w:hAnsi="Arial" w:cs="Arial"/>
                <w:sz w:val="14"/>
                <w:szCs w:val="14"/>
                <w:lang w:val="es-MX" w:eastAsia="es-MX"/>
              </w:rPr>
              <w:t>Cremi</w:t>
            </w:r>
            <w:proofErr w:type="spellEnd"/>
            <w:r w:rsidRPr="00D21D9B">
              <w:rPr>
                <w:rFonts w:ascii="Arial" w:hAnsi="Arial" w:cs="Arial"/>
                <w:sz w:val="14"/>
                <w:szCs w:val="14"/>
                <w:lang w:val="es-MX" w:eastAsia="es-MX"/>
              </w:rPr>
              <w:t>, Santa Martha 500 viviendas</w:t>
            </w:r>
          </w:p>
        </w:tc>
        <w:tc>
          <w:tcPr>
            <w:tcW w:w="0" w:type="auto"/>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w:t>
            </w:r>
          </w:p>
        </w:tc>
        <w:tc>
          <w:tcPr>
            <w:tcW w:w="0" w:type="auto"/>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239,910</w:t>
            </w:r>
          </w:p>
        </w:tc>
      </w:tr>
      <w:tr w:rsidR="00D21D9B" w:rsidRPr="00D21D9B" w:rsidTr="00D21D9B">
        <w:trPr>
          <w:tblCellSpacing w:w="15" w:type="dxa"/>
          <w:jc w:val="center"/>
        </w:trPr>
        <w:tc>
          <w:tcPr>
            <w:tcW w:w="0" w:type="auto"/>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06/10/1995</w:t>
            </w:r>
          </w:p>
        </w:tc>
        <w:tc>
          <w:tcPr>
            <w:tcW w:w="2307" w:type="pct"/>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Inverlat Santa Martha 125 viviendas</w:t>
            </w:r>
          </w:p>
        </w:tc>
        <w:tc>
          <w:tcPr>
            <w:tcW w:w="0" w:type="auto"/>
            <w:vAlign w:val="center"/>
            <w:hideMark/>
          </w:tcPr>
          <w:p w:rsidR="00D21D9B" w:rsidRPr="00D21D9B" w:rsidRDefault="00D21D9B" w:rsidP="00D21D9B">
            <w:pPr>
              <w:jc w:val="center"/>
              <w:rPr>
                <w:rFonts w:ascii="Arial" w:hAnsi="Arial" w:cs="Arial"/>
                <w:sz w:val="14"/>
                <w:szCs w:val="14"/>
                <w:lang w:val="es-MX" w:eastAsia="es-MX"/>
              </w:rPr>
            </w:pPr>
          </w:p>
        </w:tc>
        <w:tc>
          <w:tcPr>
            <w:tcW w:w="0" w:type="auto"/>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500,000</w:t>
            </w:r>
          </w:p>
        </w:tc>
      </w:tr>
      <w:tr w:rsidR="00D21D9B" w:rsidRPr="00D21D9B" w:rsidTr="00D21D9B">
        <w:trPr>
          <w:tblCellSpacing w:w="15" w:type="dxa"/>
          <w:jc w:val="center"/>
        </w:trPr>
        <w:tc>
          <w:tcPr>
            <w:tcW w:w="0" w:type="auto"/>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Total</w:t>
            </w:r>
          </w:p>
        </w:tc>
        <w:tc>
          <w:tcPr>
            <w:tcW w:w="2307" w:type="pct"/>
            <w:vAlign w:val="center"/>
            <w:hideMark/>
          </w:tcPr>
          <w:p w:rsidR="00D21D9B" w:rsidRPr="00D21D9B" w:rsidRDefault="00D21D9B" w:rsidP="00D21D9B">
            <w:pPr>
              <w:jc w:val="center"/>
              <w:rPr>
                <w:rFonts w:ascii="Arial" w:hAnsi="Arial" w:cs="Arial"/>
                <w:sz w:val="14"/>
                <w:szCs w:val="14"/>
                <w:lang w:val="es-MX" w:eastAsia="es-MX"/>
              </w:rPr>
            </w:pPr>
          </w:p>
        </w:tc>
        <w:tc>
          <w:tcPr>
            <w:tcW w:w="0" w:type="auto"/>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w:t>
            </w:r>
          </w:p>
        </w:tc>
        <w:tc>
          <w:tcPr>
            <w:tcW w:w="0" w:type="auto"/>
            <w:vAlign w:val="center"/>
            <w:hideMark/>
          </w:tcPr>
          <w:p w:rsidR="00D21D9B" w:rsidRPr="00D21D9B" w:rsidRDefault="00D21D9B" w:rsidP="00D21D9B">
            <w:pPr>
              <w:jc w:val="center"/>
              <w:rPr>
                <w:rFonts w:ascii="Arial" w:hAnsi="Arial" w:cs="Arial"/>
                <w:sz w:val="14"/>
                <w:szCs w:val="14"/>
                <w:lang w:val="es-MX" w:eastAsia="es-MX"/>
              </w:rPr>
            </w:pPr>
            <w:r w:rsidRPr="00D21D9B">
              <w:rPr>
                <w:rFonts w:ascii="Arial" w:hAnsi="Arial" w:cs="Arial"/>
                <w:sz w:val="14"/>
                <w:szCs w:val="14"/>
                <w:lang w:val="es-MX" w:eastAsia="es-MX"/>
              </w:rPr>
              <w:t>739,910</w:t>
            </w:r>
          </w:p>
        </w:tc>
      </w:tr>
    </w:tbl>
    <w:p w:rsidR="00D21D9B" w:rsidRPr="00D21D9B" w:rsidRDefault="00D21D9B" w:rsidP="00D21D9B">
      <w:pPr>
        <w:pStyle w:val="Prrafodelista"/>
        <w:spacing w:after="0"/>
        <w:ind w:left="0"/>
        <w:contextualSpacing/>
        <w:jc w:val="both"/>
        <w:rPr>
          <w:rFonts w:ascii="Arial" w:hAnsi="Arial" w:cs="Arial"/>
          <w:bCs/>
          <w:sz w:val="24"/>
        </w:rPr>
      </w:pPr>
    </w:p>
    <w:p w:rsidR="00D21D9B" w:rsidRDefault="00D21D9B" w:rsidP="00166FC5">
      <w:pPr>
        <w:pStyle w:val="Prrafodelista"/>
        <w:spacing w:after="0"/>
        <w:ind w:left="0"/>
        <w:contextualSpacing/>
        <w:jc w:val="both"/>
        <w:rPr>
          <w:rFonts w:ascii="Arial" w:hAnsi="Arial" w:cs="Arial"/>
          <w:b/>
          <w:bCs/>
          <w:sz w:val="24"/>
        </w:rPr>
      </w:pPr>
    </w:p>
    <w:p w:rsidR="00D21D9B" w:rsidRDefault="00D21D9B" w:rsidP="00D21D9B">
      <w:pPr>
        <w:pStyle w:val="Prrafodelista"/>
        <w:spacing w:after="0"/>
        <w:ind w:left="0"/>
        <w:contextualSpacing/>
        <w:jc w:val="both"/>
        <w:rPr>
          <w:rFonts w:ascii="Arial" w:hAnsi="Arial" w:cs="Arial"/>
          <w:bCs/>
          <w:sz w:val="24"/>
        </w:rPr>
      </w:pPr>
      <w:r w:rsidRPr="00D21D9B">
        <w:rPr>
          <w:rFonts w:ascii="Arial" w:hAnsi="Arial" w:cs="Arial"/>
          <w:bCs/>
          <w:sz w:val="24"/>
        </w:rPr>
        <w:t>En revisión de eventos posteriores, observamos que al 31 de marzo de 2016 no se han recuperado dichas aportaciones.</w:t>
      </w:r>
    </w:p>
    <w:p w:rsidR="00D21D9B" w:rsidRDefault="00D21D9B" w:rsidP="00D21D9B">
      <w:pPr>
        <w:pStyle w:val="Prrafodelista"/>
        <w:spacing w:after="0"/>
        <w:ind w:left="0"/>
        <w:contextualSpacing/>
        <w:jc w:val="both"/>
        <w:rPr>
          <w:rFonts w:ascii="Arial" w:hAnsi="Arial" w:cs="Arial"/>
          <w:bCs/>
          <w:sz w:val="24"/>
        </w:rPr>
      </w:pPr>
    </w:p>
    <w:p w:rsidR="00D21D9B" w:rsidRPr="00D21D9B" w:rsidRDefault="00D21D9B" w:rsidP="00D21D9B">
      <w:pPr>
        <w:pStyle w:val="Prrafodelista"/>
        <w:spacing w:after="0"/>
        <w:ind w:left="0"/>
        <w:contextualSpacing/>
        <w:jc w:val="both"/>
        <w:rPr>
          <w:rFonts w:ascii="Arial" w:hAnsi="Arial" w:cs="Arial"/>
          <w:bCs/>
          <w:sz w:val="24"/>
        </w:rPr>
      </w:pPr>
      <w:r w:rsidRPr="00D21D9B">
        <w:rPr>
          <w:rFonts w:ascii="Arial" w:hAnsi="Arial" w:cs="Arial"/>
          <w:b/>
          <w:bCs/>
          <w:sz w:val="24"/>
        </w:rPr>
        <w:t>Acción(es) o recomendación(es) emitida(s)</w:t>
      </w:r>
    </w:p>
    <w:p w:rsidR="00166FC5" w:rsidRPr="00D21D9B" w:rsidRDefault="00D21D9B" w:rsidP="00D21D9B">
      <w:pPr>
        <w:pStyle w:val="Prrafodelista"/>
        <w:spacing w:after="0"/>
        <w:ind w:left="0"/>
        <w:contextualSpacing/>
        <w:jc w:val="both"/>
        <w:rPr>
          <w:rFonts w:ascii="Arial" w:hAnsi="Arial" w:cs="Arial"/>
          <w:bCs/>
          <w:i/>
          <w:sz w:val="24"/>
        </w:rPr>
      </w:pPr>
      <w:r w:rsidRPr="00D21D9B">
        <w:rPr>
          <w:rFonts w:ascii="Arial" w:hAnsi="Arial" w:cs="Arial"/>
          <w:bCs/>
          <w:i/>
          <w:sz w:val="24"/>
        </w:rPr>
        <w:t>Recomendaciones en Relación a la Gestión o Control Interno.</w:t>
      </w:r>
    </w:p>
    <w:p w:rsidR="00166FC5" w:rsidRDefault="00166FC5" w:rsidP="00166FC5">
      <w:pPr>
        <w:pStyle w:val="Prrafodelista"/>
        <w:spacing w:after="0"/>
        <w:ind w:left="0"/>
        <w:contextualSpacing/>
        <w:jc w:val="both"/>
        <w:rPr>
          <w:rFonts w:ascii="Arial" w:hAnsi="Arial" w:cs="Arial"/>
          <w:b/>
          <w:bCs/>
          <w:sz w:val="24"/>
        </w:rPr>
      </w:pPr>
    </w:p>
    <w:p w:rsidR="00D21D9B" w:rsidRPr="00D21D9B" w:rsidRDefault="00D21D9B" w:rsidP="00D21D9B">
      <w:pPr>
        <w:pStyle w:val="Prrafodelista"/>
        <w:spacing w:after="0"/>
        <w:ind w:left="0"/>
        <w:contextualSpacing/>
        <w:jc w:val="both"/>
        <w:rPr>
          <w:rFonts w:ascii="Arial" w:hAnsi="Arial" w:cs="Arial"/>
          <w:b/>
          <w:bCs/>
          <w:sz w:val="24"/>
          <w:u w:val="single"/>
        </w:rPr>
      </w:pPr>
      <w:r w:rsidRPr="00D21D9B">
        <w:rPr>
          <w:rFonts w:ascii="Arial" w:hAnsi="Arial" w:cs="Arial"/>
          <w:b/>
          <w:bCs/>
          <w:sz w:val="24"/>
          <w:u w:val="single"/>
        </w:rPr>
        <w:t>PASIVO</w:t>
      </w:r>
    </w:p>
    <w:p w:rsidR="00D21D9B" w:rsidRPr="00D21D9B" w:rsidRDefault="00D21D9B" w:rsidP="00D21D9B">
      <w:pPr>
        <w:pStyle w:val="Prrafodelista"/>
        <w:spacing w:after="0"/>
        <w:ind w:left="0"/>
        <w:contextualSpacing/>
        <w:jc w:val="both"/>
        <w:rPr>
          <w:rFonts w:ascii="Arial" w:hAnsi="Arial" w:cs="Arial"/>
          <w:b/>
          <w:bCs/>
          <w:sz w:val="24"/>
          <w:u w:val="single"/>
        </w:rPr>
      </w:pPr>
      <w:r w:rsidRPr="00D21D9B">
        <w:rPr>
          <w:rFonts w:ascii="Arial" w:hAnsi="Arial" w:cs="Arial"/>
          <w:b/>
          <w:bCs/>
          <w:sz w:val="24"/>
          <w:u w:val="single"/>
        </w:rPr>
        <w:t>Pasivo circulante</w:t>
      </w:r>
    </w:p>
    <w:p w:rsidR="00D21D9B" w:rsidRPr="00D21D9B" w:rsidRDefault="00D21D9B" w:rsidP="00D21D9B">
      <w:pPr>
        <w:pStyle w:val="Prrafodelista"/>
        <w:spacing w:after="0"/>
        <w:ind w:left="0"/>
        <w:contextualSpacing/>
        <w:jc w:val="both"/>
        <w:rPr>
          <w:rFonts w:ascii="Arial" w:hAnsi="Arial" w:cs="Arial"/>
          <w:b/>
          <w:bCs/>
          <w:sz w:val="24"/>
          <w:u w:val="single"/>
        </w:rPr>
      </w:pPr>
      <w:r w:rsidRPr="00D21D9B">
        <w:rPr>
          <w:rFonts w:ascii="Arial" w:hAnsi="Arial" w:cs="Arial"/>
          <w:b/>
          <w:bCs/>
          <w:sz w:val="24"/>
          <w:u w:val="single"/>
        </w:rPr>
        <w:t>Cuentas por Pagar a Corto Plazo</w:t>
      </w:r>
    </w:p>
    <w:p w:rsidR="00166FC5" w:rsidRPr="00D21D9B" w:rsidRDefault="00D21D9B" w:rsidP="00D21D9B">
      <w:pPr>
        <w:pStyle w:val="Prrafodelista"/>
        <w:spacing w:after="0"/>
        <w:ind w:left="0"/>
        <w:contextualSpacing/>
        <w:jc w:val="both"/>
        <w:rPr>
          <w:rFonts w:ascii="Arial" w:hAnsi="Arial" w:cs="Arial"/>
          <w:b/>
          <w:bCs/>
          <w:sz w:val="24"/>
          <w:u w:val="single"/>
        </w:rPr>
      </w:pPr>
      <w:r w:rsidRPr="00D21D9B">
        <w:rPr>
          <w:rFonts w:ascii="Arial" w:hAnsi="Arial" w:cs="Arial"/>
          <w:b/>
          <w:bCs/>
          <w:sz w:val="24"/>
          <w:u w:val="single"/>
        </w:rPr>
        <w:t>Servicios personales por pagar a corto plazo</w:t>
      </w:r>
    </w:p>
    <w:p w:rsidR="00166FC5" w:rsidRDefault="00166FC5" w:rsidP="00166FC5">
      <w:pPr>
        <w:pStyle w:val="Prrafodelista"/>
        <w:spacing w:after="0"/>
        <w:ind w:left="0"/>
        <w:contextualSpacing/>
        <w:jc w:val="both"/>
        <w:rPr>
          <w:rFonts w:ascii="Arial" w:hAnsi="Arial" w:cs="Arial"/>
          <w:b/>
          <w:bCs/>
          <w:sz w:val="24"/>
        </w:rPr>
      </w:pPr>
    </w:p>
    <w:p w:rsidR="00166FC5" w:rsidRDefault="00D21D9B" w:rsidP="00166FC5">
      <w:pPr>
        <w:pStyle w:val="Prrafodelista"/>
        <w:spacing w:after="0"/>
        <w:ind w:left="0"/>
        <w:contextualSpacing/>
        <w:jc w:val="both"/>
        <w:rPr>
          <w:rFonts w:ascii="Arial" w:hAnsi="Arial" w:cs="Arial"/>
          <w:b/>
          <w:bCs/>
          <w:sz w:val="24"/>
        </w:rPr>
      </w:pPr>
      <w:r>
        <w:rPr>
          <w:rFonts w:ascii="Arial" w:hAnsi="Arial" w:cs="Arial"/>
          <w:bCs/>
          <w:sz w:val="24"/>
        </w:rPr>
        <w:lastRenderedPageBreak/>
        <w:t xml:space="preserve">17. </w:t>
      </w:r>
      <w:r w:rsidRPr="00D21D9B">
        <w:rPr>
          <w:rFonts w:ascii="Arial" w:hAnsi="Arial" w:cs="Arial"/>
          <w:bCs/>
          <w:sz w:val="24"/>
        </w:rPr>
        <w:t>Se observó que el Ente Público no ha liquidado la aportación patronal al Fondo de Vivienda de los Trabajadores de FOMERREY (</w:t>
      </w:r>
      <w:proofErr w:type="spellStart"/>
      <w:r w:rsidRPr="00D21D9B">
        <w:rPr>
          <w:rFonts w:ascii="Arial" w:hAnsi="Arial" w:cs="Arial"/>
          <w:bCs/>
          <w:sz w:val="24"/>
        </w:rPr>
        <w:t>Fovirrey</w:t>
      </w:r>
      <w:proofErr w:type="spellEnd"/>
      <w:r w:rsidRPr="00D21D9B">
        <w:rPr>
          <w:rFonts w:ascii="Arial" w:hAnsi="Arial" w:cs="Arial"/>
          <w:bCs/>
          <w:sz w:val="24"/>
        </w:rPr>
        <w:t>) por $9</w:t>
      </w:r>
      <w:proofErr w:type="gramStart"/>
      <w:r w:rsidRPr="00D21D9B">
        <w:rPr>
          <w:rFonts w:ascii="Arial" w:hAnsi="Arial" w:cs="Arial"/>
          <w:bCs/>
          <w:sz w:val="24"/>
        </w:rPr>
        <w:t>,191,637</w:t>
      </w:r>
      <w:proofErr w:type="gramEnd"/>
      <w:r w:rsidRPr="00D21D9B">
        <w:rPr>
          <w:rFonts w:ascii="Arial" w:hAnsi="Arial" w:cs="Arial"/>
          <w:bCs/>
          <w:sz w:val="24"/>
        </w:rPr>
        <w:t xml:space="preserve"> y las deducciones efectuadas a los trabajadores vía nómina por concepto de préstamos del Fondo de Vivienda por $7,943,795, contraviniendo a lo establecido en la cláusula Trigésima Novena y Anexo 1 del Contrato Colectivo de Trabajo 2014-2016, según detalle siguiente</w:t>
      </w:r>
      <w:r w:rsidRPr="00D21D9B">
        <w:rPr>
          <w:rFonts w:ascii="Arial" w:hAnsi="Arial" w:cs="Arial"/>
          <w:b/>
          <w:bCs/>
          <w:sz w:val="24"/>
        </w:rPr>
        <w:t>:</w:t>
      </w:r>
    </w:p>
    <w:p w:rsidR="00D21D9B" w:rsidRDefault="00D21D9B" w:rsidP="00166FC5">
      <w:pPr>
        <w:pStyle w:val="Prrafodelista"/>
        <w:spacing w:after="0"/>
        <w:ind w:left="0"/>
        <w:contextualSpacing/>
        <w:jc w:val="both"/>
        <w:rPr>
          <w:rFonts w:ascii="Arial" w:hAnsi="Arial" w:cs="Arial"/>
          <w:b/>
          <w:bCs/>
          <w:sz w:val="24"/>
        </w:rPr>
      </w:pPr>
    </w:p>
    <w:p w:rsidR="00D21D9B" w:rsidRPr="00D21D9B" w:rsidRDefault="00D21D9B" w:rsidP="00166FC5">
      <w:pPr>
        <w:pStyle w:val="Prrafodelista"/>
        <w:spacing w:after="0"/>
        <w:ind w:left="0"/>
        <w:contextualSpacing/>
        <w:jc w:val="both"/>
        <w:rPr>
          <w:rFonts w:ascii="Arial" w:hAnsi="Arial" w:cs="Arial"/>
          <w:bCs/>
          <w:sz w:val="24"/>
        </w:rPr>
      </w:pPr>
      <w:r w:rsidRPr="00D21D9B">
        <w:rPr>
          <w:rFonts w:ascii="Arial" w:hAnsi="Arial" w:cs="Arial"/>
          <w:bCs/>
          <w:noProof/>
          <w:sz w:val="24"/>
          <w:lang w:val="es-MX" w:eastAsia="es-MX"/>
        </w:rPr>
        <w:drawing>
          <wp:inline distT="0" distB="0" distL="0" distR="0">
            <wp:extent cx="5253355" cy="966788"/>
            <wp:effectExtent l="0" t="0" r="444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966788"/>
                    </a:xfrm>
                    <a:prstGeom prst="rect">
                      <a:avLst/>
                    </a:prstGeom>
                    <a:noFill/>
                    <a:ln>
                      <a:noFill/>
                    </a:ln>
                  </pic:spPr>
                </pic:pic>
              </a:graphicData>
            </a:graphic>
          </wp:inline>
        </w:drawing>
      </w:r>
    </w:p>
    <w:p w:rsidR="00D21D9B" w:rsidRDefault="00D21D9B" w:rsidP="00166FC5">
      <w:pPr>
        <w:pStyle w:val="Prrafodelista"/>
        <w:spacing w:after="0"/>
        <w:ind w:left="0"/>
        <w:contextualSpacing/>
        <w:jc w:val="both"/>
        <w:rPr>
          <w:rFonts w:ascii="Arial" w:hAnsi="Arial" w:cs="Arial"/>
          <w:b/>
          <w:bCs/>
          <w:sz w:val="24"/>
        </w:rPr>
      </w:pPr>
    </w:p>
    <w:p w:rsidR="00D21D9B" w:rsidRDefault="00D21D9B" w:rsidP="00166FC5">
      <w:pPr>
        <w:pStyle w:val="Prrafodelista"/>
        <w:spacing w:after="0"/>
        <w:ind w:left="0"/>
        <w:contextualSpacing/>
        <w:jc w:val="both"/>
        <w:rPr>
          <w:rFonts w:ascii="Arial" w:hAnsi="Arial" w:cs="Arial"/>
          <w:b/>
          <w:bCs/>
          <w:sz w:val="24"/>
        </w:rPr>
      </w:pPr>
    </w:p>
    <w:p w:rsidR="00D21D9B" w:rsidRPr="00D21D9B" w:rsidRDefault="00D21D9B" w:rsidP="00A947B1">
      <w:pPr>
        <w:pStyle w:val="Prrafodelista"/>
        <w:spacing w:after="0"/>
        <w:ind w:left="0"/>
        <w:contextualSpacing/>
        <w:jc w:val="both"/>
        <w:rPr>
          <w:rFonts w:ascii="Arial" w:hAnsi="Arial" w:cs="Arial"/>
          <w:b/>
          <w:bCs/>
          <w:sz w:val="24"/>
        </w:rPr>
      </w:pPr>
      <w:r w:rsidRPr="00D21D9B">
        <w:rPr>
          <w:rFonts w:ascii="Arial" w:hAnsi="Arial" w:cs="Arial"/>
          <w:b/>
          <w:bCs/>
          <w:sz w:val="24"/>
        </w:rPr>
        <w:t>Análisis de la Auditoría Superior del Estado</w:t>
      </w:r>
    </w:p>
    <w:p w:rsidR="00A947B1" w:rsidRDefault="00A947B1" w:rsidP="00A947B1">
      <w:pPr>
        <w:pStyle w:val="Prrafodelista"/>
        <w:spacing w:after="0"/>
        <w:ind w:left="0"/>
        <w:contextualSpacing/>
        <w:jc w:val="both"/>
        <w:rPr>
          <w:rFonts w:ascii="Arial" w:hAnsi="Arial" w:cs="Arial"/>
          <w:bCs/>
          <w:sz w:val="24"/>
        </w:rPr>
      </w:pPr>
    </w:p>
    <w:p w:rsidR="00D21D9B" w:rsidRPr="00A947B1" w:rsidRDefault="00D21D9B" w:rsidP="00A947B1">
      <w:pPr>
        <w:pStyle w:val="Prrafodelista"/>
        <w:spacing w:after="0"/>
        <w:ind w:left="0"/>
        <w:contextualSpacing/>
        <w:jc w:val="both"/>
        <w:rPr>
          <w:rFonts w:ascii="Arial" w:hAnsi="Arial" w:cs="Arial"/>
          <w:bCs/>
          <w:sz w:val="24"/>
        </w:rPr>
      </w:pPr>
      <w:r w:rsidRPr="00A947B1">
        <w:rPr>
          <w:rFonts w:ascii="Arial" w:hAnsi="Arial" w:cs="Arial"/>
          <w:bCs/>
          <w:sz w:val="24"/>
        </w:rPr>
        <w:t>Derivado del análisis de la respuesta y documentación presentada por el Ente Público,</w:t>
      </w:r>
      <w:r w:rsidR="00A947B1">
        <w:rPr>
          <w:rFonts w:ascii="Arial" w:hAnsi="Arial" w:cs="Arial"/>
          <w:bCs/>
          <w:sz w:val="24"/>
        </w:rPr>
        <w:t xml:space="preserve"> la Auditoría determinó que esta observación se solventó</w:t>
      </w:r>
      <w:r w:rsidRPr="00A947B1">
        <w:rPr>
          <w:rFonts w:ascii="Arial" w:hAnsi="Arial" w:cs="Arial"/>
          <w:bCs/>
          <w:sz w:val="24"/>
        </w:rPr>
        <w:t xml:space="preserve"> parcialmente, toda vez que presenta solo Tarjeta Informativa en donde solicita a la </w:t>
      </w:r>
      <w:proofErr w:type="spellStart"/>
      <w:r w:rsidRPr="00A947B1">
        <w:rPr>
          <w:rFonts w:ascii="Arial" w:hAnsi="Arial" w:cs="Arial"/>
          <w:bCs/>
          <w:sz w:val="24"/>
        </w:rPr>
        <w:t>Sfytge</w:t>
      </w:r>
      <w:proofErr w:type="spellEnd"/>
      <w:r w:rsidRPr="00A947B1">
        <w:rPr>
          <w:rFonts w:ascii="Arial" w:hAnsi="Arial" w:cs="Arial"/>
          <w:bCs/>
          <w:sz w:val="24"/>
        </w:rPr>
        <w:t xml:space="preserve"> una Solicitud de Suficiencia Presupuestal 2015 y Estatus de ADEFAS.</w:t>
      </w:r>
    </w:p>
    <w:p w:rsidR="00D21D9B" w:rsidRPr="00D21D9B" w:rsidRDefault="00D21D9B" w:rsidP="00D21D9B">
      <w:pPr>
        <w:pStyle w:val="Prrafodelista"/>
        <w:spacing w:after="0"/>
        <w:contextualSpacing/>
        <w:jc w:val="both"/>
        <w:rPr>
          <w:rFonts w:ascii="Arial" w:hAnsi="Arial" w:cs="Arial"/>
          <w:b/>
          <w:bCs/>
          <w:sz w:val="24"/>
        </w:rPr>
      </w:pPr>
    </w:p>
    <w:p w:rsidR="00D21D9B" w:rsidRPr="00D21D9B" w:rsidRDefault="00D21D9B" w:rsidP="00A947B1">
      <w:pPr>
        <w:pStyle w:val="Prrafodelista"/>
        <w:spacing w:after="0"/>
        <w:ind w:left="0" w:hanging="709"/>
        <w:contextualSpacing/>
        <w:jc w:val="both"/>
        <w:rPr>
          <w:rFonts w:ascii="Arial" w:hAnsi="Arial" w:cs="Arial"/>
          <w:b/>
          <w:bCs/>
          <w:sz w:val="24"/>
        </w:rPr>
      </w:pPr>
      <w:r w:rsidRPr="00D21D9B">
        <w:rPr>
          <w:rFonts w:ascii="Arial" w:hAnsi="Arial" w:cs="Arial"/>
          <w:b/>
          <w:bCs/>
          <w:sz w:val="24"/>
        </w:rPr>
        <w:t xml:space="preserve"> </w:t>
      </w:r>
      <w:r w:rsidRPr="00D21D9B">
        <w:rPr>
          <w:rFonts w:ascii="Arial" w:hAnsi="Arial" w:cs="Arial"/>
          <w:b/>
          <w:bCs/>
          <w:sz w:val="24"/>
        </w:rPr>
        <w:tab/>
        <w:t>Acción(es) o recomendación(es) emitida(s)</w:t>
      </w:r>
    </w:p>
    <w:p w:rsidR="00D21D9B" w:rsidRPr="00A947B1" w:rsidRDefault="00D21D9B" w:rsidP="00A947B1">
      <w:pPr>
        <w:pStyle w:val="Prrafodelista"/>
        <w:spacing w:after="0"/>
        <w:ind w:hanging="709"/>
        <w:contextualSpacing/>
        <w:jc w:val="both"/>
        <w:rPr>
          <w:rFonts w:ascii="Arial" w:hAnsi="Arial" w:cs="Arial"/>
          <w:bCs/>
          <w:sz w:val="24"/>
        </w:rPr>
      </w:pPr>
      <w:r w:rsidRPr="00A947B1">
        <w:rPr>
          <w:rFonts w:ascii="Arial" w:hAnsi="Arial" w:cs="Arial"/>
          <w:bCs/>
          <w:sz w:val="24"/>
        </w:rPr>
        <w:t>Recomendaciones en Relación a la Gestión o Control Interno.</w:t>
      </w:r>
    </w:p>
    <w:p w:rsidR="00A947B1" w:rsidRDefault="00A947B1" w:rsidP="00A947B1">
      <w:pPr>
        <w:pStyle w:val="Prrafodelista"/>
        <w:spacing w:after="0"/>
        <w:ind w:left="0"/>
        <w:contextualSpacing/>
        <w:jc w:val="both"/>
        <w:rPr>
          <w:rFonts w:ascii="Arial" w:hAnsi="Arial" w:cs="Arial"/>
          <w:bCs/>
          <w:sz w:val="24"/>
        </w:rPr>
      </w:pPr>
    </w:p>
    <w:p w:rsidR="00D21D9B" w:rsidRPr="00A947B1" w:rsidRDefault="00D21D9B" w:rsidP="00A947B1">
      <w:pPr>
        <w:pStyle w:val="Prrafodelista"/>
        <w:spacing w:after="0"/>
        <w:ind w:left="0"/>
        <w:contextualSpacing/>
        <w:jc w:val="both"/>
        <w:rPr>
          <w:rFonts w:ascii="Arial" w:hAnsi="Arial" w:cs="Arial"/>
          <w:bCs/>
          <w:sz w:val="24"/>
        </w:rPr>
      </w:pPr>
      <w:r w:rsidRPr="00A947B1">
        <w:rPr>
          <w:rFonts w:ascii="Arial" w:hAnsi="Arial" w:cs="Arial"/>
          <w:bCs/>
          <w:sz w:val="24"/>
        </w:rPr>
        <w:t xml:space="preserve">Establecer convenio con la </w:t>
      </w:r>
      <w:proofErr w:type="spellStart"/>
      <w:r w:rsidRPr="00A947B1">
        <w:rPr>
          <w:rFonts w:ascii="Arial" w:hAnsi="Arial" w:cs="Arial"/>
          <w:bCs/>
          <w:sz w:val="24"/>
        </w:rPr>
        <w:t>Sfytge</w:t>
      </w:r>
      <w:proofErr w:type="spellEnd"/>
      <w:r w:rsidRPr="00A947B1">
        <w:rPr>
          <w:rFonts w:ascii="Arial" w:hAnsi="Arial" w:cs="Arial"/>
          <w:bCs/>
          <w:sz w:val="24"/>
        </w:rPr>
        <w:t xml:space="preserve"> para que le suministre las aportaciones necesarias para cumplir con el pago de sus adeudos.</w:t>
      </w:r>
    </w:p>
    <w:p w:rsidR="00D21D9B" w:rsidRPr="00A947B1" w:rsidRDefault="00D21D9B" w:rsidP="00A947B1">
      <w:pPr>
        <w:pStyle w:val="Prrafodelista"/>
        <w:spacing w:after="0"/>
        <w:ind w:left="0" w:hanging="709"/>
        <w:contextualSpacing/>
        <w:jc w:val="both"/>
        <w:rPr>
          <w:rFonts w:ascii="Arial" w:hAnsi="Arial" w:cs="Arial"/>
          <w:b/>
          <w:bCs/>
          <w:sz w:val="24"/>
          <w:u w:val="single"/>
        </w:rPr>
      </w:pPr>
    </w:p>
    <w:p w:rsidR="00D21D9B" w:rsidRPr="00A947B1" w:rsidRDefault="00A947B1" w:rsidP="00166FC5">
      <w:pPr>
        <w:pStyle w:val="Prrafodelista"/>
        <w:spacing w:after="0"/>
        <w:ind w:left="0"/>
        <w:contextualSpacing/>
        <w:jc w:val="both"/>
        <w:rPr>
          <w:rFonts w:ascii="Arial" w:hAnsi="Arial" w:cs="Arial"/>
          <w:b/>
          <w:bCs/>
          <w:sz w:val="24"/>
          <w:u w:val="single"/>
        </w:rPr>
      </w:pPr>
      <w:r w:rsidRPr="00A947B1">
        <w:rPr>
          <w:rFonts w:ascii="Arial" w:hAnsi="Arial" w:cs="Arial"/>
          <w:b/>
          <w:bCs/>
          <w:sz w:val="24"/>
          <w:u w:val="single"/>
        </w:rPr>
        <w:t>Proveedores por pagar a corto plazo</w:t>
      </w:r>
    </w:p>
    <w:p w:rsidR="00D21D9B" w:rsidRDefault="00D21D9B" w:rsidP="00166FC5">
      <w:pPr>
        <w:pStyle w:val="Prrafodelista"/>
        <w:spacing w:after="0"/>
        <w:ind w:left="0"/>
        <w:contextualSpacing/>
        <w:jc w:val="both"/>
        <w:rPr>
          <w:rFonts w:ascii="Arial" w:hAnsi="Arial" w:cs="Arial"/>
          <w:b/>
          <w:bCs/>
          <w:sz w:val="24"/>
        </w:rPr>
      </w:pPr>
    </w:p>
    <w:p w:rsidR="00D21D9B" w:rsidRDefault="00D21D9B" w:rsidP="00166FC5">
      <w:pPr>
        <w:pStyle w:val="Prrafodelista"/>
        <w:spacing w:after="0"/>
        <w:ind w:left="0"/>
        <w:contextualSpacing/>
        <w:jc w:val="both"/>
        <w:rPr>
          <w:rFonts w:ascii="Arial" w:hAnsi="Arial" w:cs="Arial"/>
          <w:b/>
          <w:bCs/>
          <w:sz w:val="24"/>
        </w:rPr>
      </w:pPr>
    </w:p>
    <w:p w:rsidR="00D21D9B" w:rsidRDefault="00A947B1" w:rsidP="00166FC5">
      <w:pPr>
        <w:pStyle w:val="Prrafodelista"/>
        <w:spacing w:after="0"/>
        <w:ind w:left="0"/>
        <w:contextualSpacing/>
        <w:jc w:val="both"/>
        <w:rPr>
          <w:rFonts w:ascii="Arial" w:hAnsi="Arial" w:cs="Arial"/>
          <w:bCs/>
          <w:sz w:val="24"/>
        </w:rPr>
      </w:pPr>
      <w:r>
        <w:rPr>
          <w:rFonts w:ascii="Arial" w:hAnsi="Arial" w:cs="Arial"/>
          <w:bCs/>
          <w:sz w:val="24"/>
        </w:rPr>
        <w:t xml:space="preserve">18. </w:t>
      </w:r>
      <w:r w:rsidRPr="00A947B1">
        <w:rPr>
          <w:rFonts w:ascii="Arial" w:hAnsi="Arial" w:cs="Arial"/>
          <w:bCs/>
          <w:sz w:val="24"/>
        </w:rPr>
        <w:t>Se observó que existen pasivos registrados por valor de $1</w:t>
      </w:r>
      <w:proofErr w:type="gramStart"/>
      <w:r w:rsidRPr="00A947B1">
        <w:rPr>
          <w:rFonts w:ascii="Arial" w:hAnsi="Arial" w:cs="Arial"/>
          <w:bCs/>
          <w:sz w:val="24"/>
        </w:rPr>
        <w:t>,527,784</w:t>
      </w:r>
      <w:proofErr w:type="gramEnd"/>
      <w:r w:rsidRPr="00A947B1">
        <w:rPr>
          <w:rFonts w:ascii="Arial" w:hAnsi="Arial" w:cs="Arial"/>
          <w:bCs/>
          <w:sz w:val="24"/>
        </w:rPr>
        <w:t xml:space="preserve"> que presentan una antigüedad de hasta tres años, a continuación se muestra su integración:</w:t>
      </w:r>
    </w:p>
    <w:p w:rsidR="00A947B1" w:rsidRDefault="00A947B1" w:rsidP="00166FC5">
      <w:pPr>
        <w:pStyle w:val="Prrafodelista"/>
        <w:spacing w:after="0"/>
        <w:ind w:left="0"/>
        <w:contextualSpacing/>
        <w:jc w:val="both"/>
        <w:rPr>
          <w:rFonts w:ascii="Arial" w:hAnsi="Arial" w:cs="Arial"/>
          <w:bCs/>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2"/>
        <w:gridCol w:w="173"/>
        <w:gridCol w:w="779"/>
        <w:gridCol w:w="173"/>
        <w:gridCol w:w="650"/>
        <w:gridCol w:w="173"/>
        <w:gridCol w:w="650"/>
        <w:gridCol w:w="173"/>
        <w:gridCol w:w="794"/>
      </w:tblGrid>
      <w:tr w:rsidR="00A947B1" w:rsidRPr="00A947B1" w:rsidTr="00A947B1">
        <w:trPr>
          <w:tblCellSpacing w:w="15" w:type="dxa"/>
          <w:jc w:val="center"/>
        </w:trPr>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r w:rsidRPr="00A947B1">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r w:rsidRPr="00A947B1">
              <w:rPr>
                <w:rFonts w:ascii="Arial" w:hAnsi="Arial" w:cs="Arial"/>
                <w:b/>
                <w:sz w:val="14"/>
                <w:szCs w:val="14"/>
                <w:u w:val="single"/>
                <w:lang w:val="es-MX" w:eastAsia="es-MX"/>
              </w:rPr>
              <w:t>2012</w:t>
            </w: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r w:rsidRPr="00A947B1">
              <w:rPr>
                <w:rFonts w:ascii="Arial" w:hAnsi="Arial" w:cs="Arial"/>
                <w:b/>
                <w:sz w:val="14"/>
                <w:szCs w:val="14"/>
                <w:u w:val="single"/>
                <w:lang w:val="es-MX" w:eastAsia="es-MX"/>
              </w:rPr>
              <w:t>2013</w:t>
            </w: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r w:rsidRPr="00A947B1">
              <w:rPr>
                <w:rFonts w:ascii="Arial" w:hAnsi="Arial" w:cs="Arial"/>
                <w:b/>
                <w:sz w:val="14"/>
                <w:szCs w:val="14"/>
                <w:u w:val="single"/>
                <w:lang w:val="es-MX" w:eastAsia="es-MX"/>
              </w:rPr>
              <w:t>2014</w:t>
            </w: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b/>
                <w:sz w:val="14"/>
                <w:szCs w:val="14"/>
                <w:u w:val="single"/>
                <w:lang w:val="es-MX" w:eastAsia="es-MX"/>
              </w:rPr>
            </w:pPr>
            <w:r w:rsidRPr="00A947B1">
              <w:rPr>
                <w:rFonts w:ascii="Arial" w:hAnsi="Arial" w:cs="Arial"/>
                <w:b/>
                <w:sz w:val="14"/>
                <w:szCs w:val="14"/>
                <w:u w:val="single"/>
                <w:lang w:val="es-MX" w:eastAsia="es-MX"/>
              </w:rPr>
              <w:t>Total</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proofErr w:type="spellStart"/>
            <w:r w:rsidRPr="00A947B1">
              <w:rPr>
                <w:rFonts w:ascii="Arial" w:hAnsi="Arial" w:cs="Arial"/>
                <w:sz w:val="14"/>
                <w:szCs w:val="14"/>
                <w:lang w:val="es-MX" w:eastAsia="es-MX"/>
              </w:rPr>
              <w:t>Traust</w:t>
            </w:r>
            <w:proofErr w:type="spellEnd"/>
            <w:r w:rsidRPr="00A947B1">
              <w:rPr>
                <w:rFonts w:ascii="Arial" w:hAnsi="Arial" w:cs="Arial"/>
                <w:sz w:val="14"/>
                <w:szCs w:val="14"/>
                <w:lang w:val="es-MX" w:eastAsia="es-MX"/>
              </w:rPr>
              <w:t xml:space="preserve"> </w:t>
            </w:r>
            <w:proofErr w:type="spellStart"/>
            <w:r w:rsidRPr="00A947B1">
              <w:rPr>
                <w:rFonts w:ascii="Arial" w:hAnsi="Arial" w:cs="Arial"/>
                <w:sz w:val="14"/>
                <w:szCs w:val="14"/>
                <w:lang w:val="es-MX" w:eastAsia="es-MX"/>
              </w:rPr>
              <w:t>Accounting</w:t>
            </w:r>
            <w:proofErr w:type="spellEnd"/>
            <w:r w:rsidRPr="00A947B1">
              <w:rPr>
                <w:rFonts w:ascii="Arial" w:hAnsi="Arial" w:cs="Arial"/>
                <w:sz w:val="14"/>
                <w:szCs w:val="14"/>
                <w:lang w:val="es-MX" w:eastAsia="es-MX"/>
              </w:rPr>
              <w:t>, S. de R.L. de C.V.</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921,864</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921,864</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Experiencia en Tecnología de Informática, S.A. de C.V.</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52,200</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52,200</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Industrias Vigo, S.A. de C.V.</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66,543</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66,543</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Servicios de Agua y Drenaje de Monterrey</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29,000</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61,589</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 xml:space="preserve">José Eduardo Gómez </w:t>
            </w:r>
            <w:proofErr w:type="spellStart"/>
            <w:r w:rsidRPr="00A947B1">
              <w:rPr>
                <w:rFonts w:ascii="Arial" w:hAnsi="Arial" w:cs="Arial"/>
                <w:sz w:val="14"/>
                <w:szCs w:val="14"/>
                <w:lang w:val="es-MX" w:eastAsia="es-MX"/>
              </w:rPr>
              <w:t>Farias</w:t>
            </w:r>
            <w:proofErr w:type="spellEnd"/>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32,589</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70,288</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Sepulveda Zambrano, S.C.</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165,300</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110,200</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70,288</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275,500</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proofErr w:type="spellStart"/>
            <w:r w:rsidRPr="00A947B1">
              <w:rPr>
                <w:rFonts w:ascii="Arial" w:hAnsi="Arial" w:cs="Arial"/>
                <w:sz w:val="14"/>
                <w:szCs w:val="14"/>
                <w:lang w:val="es-MX" w:eastAsia="es-MX"/>
              </w:rPr>
              <w:t>Cititour</w:t>
            </w:r>
            <w:proofErr w:type="spellEnd"/>
            <w:r w:rsidRPr="00A947B1">
              <w:rPr>
                <w:rFonts w:ascii="Arial" w:hAnsi="Arial" w:cs="Arial"/>
                <w:sz w:val="14"/>
                <w:szCs w:val="14"/>
                <w:lang w:val="es-MX" w:eastAsia="es-MX"/>
              </w:rPr>
              <w:t>, S.A. de C.V.</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79,800</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79,800</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Total</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1,139,364</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285,543</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102,877</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1,527,784</w:t>
            </w:r>
          </w:p>
        </w:tc>
      </w:tr>
    </w:tbl>
    <w:p w:rsidR="00A947B1" w:rsidRPr="00A947B1" w:rsidRDefault="00A947B1" w:rsidP="00166FC5">
      <w:pPr>
        <w:pStyle w:val="Prrafodelista"/>
        <w:spacing w:after="0"/>
        <w:ind w:left="0"/>
        <w:contextualSpacing/>
        <w:jc w:val="both"/>
        <w:rPr>
          <w:rFonts w:ascii="Arial" w:hAnsi="Arial" w:cs="Arial"/>
          <w:bCs/>
          <w:sz w:val="24"/>
        </w:rPr>
      </w:pPr>
    </w:p>
    <w:p w:rsidR="00A947B1" w:rsidRPr="00A947B1" w:rsidRDefault="00A947B1" w:rsidP="00166FC5">
      <w:pPr>
        <w:pStyle w:val="Prrafodelista"/>
        <w:spacing w:after="0"/>
        <w:ind w:left="0"/>
        <w:contextualSpacing/>
        <w:jc w:val="both"/>
        <w:rPr>
          <w:rFonts w:ascii="Arial" w:hAnsi="Arial" w:cs="Arial"/>
          <w:bCs/>
          <w:sz w:val="24"/>
        </w:rPr>
      </w:pPr>
      <w:r w:rsidRPr="00A947B1">
        <w:rPr>
          <w:rFonts w:ascii="Arial" w:hAnsi="Arial" w:cs="Arial"/>
          <w:bCs/>
          <w:sz w:val="24"/>
        </w:rPr>
        <w:t>En eventos posteriores se comprobó que al 31 de marzo de 2016 se efectuaron pagos por importe de $33,686 que representan un 2% del total.</w:t>
      </w:r>
    </w:p>
    <w:p w:rsidR="00D21D9B" w:rsidRDefault="00D21D9B" w:rsidP="00166FC5">
      <w:pPr>
        <w:pStyle w:val="Prrafodelista"/>
        <w:spacing w:after="0"/>
        <w:ind w:left="0"/>
        <w:contextualSpacing/>
        <w:jc w:val="both"/>
        <w:rPr>
          <w:rFonts w:ascii="Arial" w:hAnsi="Arial" w:cs="Arial"/>
          <w:b/>
          <w:bCs/>
          <w:sz w:val="24"/>
        </w:rPr>
      </w:pPr>
    </w:p>
    <w:p w:rsidR="00A947B1" w:rsidRPr="00A947B1" w:rsidRDefault="00A947B1" w:rsidP="00A947B1">
      <w:pPr>
        <w:pStyle w:val="Prrafodelista"/>
        <w:spacing w:after="0"/>
        <w:ind w:left="0"/>
        <w:contextualSpacing/>
        <w:jc w:val="both"/>
        <w:rPr>
          <w:rFonts w:ascii="Arial" w:hAnsi="Arial" w:cs="Arial"/>
          <w:b/>
          <w:bCs/>
          <w:sz w:val="24"/>
        </w:rPr>
      </w:pPr>
      <w:r w:rsidRPr="00A947B1">
        <w:rPr>
          <w:rFonts w:ascii="Arial" w:hAnsi="Arial" w:cs="Arial"/>
          <w:b/>
          <w:bCs/>
          <w:sz w:val="24"/>
        </w:rPr>
        <w:t>Acción(es) o recomendación(es) emitida(s)</w:t>
      </w:r>
    </w:p>
    <w:p w:rsidR="00A947B1" w:rsidRPr="00A947B1" w:rsidRDefault="00A947B1" w:rsidP="00A947B1">
      <w:pPr>
        <w:pStyle w:val="Prrafodelista"/>
        <w:spacing w:after="0"/>
        <w:ind w:left="0"/>
        <w:contextualSpacing/>
        <w:jc w:val="both"/>
        <w:rPr>
          <w:rFonts w:ascii="Arial" w:hAnsi="Arial" w:cs="Arial"/>
          <w:bCs/>
          <w:i/>
          <w:sz w:val="24"/>
        </w:rPr>
      </w:pPr>
      <w:r w:rsidRPr="00A947B1">
        <w:rPr>
          <w:rFonts w:ascii="Arial" w:hAnsi="Arial" w:cs="Arial"/>
          <w:bCs/>
          <w:i/>
          <w:sz w:val="24"/>
        </w:rPr>
        <w:t>Recomendaciones en Relación a la Gestión o Control Interno.</w:t>
      </w:r>
    </w:p>
    <w:p w:rsidR="00D21D9B" w:rsidRDefault="00D21D9B" w:rsidP="00166FC5">
      <w:pPr>
        <w:pStyle w:val="Prrafodelista"/>
        <w:spacing w:after="0"/>
        <w:ind w:left="0"/>
        <w:contextualSpacing/>
        <w:jc w:val="both"/>
        <w:rPr>
          <w:rFonts w:ascii="Arial" w:hAnsi="Arial" w:cs="Arial"/>
          <w:b/>
          <w:bCs/>
          <w:sz w:val="24"/>
        </w:rPr>
      </w:pPr>
    </w:p>
    <w:p w:rsidR="00A947B1" w:rsidRDefault="00A947B1" w:rsidP="00166FC5">
      <w:pPr>
        <w:pStyle w:val="Prrafodelista"/>
        <w:spacing w:after="0"/>
        <w:ind w:left="0"/>
        <w:contextualSpacing/>
        <w:jc w:val="both"/>
        <w:rPr>
          <w:rFonts w:ascii="Arial" w:hAnsi="Arial" w:cs="Arial"/>
          <w:b/>
          <w:bCs/>
          <w:sz w:val="24"/>
        </w:rPr>
      </w:pPr>
    </w:p>
    <w:p w:rsidR="00D21D9B" w:rsidRPr="00A947B1" w:rsidRDefault="00A947B1" w:rsidP="00166FC5">
      <w:pPr>
        <w:pStyle w:val="Prrafodelista"/>
        <w:spacing w:after="0"/>
        <w:ind w:left="0"/>
        <w:contextualSpacing/>
        <w:jc w:val="both"/>
        <w:rPr>
          <w:rFonts w:ascii="Arial" w:hAnsi="Arial" w:cs="Arial"/>
          <w:b/>
          <w:bCs/>
          <w:sz w:val="24"/>
          <w:u w:val="single"/>
        </w:rPr>
      </w:pPr>
      <w:r w:rsidRPr="00A947B1">
        <w:rPr>
          <w:rFonts w:ascii="Arial" w:hAnsi="Arial" w:cs="Arial"/>
          <w:b/>
          <w:bCs/>
          <w:sz w:val="24"/>
          <w:u w:val="single"/>
        </w:rPr>
        <w:t>Contratistas por obras públicas por pagar a corto plazo</w:t>
      </w:r>
    </w:p>
    <w:p w:rsidR="00D21D9B" w:rsidRDefault="00D21D9B" w:rsidP="00166FC5">
      <w:pPr>
        <w:pStyle w:val="Prrafodelista"/>
        <w:spacing w:after="0"/>
        <w:ind w:left="0"/>
        <w:contextualSpacing/>
        <w:jc w:val="both"/>
        <w:rPr>
          <w:rFonts w:ascii="Arial" w:hAnsi="Arial" w:cs="Arial"/>
          <w:b/>
          <w:bCs/>
          <w:sz w:val="24"/>
        </w:rPr>
      </w:pPr>
    </w:p>
    <w:p w:rsidR="00D21D9B" w:rsidRDefault="00D21D9B" w:rsidP="00166FC5">
      <w:pPr>
        <w:pStyle w:val="Prrafodelista"/>
        <w:spacing w:after="0"/>
        <w:ind w:left="0"/>
        <w:contextualSpacing/>
        <w:jc w:val="both"/>
        <w:rPr>
          <w:rFonts w:ascii="Arial" w:hAnsi="Arial" w:cs="Arial"/>
          <w:b/>
          <w:bCs/>
          <w:sz w:val="24"/>
        </w:rPr>
      </w:pPr>
    </w:p>
    <w:p w:rsidR="00D21D9B" w:rsidRPr="00A947B1" w:rsidRDefault="00A947B1" w:rsidP="00166FC5">
      <w:pPr>
        <w:pStyle w:val="Prrafodelista"/>
        <w:spacing w:after="0"/>
        <w:ind w:left="0"/>
        <w:contextualSpacing/>
        <w:jc w:val="both"/>
        <w:rPr>
          <w:rFonts w:ascii="Arial" w:hAnsi="Arial" w:cs="Arial"/>
          <w:bCs/>
          <w:sz w:val="24"/>
        </w:rPr>
      </w:pPr>
      <w:r>
        <w:rPr>
          <w:rFonts w:ascii="Arial" w:hAnsi="Arial" w:cs="Arial"/>
          <w:bCs/>
          <w:sz w:val="24"/>
        </w:rPr>
        <w:t xml:space="preserve">19. </w:t>
      </w:r>
      <w:r w:rsidRPr="00A947B1">
        <w:rPr>
          <w:rFonts w:ascii="Arial" w:hAnsi="Arial" w:cs="Arial"/>
          <w:bCs/>
          <w:sz w:val="24"/>
        </w:rPr>
        <w:t>Observamos que el Ente Público tiene pasivos registrados por valor de $11</w:t>
      </w:r>
      <w:proofErr w:type="gramStart"/>
      <w:r w:rsidRPr="00A947B1">
        <w:rPr>
          <w:rFonts w:ascii="Arial" w:hAnsi="Arial" w:cs="Arial"/>
          <w:bCs/>
          <w:sz w:val="24"/>
        </w:rPr>
        <w:t>,099,047</w:t>
      </w:r>
      <w:proofErr w:type="gramEnd"/>
      <w:r w:rsidRPr="00A947B1">
        <w:rPr>
          <w:rFonts w:ascii="Arial" w:hAnsi="Arial" w:cs="Arial"/>
          <w:bCs/>
          <w:sz w:val="24"/>
        </w:rPr>
        <w:t xml:space="preserve"> que presentan una antigüedad de hasta nueve años, los cuales se citan a continuación:</w:t>
      </w:r>
    </w:p>
    <w:p w:rsidR="00D21D9B" w:rsidRDefault="00D21D9B" w:rsidP="00166FC5">
      <w:pPr>
        <w:pStyle w:val="Prrafodelista"/>
        <w:spacing w:after="0"/>
        <w:ind w:left="0"/>
        <w:contextualSpacing/>
        <w:jc w:val="both"/>
        <w:rPr>
          <w:rFonts w:ascii="Arial" w:hAnsi="Arial" w:cs="Arial"/>
          <w:b/>
          <w:bCs/>
          <w:sz w:val="24"/>
        </w:rPr>
      </w:pPr>
    </w:p>
    <w:p w:rsidR="00A947B1" w:rsidRDefault="00A947B1" w:rsidP="00166FC5">
      <w:pPr>
        <w:pStyle w:val="Prrafodelista"/>
        <w:spacing w:after="0"/>
        <w:ind w:left="0"/>
        <w:contextualSpacing/>
        <w:jc w:val="both"/>
        <w:rPr>
          <w:rFonts w:ascii="Arial" w:hAnsi="Arial" w:cs="Arial"/>
          <w:b/>
          <w:bCs/>
          <w:sz w:val="24"/>
        </w:rPr>
      </w:pPr>
    </w:p>
    <w:tbl>
      <w:tblPr>
        <w:tblW w:w="368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6"/>
        <w:gridCol w:w="3216"/>
        <w:gridCol w:w="221"/>
        <w:gridCol w:w="1165"/>
      </w:tblGrid>
      <w:tr w:rsidR="00A947B1" w:rsidRPr="00A947B1" w:rsidTr="00A947B1">
        <w:trPr>
          <w:tblCellSpacing w:w="15" w:type="dxa"/>
          <w:jc w:val="center"/>
        </w:trPr>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sz w:val="14"/>
                <w:szCs w:val="14"/>
                <w:u w:val="single"/>
                <w:lang w:val="es-MX" w:eastAsia="es-MX"/>
              </w:rPr>
            </w:pPr>
            <w:r w:rsidRPr="00A947B1">
              <w:rPr>
                <w:rFonts w:ascii="Arial" w:hAnsi="Arial" w:cs="Arial"/>
                <w:sz w:val="14"/>
                <w:szCs w:val="14"/>
                <w:u w:val="single"/>
                <w:lang w:val="es-MX" w:eastAsia="es-MX"/>
              </w:rPr>
              <w:t>Año de registro</w:t>
            </w:r>
          </w:p>
        </w:tc>
        <w:tc>
          <w:tcPr>
            <w:tcW w:w="2660" w:type="pct"/>
            <w:shd w:val="clear" w:color="auto" w:fill="A6A6A6" w:themeFill="background1" w:themeFillShade="A6"/>
            <w:vAlign w:val="center"/>
            <w:hideMark/>
          </w:tcPr>
          <w:p w:rsidR="00A947B1" w:rsidRPr="00A947B1" w:rsidRDefault="00A947B1" w:rsidP="00A947B1">
            <w:pPr>
              <w:jc w:val="center"/>
              <w:rPr>
                <w:rFonts w:ascii="Arial" w:hAnsi="Arial" w:cs="Arial"/>
                <w:sz w:val="14"/>
                <w:szCs w:val="14"/>
                <w:u w:val="single"/>
                <w:lang w:val="es-MX" w:eastAsia="es-MX"/>
              </w:rPr>
            </w:pPr>
            <w:r w:rsidRPr="00A947B1">
              <w:rPr>
                <w:rFonts w:ascii="Arial" w:hAnsi="Arial" w:cs="Arial"/>
                <w:sz w:val="14"/>
                <w:szCs w:val="14"/>
                <w:u w:val="single"/>
                <w:lang w:val="es-MX" w:eastAsia="es-MX"/>
              </w:rPr>
              <w:t>Contratista</w:t>
            </w: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A947B1" w:rsidRPr="00A947B1" w:rsidRDefault="00A947B1" w:rsidP="00A947B1">
            <w:pPr>
              <w:jc w:val="center"/>
              <w:rPr>
                <w:rFonts w:ascii="Arial" w:hAnsi="Arial" w:cs="Arial"/>
                <w:sz w:val="14"/>
                <w:szCs w:val="14"/>
                <w:u w:val="single"/>
                <w:lang w:val="es-MX" w:eastAsia="es-MX"/>
              </w:rPr>
            </w:pPr>
            <w:r w:rsidRPr="00A947B1">
              <w:rPr>
                <w:rFonts w:ascii="Arial" w:hAnsi="Arial" w:cs="Arial"/>
                <w:sz w:val="14"/>
                <w:szCs w:val="14"/>
                <w:u w:val="single"/>
                <w:lang w:val="es-MX" w:eastAsia="es-MX"/>
              </w:rPr>
              <w:t>Importe</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2011</w:t>
            </w:r>
          </w:p>
        </w:tc>
        <w:tc>
          <w:tcPr>
            <w:tcW w:w="2660" w:type="pct"/>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Constructora Coss Bu, S.A. de C.V.</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5,482,206</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lastRenderedPageBreak/>
              <w:t>2011</w:t>
            </w:r>
          </w:p>
        </w:tc>
        <w:tc>
          <w:tcPr>
            <w:tcW w:w="2660" w:type="pct"/>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Productos y Estructuras de Concreto, S.A. de C.V.</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1,141,868</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2009</w:t>
            </w:r>
          </w:p>
        </w:tc>
        <w:tc>
          <w:tcPr>
            <w:tcW w:w="2660" w:type="pct"/>
            <w:vAlign w:val="center"/>
            <w:hideMark/>
          </w:tcPr>
          <w:p w:rsidR="00A947B1" w:rsidRPr="00A947B1" w:rsidRDefault="00A947B1" w:rsidP="00A947B1">
            <w:pPr>
              <w:jc w:val="center"/>
              <w:rPr>
                <w:rFonts w:ascii="Arial" w:hAnsi="Arial" w:cs="Arial"/>
                <w:sz w:val="14"/>
                <w:szCs w:val="14"/>
                <w:lang w:val="es-MX" w:eastAsia="es-MX"/>
              </w:rPr>
            </w:pPr>
            <w:proofErr w:type="spellStart"/>
            <w:r w:rsidRPr="00A947B1">
              <w:rPr>
                <w:rFonts w:ascii="Arial" w:hAnsi="Arial" w:cs="Arial"/>
                <w:sz w:val="14"/>
                <w:szCs w:val="14"/>
                <w:lang w:val="es-MX" w:eastAsia="es-MX"/>
              </w:rPr>
              <w:t>Constru</w:t>
            </w:r>
            <w:proofErr w:type="spellEnd"/>
            <w:r w:rsidRPr="00A947B1">
              <w:rPr>
                <w:rFonts w:ascii="Arial" w:hAnsi="Arial" w:cs="Arial"/>
                <w:sz w:val="14"/>
                <w:szCs w:val="14"/>
                <w:lang w:val="es-MX" w:eastAsia="es-MX"/>
              </w:rPr>
              <w:t xml:space="preserve"> </w:t>
            </w:r>
            <w:proofErr w:type="spellStart"/>
            <w:r w:rsidRPr="00A947B1">
              <w:rPr>
                <w:rFonts w:ascii="Arial" w:hAnsi="Arial" w:cs="Arial"/>
                <w:sz w:val="14"/>
                <w:szCs w:val="14"/>
                <w:lang w:val="es-MX" w:eastAsia="es-MX"/>
              </w:rPr>
              <w:t>Shensa</w:t>
            </w:r>
            <w:proofErr w:type="spellEnd"/>
            <w:r w:rsidRPr="00A947B1">
              <w:rPr>
                <w:rFonts w:ascii="Arial" w:hAnsi="Arial" w:cs="Arial"/>
                <w:sz w:val="14"/>
                <w:szCs w:val="14"/>
                <w:lang w:val="es-MX" w:eastAsia="es-MX"/>
              </w:rPr>
              <w:t>, S.A. de C.V.</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697,714</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2006</w:t>
            </w:r>
          </w:p>
        </w:tc>
        <w:tc>
          <w:tcPr>
            <w:tcW w:w="2660" w:type="pct"/>
            <w:vAlign w:val="center"/>
            <w:hideMark/>
          </w:tcPr>
          <w:p w:rsidR="00A947B1" w:rsidRPr="00A947B1" w:rsidRDefault="00A947B1" w:rsidP="00A947B1">
            <w:pPr>
              <w:jc w:val="center"/>
              <w:rPr>
                <w:rFonts w:ascii="Arial" w:hAnsi="Arial" w:cs="Arial"/>
                <w:sz w:val="14"/>
                <w:szCs w:val="14"/>
                <w:lang w:val="es-MX" w:eastAsia="es-MX"/>
              </w:rPr>
            </w:pPr>
            <w:proofErr w:type="spellStart"/>
            <w:r w:rsidRPr="00A947B1">
              <w:rPr>
                <w:rFonts w:ascii="Arial" w:hAnsi="Arial" w:cs="Arial"/>
                <w:sz w:val="14"/>
                <w:szCs w:val="14"/>
                <w:lang w:val="es-MX" w:eastAsia="es-MX"/>
              </w:rPr>
              <w:t>Gemar</w:t>
            </w:r>
            <w:proofErr w:type="spellEnd"/>
            <w:r w:rsidRPr="00A947B1">
              <w:rPr>
                <w:rFonts w:ascii="Arial" w:hAnsi="Arial" w:cs="Arial"/>
                <w:sz w:val="14"/>
                <w:szCs w:val="14"/>
                <w:lang w:val="es-MX" w:eastAsia="es-MX"/>
              </w:rPr>
              <w:t xml:space="preserve"> Asfaltos, S.A. de C.V.</w:t>
            </w:r>
          </w:p>
        </w:tc>
        <w:tc>
          <w:tcPr>
            <w:tcW w:w="0" w:type="auto"/>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3,777,259</w:t>
            </w:r>
          </w:p>
        </w:tc>
      </w:tr>
      <w:tr w:rsidR="00A947B1" w:rsidRPr="00A947B1" w:rsidTr="00A947B1">
        <w:trPr>
          <w:tblCellSpacing w:w="15" w:type="dxa"/>
          <w:jc w:val="center"/>
        </w:trPr>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Total</w:t>
            </w:r>
          </w:p>
        </w:tc>
        <w:tc>
          <w:tcPr>
            <w:tcW w:w="2660" w:type="pct"/>
            <w:vAlign w:val="center"/>
            <w:hideMark/>
          </w:tcPr>
          <w:p w:rsidR="00A947B1" w:rsidRPr="00A947B1" w:rsidRDefault="00A947B1" w:rsidP="00A947B1">
            <w:pPr>
              <w:jc w:val="center"/>
              <w:rPr>
                <w:rFonts w:ascii="Arial" w:hAnsi="Arial" w:cs="Arial"/>
                <w:sz w:val="14"/>
                <w:szCs w:val="14"/>
                <w:lang w:val="es-MX" w:eastAsia="es-MX"/>
              </w:rPr>
            </w:pP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w:t>
            </w:r>
          </w:p>
        </w:tc>
        <w:tc>
          <w:tcPr>
            <w:tcW w:w="0" w:type="auto"/>
            <w:vAlign w:val="center"/>
            <w:hideMark/>
          </w:tcPr>
          <w:p w:rsidR="00A947B1" w:rsidRPr="00A947B1" w:rsidRDefault="00A947B1" w:rsidP="00A947B1">
            <w:pPr>
              <w:jc w:val="center"/>
              <w:rPr>
                <w:rFonts w:ascii="Arial" w:hAnsi="Arial" w:cs="Arial"/>
                <w:sz w:val="14"/>
                <w:szCs w:val="14"/>
                <w:lang w:val="es-MX" w:eastAsia="es-MX"/>
              </w:rPr>
            </w:pPr>
            <w:r w:rsidRPr="00A947B1">
              <w:rPr>
                <w:rFonts w:ascii="Arial" w:hAnsi="Arial" w:cs="Arial"/>
                <w:sz w:val="14"/>
                <w:szCs w:val="14"/>
                <w:lang w:val="es-MX" w:eastAsia="es-MX"/>
              </w:rPr>
              <w:t>11,099,047</w:t>
            </w:r>
          </w:p>
        </w:tc>
      </w:tr>
    </w:tbl>
    <w:p w:rsidR="00A947B1" w:rsidRDefault="00A947B1" w:rsidP="00166FC5">
      <w:pPr>
        <w:pStyle w:val="Prrafodelista"/>
        <w:spacing w:after="0"/>
        <w:ind w:left="0"/>
        <w:contextualSpacing/>
        <w:jc w:val="both"/>
        <w:rPr>
          <w:rFonts w:ascii="Arial" w:hAnsi="Arial" w:cs="Arial"/>
          <w:b/>
          <w:bCs/>
          <w:sz w:val="24"/>
        </w:rPr>
      </w:pPr>
    </w:p>
    <w:p w:rsidR="00A947B1" w:rsidRPr="00A947B1" w:rsidRDefault="00A947B1" w:rsidP="00166FC5">
      <w:pPr>
        <w:pStyle w:val="Prrafodelista"/>
        <w:spacing w:after="0"/>
        <w:ind w:left="0"/>
        <w:contextualSpacing/>
        <w:jc w:val="both"/>
        <w:rPr>
          <w:rFonts w:ascii="Arial" w:hAnsi="Arial" w:cs="Arial"/>
          <w:bCs/>
          <w:sz w:val="24"/>
        </w:rPr>
      </w:pPr>
      <w:r w:rsidRPr="00A947B1">
        <w:rPr>
          <w:rFonts w:ascii="Arial" w:hAnsi="Arial" w:cs="Arial"/>
          <w:bCs/>
          <w:sz w:val="24"/>
        </w:rPr>
        <w:t>En revisión de eventos posteriores observamos que al 31 de marzo de 2016 no han sido liquidados ni depurados.</w:t>
      </w:r>
    </w:p>
    <w:p w:rsidR="00D21D9B" w:rsidRDefault="00D21D9B" w:rsidP="00166FC5">
      <w:pPr>
        <w:pStyle w:val="Prrafodelista"/>
        <w:spacing w:after="0"/>
        <w:ind w:left="0"/>
        <w:contextualSpacing/>
        <w:jc w:val="both"/>
        <w:rPr>
          <w:rFonts w:ascii="Arial" w:hAnsi="Arial" w:cs="Arial"/>
          <w:b/>
          <w:bCs/>
          <w:sz w:val="24"/>
        </w:rPr>
      </w:pPr>
    </w:p>
    <w:p w:rsidR="00A947B1" w:rsidRPr="00A947B1" w:rsidRDefault="00A947B1" w:rsidP="00A947B1">
      <w:pPr>
        <w:pStyle w:val="Prrafodelista"/>
        <w:spacing w:after="0"/>
        <w:ind w:left="0" w:hanging="567"/>
        <w:contextualSpacing/>
        <w:jc w:val="both"/>
        <w:rPr>
          <w:rFonts w:ascii="Arial" w:hAnsi="Arial" w:cs="Arial"/>
          <w:b/>
          <w:bCs/>
          <w:sz w:val="24"/>
        </w:rPr>
      </w:pPr>
      <w:r w:rsidRPr="00A947B1">
        <w:rPr>
          <w:rFonts w:ascii="Arial" w:hAnsi="Arial" w:cs="Arial"/>
          <w:b/>
          <w:bCs/>
          <w:sz w:val="24"/>
        </w:rPr>
        <w:tab/>
        <w:t>Análisis de la Auditoría Superior del Estado</w:t>
      </w:r>
    </w:p>
    <w:p w:rsidR="00A947B1" w:rsidRDefault="00A947B1" w:rsidP="00A947B1">
      <w:pPr>
        <w:pStyle w:val="Prrafodelista"/>
        <w:spacing w:after="0"/>
        <w:ind w:left="0"/>
        <w:contextualSpacing/>
        <w:jc w:val="both"/>
        <w:rPr>
          <w:rFonts w:ascii="Arial" w:hAnsi="Arial" w:cs="Arial"/>
          <w:bCs/>
          <w:sz w:val="24"/>
        </w:rPr>
      </w:pPr>
    </w:p>
    <w:p w:rsidR="00A947B1" w:rsidRPr="00A947B1" w:rsidRDefault="00A947B1" w:rsidP="00A947B1">
      <w:pPr>
        <w:pStyle w:val="Prrafodelista"/>
        <w:spacing w:after="0"/>
        <w:ind w:left="0"/>
        <w:contextualSpacing/>
        <w:jc w:val="both"/>
        <w:rPr>
          <w:rFonts w:ascii="Arial" w:hAnsi="Arial" w:cs="Arial"/>
          <w:bCs/>
          <w:sz w:val="24"/>
        </w:rPr>
      </w:pPr>
      <w:r w:rsidRPr="00A947B1">
        <w:rPr>
          <w:rFonts w:ascii="Arial" w:hAnsi="Arial" w:cs="Arial"/>
          <w:bCs/>
          <w:sz w:val="24"/>
        </w:rPr>
        <w:t>Derivado del análisis de la respuesta y documentación presentada por el Titular y Extitular del Ente Público,</w:t>
      </w:r>
      <w:r>
        <w:rPr>
          <w:rFonts w:ascii="Arial" w:hAnsi="Arial" w:cs="Arial"/>
          <w:bCs/>
          <w:sz w:val="24"/>
        </w:rPr>
        <w:t xml:space="preserve"> la Auditoría determinó que esta  observación se solventó</w:t>
      </w:r>
      <w:r w:rsidRPr="00A947B1">
        <w:rPr>
          <w:rFonts w:ascii="Arial" w:hAnsi="Arial" w:cs="Arial"/>
          <w:bCs/>
          <w:sz w:val="24"/>
        </w:rPr>
        <w:t xml:space="preserve"> parcialmente, debido a que no proporcionó evidencia documental que demuestre el pago de sus adeudos a Constructora Coss Bu, S.A. de C.V. y a Productos y Estructuras de Concreto, S.A. de C.V.</w:t>
      </w:r>
    </w:p>
    <w:p w:rsidR="00A947B1" w:rsidRPr="00A947B1" w:rsidRDefault="00A947B1" w:rsidP="00A947B1">
      <w:pPr>
        <w:pStyle w:val="Prrafodelista"/>
        <w:spacing w:after="0"/>
        <w:ind w:hanging="567"/>
        <w:contextualSpacing/>
        <w:jc w:val="both"/>
        <w:rPr>
          <w:rFonts w:ascii="Arial" w:hAnsi="Arial" w:cs="Arial"/>
          <w:b/>
          <w:bCs/>
          <w:sz w:val="24"/>
        </w:rPr>
      </w:pPr>
    </w:p>
    <w:p w:rsidR="00A947B1" w:rsidRPr="00A947B1" w:rsidRDefault="00A947B1" w:rsidP="00A947B1">
      <w:pPr>
        <w:pStyle w:val="Prrafodelista"/>
        <w:spacing w:after="0"/>
        <w:ind w:left="567" w:hanging="567"/>
        <w:contextualSpacing/>
        <w:jc w:val="both"/>
        <w:rPr>
          <w:rFonts w:ascii="Arial" w:hAnsi="Arial" w:cs="Arial"/>
          <w:b/>
          <w:bCs/>
          <w:sz w:val="24"/>
        </w:rPr>
      </w:pPr>
      <w:r w:rsidRPr="00A947B1">
        <w:rPr>
          <w:rFonts w:ascii="Arial" w:hAnsi="Arial" w:cs="Arial"/>
          <w:b/>
          <w:bCs/>
          <w:sz w:val="24"/>
        </w:rPr>
        <w:t>Acción(es) o recomendación(es) emitida(s)</w:t>
      </w:r>
    </w:p>
    <w:p w:rsidR="00A947B1" w:rsidRPr="00A947B1" w:rsidRDefault="00A947B1" w:rsidP="00A947B1">
      <w:pPr>
        <w:pStyle w:val="Prrafodelista"/>
        <w:spacing w:after="0"/>
        <w:ind w:left="567" w:hanging="567"/>
        <w:contextualSpacing/>
        <w:jc w:val="both"/>
        <w:rPr>
          <w:rFonts w:ascii="Arial" w:hAnsi="Arial" w:cs="Arial"/>
          <w:bCs/>
          <w:i/>
          <w:sz w:val="24"/>
        </w:rPr>
      </w:pPr>
      <w:r w:rsidRPr="00A947B1">
        <w:rPr>
          <w:rFonts w:ascii="Arial" w:hAnsi="Arial" w:cs="Arial"/>
          <w:bCs/>
          <w:i/>
          <w:sz w:val="24"/>
        </w:rPr>
        <w:t>Recomendaciones en Relación a la Gestión o Control Interno.</w:t>
      </w:r>
    </w:p>
    <w:p w:rsidR="00A947B1" w:rsidRDefault="00A947B1" w:rsidP="00A947B1">
      <w:pPr>
        <w:pStyle w:val="Prrafodelista"/>
        <w:spacing w:after="0"/>
        <w:ind w:left="567"/>
        <w:contextualSpacing/>
        <w:jc w:val="both"/>
        <w:rPr>
          <w:rFonts w:ascii="Arial" w:hAnsi="Arial" w:cs="Arial"/>
          <w:bCs/>
          <w:sz w:val="24"/>
        </w:rPr>
      </w:pPr>
    </w:p>
    <w:p w:rsidR="00A947B1" w:rsidRPr="00A947B1" w:rsidRDefault="00A947B1" w:rsidP="00166FC5">
      <w:pPr>
        <w:pStyle w:val="Prrafodelista"/>
        <w:spacing w:after="0"/>
        <w:ind w:left="0"/>
        <w:contextualSpacing/>
        <w:jc w:val="both"/>
        <w:rPr>
          <w:rFonts w:ascii="Arial" w:hAnsi="Arial" w:cs="Arial"/>
          <w:b/>
          <w:bCs/>
          <w:sz w:val="24"/>
          <w:u w:val="single"/>
        </w:rPr>
      </w:pPr>
    </w:p>
    <w:p w:rsidR="00D21D9B" w:rsidRPr="00A947B1" w:rsidRDefault="00A947B1" w:rsidP="00166FC5">
      <w:pPr>
        <w:pStyle w:val="Prrafodelista"/>
        <w:spacing w:after="0"/>
        <w:ind w:left="0"/>
        <w:contextualSpacing/>
        <w:jc w:val="both"/>
        <w:rPr>
          <w:rFonts w:ascii="Arial" w:hAnsi="Arial" w:cs="Arial"/>
          <w:b/>
          <w:bCs/>
          <w:sz w:val="24"/>
          <w:u w:val="single"/>
        </w:rPr>
      </w:pPr>
      <w:r w:rsidRPr="00A947B1">
        <w:rPr>
          <w:rFonts w:ascii="Arial" w:hAnsi="Arial" w:cs="Arial"/>
          <w:b/>
          <w:bCs/>
          <w:sz w:val="24"/>
          <w:u w:val="single"/>
        </w:rPr>
        <w:t>Retenciones y contribuciones por pagar a corto plazo</w:t>
      </w:r>
    </w:p>
    <w:p w:rsidR="00D21D9B" w:rsidRDefault="00D21D9B" w:rsidP="00166FC5">
      <w:pPr>
        <w:pStyle w:val="Prrafodelista"/>
        <w:spacing w:after="0"/>
        <w:ind w:left="0"/>
        <w:contextualSpacing/>
        <w:jc w:val="both"/>
        <w:rPr>
          <w:rFonts w:ascii="Arial" w:hAnsi="Arial" w:cs="Arial"/>
          <w:b/>
          <w:bCs/>
          <w:sz w:val="24"/>
        </w:rPr>
      </w:pPr>
    </w:p>
    <w:p w:rsidR="00D21D9B" w:rsidRDefault="00A947B1" w:rsidP="00166FC5">
      <w:pPr>
        <w:pStyle w:val="Prrafodelista"/>
        <w:spacing w:after="0"/>
        <w:ind w:left="0"/>
        <w:contextualSpacing/>
        <w:jc w:val="both"/>
        <w:rPr>
          <w:rFonts w:ascii="Arial" w:hAnsi="Arial" w:cs="Arial"/>
          <w:bCs/>
          <w:sz w:val="24"/>
        </w:rPr>
      </w:pPr>
      <w:r>
        <w:rPr>
          <w:rFonts w:ascii="Arial" w:hAnsi="Arial" w:cs="Arial"/>
          <w:bCs/>
          <w:sz w:val="24"/>
        </w:rPr>
        <w:t xml:space="preserve">20. </w:t>
      </w:r>
      <w:r w:rsidRPr="00A947B1">
        <w:rPr>
          <w:rFonts w:ascii="Arial" w:hAnsi="Arial" w:cs="Arial"/>
          <w:bCs/>
          <w:sz w:val="24"/>
        </w:rPr>
        <w:t>Derivado de la revisión de las retenciones por pagar al 31 de diciembre de 2015 por concepto del dos al millar sobre estimaciones de obra civil efectuadas a empresas contratistas por $103,868, se observó que presentan una antigüedad superior a un año, y que no han sido enteradas al Instituto de Capacitación de la Industria de la Construcción, A.C.</w:t>
      </w:r>
    </w:p>
    <w:p w:rsidR="00A947B1" w:rsidRDefault="00A947B1" w:rsidP="00166FC5">
      <w:pPr>
        <w:pStyle w:val="Prrafodelista"/>
        <w:spacing w:after="0"/>
        <w:ind w:left="0"/>
        <w:contextualSpacing/>
        <w:jc w:val="both"/>
        <w:rPr>
          <w:rFonts w:ascii="Arial" w:hAnsi="Arial" w:cs="Arial"/>
          <w:bCs/>
          <w:sz w:val="24"/>
        </w:rPr>
      </w:pPr>
    </w:p>
    <w:p w:rsidR="00A947B1" w:rsidRPr="00A947B1" w:rsidRDefault="00A947B1" w:rsidP="00A947B1">
      <w:pPr>
        <w:pStyle w:val="Prrafodelista"/>
        <w:spacing w:after="0"/>
        <w:ind w:left="-142"/>
        <w:contextualSpacing/>
        <w:jc w:val="both"/>
        <w:rPr>
          <w:rFonts w:ascii="Arial" w:hAnsi="Arial" w:cs="Arial"/>
          <w:b/>
          <w:bCs/>
          <w:sz w:val="24"/>
        </w:rPr>
      </w:pPr>
      <w:r w:rsidRPr="00A947B1">
        <w:rPr>
          <w:rFonts w:ascii="Arial" w:hAnsi="Arial" w:cs="Arial"/>
          <w:bCs/>
          <w:sz w:val="24"/>
        </w:rPr>
        <w:tab/>
      </w:r>
      <w:r w:rsidRPr="00A947B1">
        <w:rPr>
          <w:rFonts w:ascii="Arial" w:hAnsi="Arial" w:cs="Arial"/>
          <w:b/>
          <w:bCs/>
          <w:sz w:val="24"/>
        </w:rPr>
        <w:t>Análisis de la Auditoría Superior del Estado</w:t>
      </w:r>
    </w:p>
    <w:p w:rsidR="00A947B1" w:rsidRPr="00A947B1" w:rsidRDefault="00A947B1" w:rsidP="00A947B1">
      <w:pPr>
        <w:pStyle w:val="Prrafodelista"/>
        <w:spacing w:after="0"/>
        <w:ind w:left="142"/>
        <w:contextualSpacing/>
        <w:jc w:val="both"/>
        <w:rPr>
          <w:rFonts w:ascii="Arial" w:hAnsi="Arial" w:cs="Arial"/>
          <w:bCs/>
          <w:sz w:val="24"/>
        </w:rPr>
      </w:pPr>
      <w:r w:rsidRPr="00A947B1">
        <w:rPr>
          <w:rFonts w:ascii="Arial" w:hAnsi="Arial" w:cs="Arial"/>
          <w:bCs/>
          <w:sz w:val="24"/>
        </w:rPr>
        <w:t xml:space="preserve">Se analizó la respuesta y la documentación presentada por el Ente Público, la cual solventa parcialmente la observación, toda vez que nos proporcionaron </w:t>
      </w:r>
      <w:r w:rsidRPr="00A947B1">
        <w:rPr>
          <w:rFonts w:ascii="Arial" w:hAnsi="Arial" w:cs="Arial"/>
          <w:bCs/>
          <w:sz w:val="24"/>
        </w:rPr>
        <w:lastRenderedPageBreak/>
        <w:t>Oficios enviados a los contratistas requiriéndoles el reintegro del dos al millar por importe de $81,657.</w:t>
      </w:r>
    </w:p>
    <w:p w:rsidR="00A947B1" w:rsidRPr="00A947B1" w:rsidRDefault="00A947B1" w:rsidP="00A947B1">
      <w:pPr>
        <w:pStyle w:val="Prrafodelista"/>
        <w:spacing w:after="0"/>
        <w:contextualSpacing/>
        <w:jc w:val="both"/>
        <w:rPr>
          <w:rFonts w:ascii="Arial" w:hAnsi="Arial" w:cs="Arial"/>
          <w:bCs/>
          <w:sz w:val="24"/>
        </w:rPr>
      </w:pPr>
    </w:p>
    <w:p w:rsidR="00A947B1" w:rsidRPr="00A947B1" w:rsidRDefault="00A947B1" w:rsidP="00A947B1">
      <w:pPr>
        <w:pStyle w:val="Prrafodelista"/>
        <w:spacing w:after="0"/>
        <w:ind w:left="142"/>
        <w:contextualSpacing/>
        <w:jc w:val="both"/>
        <w:rPr>
          <w:rFonts w:ascii="Arial" w:hAnsi="Arial" w:cs="Arial"/>
          <w:b/>
          <w:bCs/>
          <w:sz w:val="24"/>
        </w:rPr>
      </w:pPr>
      <w:r w:rsidRPr="00A947B1">
        <w:rPr>
          <w:rFonts w:ascii="Arial" w:hAnsi="Arial" w:cs="Arial"/>
          <w:b/>
          <w:bCs/>
          <w:sz w:val="24"/>
        </w:rPr>
        <w:t>Acción(es) o recomendación(es) emitida(s)</w:t>
      </w:r>
    </w:p>
    <w:p w:rsidR="00A947B1" w:rsidRPr="00A947B1" w:rsidRDefault="00A947B1" w:rsidP="00A947B1">
      <w:pPr>
        <w:pStyle w:val="Prrafodelista"/>
        <w:spacing w:after="0"/>
        <w:ind w:left="142"/>
        <w:contextualSpacing/>
        <w:jc w:val="both"/>
        <w:rPr>
          <w:rFonts w:ascii="Arial" w:hAnsi="Arial" w:cs="Arial"/>
          <w:bCs/>
          <w:i/>
          <w:sz w:val="24"/>
        </w:rPr>
      </w:pPr>
      <w:r w:rsidRPr="00A947B1">
        <w:rPr>
          <w:rFonts w:ascii="Arial" w:hAnsi="Arial" w:cs="Arial"/>
          <w:bCs/>
          <w:i/>
          <w:sz w:val="24"/>
        </w:rPr>
        <w:t>Recomendaciones en Relación a la Gestión o Control Interno.</w:t>
      </w:r>
    </w:p>
    <w:p w:rsidR="00A947B1" w:rsidRDefault="00A947B1" w:rsidP="00A947B1">
      <w:pPr>
        <w:pStyle w:val="Prrafodelista"/>
        <w:spacing w:after="0"/>
        <w:contextualSpacing/>
        <w:jc w:val="both"/>
        <w:rPr>
          <w:rFonts w:ascii="Arial" w:hAnsi="Arial" w:cs="Arial"/>
          <w:bCs/>
          <w:sz w:val="24"/>
        </w:rPr>
      </w:pPr>
    </w:p>
    <w:p w:rsidR="00A947B1" w:rsidRDefault="00A947B1" w:rsidP="00A947B1">
      <w:pPr>
        <w:pStyle w:val="Prrafodelista"/>
        <w:spacing w:after="0"/>
        <w:ind w:left="142"/>
        <w:contextualSpacing/>
        <w:jc w:val="both"/>
        <w:rPr>
          <w:rFonts w:ascii="Arial" w:hAnsi="Arial" w:cs="Arial"/>
          <w:bCs/>
          <w:sz w:val="24"/>
        </w:rPr>
      </w:pPr>
    </w:p>
    <w:p w:rsidR="00A947B1" w:rsidRDefault="00A947B1" w:rsidP="00A947B1">
      <w:pPr>
        <w:pStyle w:val="Prrafodelista"/>
        <w:spacing w:after="0"/>
        <w:ind w:left="142"/>
        <w:contextualSpacing/>
        <w:jc w:val="both"/>
        <w:rPr>
          <w:rFonts w:ascii="Arial" w:hAnsi="Arial" w:cs="Arial"/>
          <w:bCs/>
          <w:sz w:val="24"/>
        </w:rPr>
      </w:pPr>
      <w:r>
        <w:rPr>
          <w:rFonts w:ascii="Arial" w:hAnsi="Arial" w:cs="Arial"/>
          <w:bCs/>
          <w:sz w:val="24"/>
        </w:rPr>
        <w:t xml:space="preserve">21. </w:t>
      </w:r>
      <w:r w:rsidRPr="00A947B1">
        <w:rPr>
          <w:rFonts w:ascii="Arial" w:hAnsi="Arial" w:cs="Arial"/>
          <w:bCs/>
          <w:sz w:val="24"/>
        </w:rPr>
        <w:t>Observamos que el Ente Público no ha liquidado las cuotas y aportaciones de seguridad social a favor de sus trabajadores por valor de $17</w:t>
      </w:r>
      <w:proofErr w:type="gramStart"/>
      <w:r w:rsidRPr="00A947B1">
        <w:rPr>
          <w:rFonts w:ascii="Arial" w:hAnsi="Arial" w:cs="Arial"/>
          <w:bCs/>
          <w:sz w:val="24"/>
        </w:rPr>
        <w:t>,000,259</w:t>
      </w:r>
      <w:proofErr w:type="gramEnd"/>
      <w:r w:rsidRPr="00A947B1">
        <w:rPr>
          <w:rFonts w:ascii="Arial" w:hAnsi="Arial" w:cs="Arial"/>
          <w:bCs/>
          <w:sz w:val="24"/>
        </w:rPr>
        <w:t>, correspondientes al periodo de abril a diciembre de 2012, contraviniendo a lo dispuesto por el artículo 27 de la Ley del Instituto de Seguridad y Servicios Sociales de los Trabajadores del Estado de Nuevo León.</w:t>
      </w:r>
    </w:p>
    <w:p w:rsidR="00A947B1" w:rsidRDefault="00A947B1" w:rsidP="00A947B1">
      <w:pPr>
        <w:pStyle w:val="Prrafodelista"/>
        <w:spacing w:after="0"/>
        <w:ind w:left="142"/>
        <w:contextualSpacing/>
        <w:jc w:val="both"/>
        <w:rPr>
          <w:rFonts w:ascii="Arial" w:hAnsi="Arial" w:cs="Arial"/>
          <w:bCs/>
          <w:sz w:val="24"/>
        </w:rPr>
      </w:pPr>
    </w:p>
    <w:p w:rsidR="00A947B1" w:rsidRDefault="00A947B1" w:rsidP="00A947B1">
      <w:pPr>
        <w:pStyle w:val="Prrafodelista"/>
        <w:spacing w:after="0"/>
        <w:ind w:left="142"/>
        <w:contextualSpacing/>
        <w:jc w:val="both"/>
        <w:rPr>
          <w:rFonts w:ascii="Arial" w:hAnsi="Arial" w:cs="Arial"/>
          <w:bCs/>
          <w:sz w:val="24"/>
        </w:rPr>
      </w:pPr>
      <w:r w:rsidRPr="00A947B1">
        <w:rPr>
          <w:rFonts w:ascii="Arial" w:hAnsi="Arial" w:cs="Arial"/>
          <w:bCs/>
          <w:sz w:val="24"/>
        </w:rPr>
        <w:t>Es de mencionarse que al momento de ser enteradas las cuotas y aportaciones, causarán intereses moratorios que al 31 de diciembre de 2015 ascienden a $3</w:t>
      </w:r>
      <w:proofErr w:type="gramStart"/>
      <w:r w:rsidRPr="00A947B1">
        <w:rPr>
          <w:rFonts w:ascii="Arial" w:hAnsi="Arial" w:cs="Arial"/>
          <w:bCs/>
          <w:sz w:val="24"/>
        </w:rPr>
        <w:t>,217,718</w:t>
      </w:r>
      <w:proofErr w:type="gramEnd"/>
      <w:r w:rsidRPr="00A947B1">
        <w:rPr>
          <w:rFonts w:ascii="Arial" w:hAnsi="Arial" w:cs="Arial"/>
          <w:bCs/>
          <w:sz w:val="24"/>
        </w:rPr>
        <w:t xml:space="preserve"> en perjuicio del patrimonio del Ente Público, observando que no se cuenta con el registro de una provisión para su pago, incumpliendo lo establecido en el artículo 39 de la Ley General de Contabilidad Gubernamental.</w:t>
      </w:r>
    </w:p>
    <w:p w:rsidR="00A947B1" w:rsidRDefault="00A947B1" w:rsidP="00A947B1">
      <w:pPr>
        <w:pStyle w:val="Prrafodelista"/>
        <w:spacing w:after="0"/>
        <w:ind w:left="142"/>
        <w:contextualSpacing/>
        <w:jc w:val="both"/>
        <w:rPr>
          <w:rFonts w:ascii="Arial" w:hAnsi="Arial" w:cs="Arial"/>
          <w:bCs/>
          <w:sz w:val="24"/>
        </w:rPr>
      </w:pPr>
    </w:p>
    <w:p w:rsidR="00A947B1" w:rsidRPr="00A947B1" w:rsidRDefault="00A947B1" w:rsidP="00A947B1">
      <w:pPr>
        <w:pStyle w:val="Prrafodelista"/>
        <w:spacing w:after="0"/>
        <w:ind w:left="142"/>
        <w:contextualSpacing/>
        <w:jc w:val="both"/>
        <w:rPr>
          <w:rFonts w:ascii="Arial" w:hAnsi="Arial" w:cs="Arial"/>
          <w:bCs/>
          <w:sz w:val="24"/>
        </w:rPr>
      </w:pPr>
    </w:p>
    <w:p w:rsidR="00A947B1" w:rsidRPr="00A947B1" w:rsidRDefault="00A947B1" w:rsidP="00A947B1">
      <w:pPr>
        <w:pStyle w:val="Prrafodelista"/>
        <w:spacing w:after="0"/>
        <w:ind w:left="142" w:hanging="284"/>
        <w:contextualSpacing/>
        <w:jc w:val="both"/>
        <w:rPr>
          <w:rFonts w:ascii="Arial" w:hAnsi="Arial" w:cs="Arial"/>
          <w:b/>
          <w:bCs/>
          <w:sz w:val="24"/>
        </w:rPr>
      </w:pPr>
      <w:r w:rsidRPr="00A947B1">
        <w:rPr>
          <w:rFonts w:ascii="Arial" w:hAnsi="Arial" w:cs="Arial"/>
          <w:bCs/>
          <w:sz w:val="24"/>
        </w:rPr>
        <w:tab/>
      </w:r>
      <w:r w:rsidRPr="00A947B1">
        <w:rPr>
          <w:rFonts w:ascii="Arial" w:hAnsi="Arial" w:cs="Arial"/>
          <w:b/>
          <w:bCs/>
          <w:sz w:val="24"/>
        </w:rPr>
        <w:t>Análisis de la Auditoría Superior del Estado</w:t>
      </w:r>
    </w:p>
    <w:p w:rsidR="00A947B1" w:rsidRDefault="00A947B1" w:rsidP="00A947B1">
      <w:pPr>
        <w:pStyle w:val="Prrafodelista"/>
        <w:spacing w:after="0"/>
        <w:ind w:left="142"/>
        <w:contextualSpacing/>
        <w:jc w:val="both"/>
        <w:rPr>
          <w:rFonts w:ascii="Arial" w:hAnsi="Arial" w:cs="Arial"/>
          <w:bCs/>
          <w:sz w:val="24"/>
        </w:rPr>
      </w:pPr>
    </w:p>
    <w:p w:rsidR="00A947B1" w:rsidRPr="00A947B1" w:rsidRDefault="00A947B1" w:rsidP="00A947B1">
      <w:pPr>
        <w:pStyle w:val="Prrafodelista"/>
        <w:spacing w:after="0"/>
        <w:ind w:left="142"/>
        <w:contextualSpacing/>
        <w:jc w:val="both"/>
        <w:rPr>
          <w:rFonts w:ascii="Arial" w:hAnsi="Arial" w:cs="Arial"/>
          <w:bCs/>
          <w:sz w:val="24"/>
        </w:rPr>
      </w:pPr>
      <w:r w:rsidRPr="00A947B1">
        <w:rPr>
          <w:rFonts w:ascii="Arial" w:hAnsi="Arial" w:cs="Arial"/>
          <w:bCs/>
          <w:sz w:val="24"/>
        </w:rPr>
        <w:t>Derivado del análisis de la respuesta y documentación presentada</w:t>
      </w:r>
      <w:r>
        <w:rPr>
          <w:rFonts w:ascii="Arial" w:hAnsi="Arial" w:cs="Arial"/>
          <w:bCs/>
          <w:sz w:val="24"/>
        </w:rPr>
        <w:t>, la Auditoría determinó que esta observación se solventó parcialmente, toda vez que se exhibió</w:t>
      </w:r>
      <w:r w:rsidRPr="00A947B1">
        <w:rPr>
          <w:rFonts w:ascii="Arial" w:hAnsi="Arial" w:cs="Arial"/>
          <w:bCs/>
          <w:sz w:val="24"/>
        </w:rPr>
        <w:t xml:space="preserve"> un Convenio de Colaboración Interinstitucional celebrado con el Instituto de Seguridad y Servicios Sociales de los Trabajadores del Estado de Nuevo León y la Secretaría de Finanzas y Tesorería General del Estado de Nuevo León, sin embargo éste no ha sido cumplido ya que no se están llevando a cabo los pagos convenidos a favor del </w:t>
      </w:r>
      <w:proofErr w:type="spellStart"/>
      <w:r w:rsidRPr="00A947B1">
        <w:rPr>
          <w:rFonts w:ascii="Arial" w:hAnsi="Arial" w:cs="Arial"/>
          <w:bCs/>
          <w:sz w:val="24"/>
        </w:rPr>
        <w:t>Isssteleon</w:t>
      </w:r>
      <w:proofErr w:type="spellEnd"/>
      <w:r w:rsidRPr="00A947B1">
        <w:rPr>
          <w:rFonts w:ascii="Arial" w:hAnsi="Arial" w:cs="Arial"/>
          <w:bCs/>
          <w:sz w:val="24"/>
        </w:rPr>
        <w:t>.</w:t>
      </w:r>
    </w:p>
    <w:p w:rsidR="00A947B1" w:rsidRPr="00A947B1" w:rsidRDefault="00A947B1" w:rsidP="00A947B1">
      <w:pPr>
        <w:pStyle w:val="Prrafodelista"/>
        <w:spacing w:after="0"/>
        <w:contextualSpacing/>
        <w:jc w:val="both"/>
        <w:rPr>
          <w:rFonts w:ascii="Arial" w:hAnsi="Arial" w:cs="Arial"/>
          <w:bCs/>
          <w:sz w:val="24"/>
        </w:rPr>
      </w:pPr>
    </w:p>
    <w:p w:rsidR="00A947B1" w:rsidRDefault="00A947B1" w:rsidP="00A947B1">
      <w:pPr>
        <w:pStyle w:val="Prrafodelista"/>
        <w:spacing w:after="0"/>
        <w:ind w:left="142" w:hanging="284"/>
        <w:contextualSpacing/>
        <w:jc w:val="both"/>
        <w:rPr>
          <w:rFonts w:ascii="Arial" w:hAnsi="Arial" w:cs="Arial"/>
          <w:bCs/>
          <w:sz w:val="24"/>
        </w:rPr>
      </w:pPr>
      <w:r w:rsidRPr="00A947B1">
        <w:rPr>
          <w:rFonts w:ascii="Arial" w:hAnsi="Arial" w:cs="Arial"/>
          <w:bCs/>
          <w:sz w:val="24"/>
        </w:rPr>
        <w:t xml:space="preserve"> </w:t>
      </w:r>
      <w:r w:rsidRPr="00A947B1">
        <w:rPr>
          <w:rFonts w:ascii="Arial" w:hAnsi="Arial" w:cs="Arial"/>
          <w:bCs/>
          <w:sz w:val="24"/>
        </w:rPr>
        <w:tab/>
      </w:r>
    </w:p>
    <w:p w:rsidR="00A947B1" w:rsidRPr="00A947B1" w:rsidRDefault="00A947B1" w:rsidP="00A947B1">
      <w:pPr>
        <w:pStyle w:val="Prrafodelista"/>
        <w:spacing w:after="0"/>
        <w:ind w:left="142" w:hanging="284"/>
        <w:contextualSpacing/>
        <w:jc w:val="both"/>
        <w:rPr>
          <w:rFonts w:ascii="Arial" w:hAnsi="Arial" w:cs="Arial"/>
          <w:b/>
          <w:bCs/>
          <w:sz w:val="24"/>
        </w:rPr>
      </w:pPr>
      <w:r w:rsidRPr="00A947B1">
        <w:rPr>
          <w:rFonts w:ascii="Arial" w:hAnsi="Arial" w:cs="Arial"/>
          <w:b/>
          <w:bCs/>
          <w:sz w:val="24"/>
        </w:rPr>
        <w:t>Acción(es) o recomendación(es) emitida(s)</w:t>
      </w:r>
    </w:p>
    <w:p w:rsidR="00A947B1" w:rsidRPr="00A947B1" w:rsidRDefault="00A947B1" w:rsidP="00A947B1">
      <w:pPr>
        <w:pStyle w:val="Prrafodelista"/>
        <w:spacing w:after="0"/>
        <w:ind w:left="426" w:hanging="578"/>
        <w:contextualSpacing/>
        <w:jc w:val="both"/>
        <w:rPr>
          <w:rFonts w:ascii="Arial" w:hAnsi="Arial" w:cs="Arial"/>
          <w:bCs/>
          <w:i/>
          <w:sz w:val="24"/>
        </w:rPr>
      </w:pPr>
      <w:r w:rsidRPr="00A947B1">
        <w:rPr>
          <w:rFonts w:ascii="Arial" w:hAnsi="Arial" w:cs="Arial"/>
          <w:bCs/>
          <w:i/>
          <w:sz w:val="24"/>
        </w:rPr>
        <w:lastRenderedPageBreak/>
        <w:t>Recomendaciones en Relación a la Gestión o Control Interno.</w:t>
      </w:r>
    </w:p>
    <w:p w:rsidR="00A947B1" w:rsidRDefault="00A947B1" w:rsidP="00A947B1">
      <w:pPr>
        <w:pStyle w:val="Prrafodelista"/>
        <w:spacing w:after="0"/>
        <w:ind w:left="142"/>
        <w:contextualSpacing/>
        <w:jc w:val="both"/>
        <w:rPr>
          <w:rFonts w:ascii="Arial" w:hAnsi="Arial" w:cs="Arial"/>
          <w:bCs/>
          <w:sz w:val="24"/>
        </w:rPr>
      </w:pPr>
    </w:p>
    <w:p w:rsidR="00A947B1" w:rsidRDefault="00A947B1" w:rsidP="00A947B1">
      <w:pPr>
        <w:pStyle w:val="Prrafodelista"/>
        <w:spacing w:after="0"/>
        <w:ind w:left="-142"/>
        <w:contextualSpacing/>
        <w:jc w:val="both"/>
        <w:rPr>
          <w:rFonts w:ascii="Arial" w:hAnsi="Arial" w:cs="Arial"/>
          <w:bCs/>
          <w:sz w:val="24"/>
        </w:rPr>
      </w:pPr>
    </w:p>
    <w:p w:rsidR="00A947B1" w:rsidRDefault="00A947B1" w:rsidP="00A947B1">
      <w:pPr>
        <w:pStyle w:val="Prrafodelista"/>
        <w:spacing w:after="0"/>
        <w:ind w:left="-142"/>
        <w:contextualSpacing/>
        <w:jc w:val="both"/>
        <w:rPr>
          <w:rFonts w:ascii="Arial" w:hAnsi="Arial" w:cs="Arial"/>
          <w:b/>
          <w:bCs/>
          <w:sz w:val="24"/>
          <w:u w:val="single"/>
        </w:rPr>
      </w:pPr>
      <w:r w:rsidRPr="00A947B1">
        <w:rPr>
          <w:rFonts w:ascii="Arial" w:hAnsi="Arial" w:cs="Arial"/>
          <w:b/>
          <w:bCs/>
          <w:sz w:val="24"/>
          <w:u w:val="single"/>
        </w:rPr>
        <w:t>Otras cuentas por pagar a corto plazo</w:t>
      </w:r>
    </w:p>
    <w:p w:rsidR="006C5857" w:rsidRDefault="006C5857" w:rsidP="00A947B1">
      <w:pPr>
        <w:pStyle w:val="Prrafodelista"/>
        <w:spacing w:after="0"/>
        <w:ind w:left="-142"/>
        <w:contextualSpacing/>
        <w:jc w:val="both"/>
        <w:rPr>
          <w:rFonts w:ascii="Arial" w:hAnsi="Arial" w:cs="Arial"/>
          <w:b/>
          <w:bCs/>
          <w:sz w:val="24"/>
          <w:u w:val="single"/>
        </w:rPr>
      </w:pPr>
    </w:p>
    <w:p w:rsidR="001A6ADA" w:rsidRPr="001A6ADA" w:rsidRDefault="006C5857" w:rsidP="001A6ADA">
      <w:pPr>
        <w:pStyle w:val="Prrafodelista"/>
        <w:spacing w:after="0"/>
        <w:ind w:left="-142"/>
        <w:contextualSpacing/>
        <w:jc w:val="both"/>
        <w:rPr>
          <w:rFonts w:ascii="Arial" w:hAnsi="Arial" w:cs="Arial"/>
          <w:bCs/>
          <w:sz w:val="24"/>
        </w:rPr>
      </w:pPr>
      <w:r>
        <w:rPr>
          <w:rFonts w:ascii="Arial" w:hAnsi="Arial" w:cs="Arial"/>
          <w:bCs/>
          <w:sz w:val="24"/>
        </w:rPr>
        <w:t xml:space="preserve">22. </w:t>
      </w:r>
      <w:r w:rsidR="001A6ADA" w:rsidRPr="001A6ADA">
        <w:rPr>
          <w:rFonts w:ascii="Arial" w:hAnsi="Arial" w:cs="Arial"/>
          <w:bCs/>
          <w:sz w:val="24"/>
        </w:rPr>
        <w:t>El Ente Público recibió una aportación de $5,000,000 por parte de la empresa Consorcio de Ingeniería Integral, S.A. de C.V., derivada de un Acuerdo de voluntades celebrado el 12 de julio de 2006, sujeto a condiciones establecidas que de cumplirse permitirían que en lo futuro se celebraría un contrato para la constitución de un Fideicomiso para desarrollo inmobiliario con reserva del derecho de reversión, observándose que a pesar de no haberse presentado las condiciones establecidas para la constitución del Fideicomiso, el Ente Público no ha realizado las gestiones correspondientes para llevar acabo la devolución de la aportación citada, ni proporcionó evidencia documental de la resolución del Juicio Ordinario Mercantil radicado en el Juzgado Octavo de Jurisdicción Concurrente del Primer Distrito Judicial en el Estado, promovido por Consorcio de Ingeniería Integral, S.A. de C.V. bajo el expediente judicial número 158/2010, sobre el cumplimiento forzoso del convenio celebrado el 12 de julio de 2006, y la celebración de un Fideicomiso para Desarrollo Inmobiliario sobre una superficie de 1´028,399.68 metros cuadrados.</w:t>
      </w:r>
    </w:p>
    <w:p w:rsidR="001A6ADA" w:rsidRDefault="001A6ADA" w:rsidP="001A6ADA">
      <w:pPr>
        <w:pStyle w:val="Prrafodelista"/>
        <w:spacing w:after="0"/>
        <w:ind w:left="-142"/>
        <w:contextualSpacing/>
        <w:jc w:val="both"/>
        <w:rPr>
          <w:rFonts w:ascii="Arial" w:hAnsi="Arial" w:cs="Arial"/>
          <w:bCs/>
          <w:sz w:val="24"/>
        </w:rPr>
      </w:pPr>
    </w:p>
    <w:p w:rsidR="006C5857" w:rsidRDefault="001A6ADA" w:rsidP="001A6ADA">
      <w:pPr>
        <w:pStyle w:val="Prrafodelista"/>
        <w:spacing w:after="0"/>
        <w:ind w:left="-142"/>
        <w:contextualSpacing/>
        <w:jc w:val="both"/>
        <w:rPr>
          <w:rFonts w:ascii="Arial" w:hAnsi="Arial" w:cs="Arial"/>
          <w:bCs/>
          <w:sz w:val="24"/>
        </w:rPr>
      </w:pPr>
      <w:r w:rsidRPr="001A6ADA">
        <w:rPr>
          <w:rFonts w:ascii="Arial" w:hAnsi="Arial" w:cs="Arial"/>
          <w:bCs/>
          <w:sz w:val="24"/>
        </w:rPr>
        <w:t>Esta observación es reincidente en relación a la Cuenta Pública de 2014.</w:t>
      </w:r>
    </w:p>
    <w:p w:rsidR="001A6ADA" w:rsidRDefault="001A6ADA" w:rsidP="001A6ADA">
      <w:pPr>
        <w:pStyle w:val="Prrafodelista"/>
        <w:spacing w:after="0"/>
        <w:ind w:left="-142"/>
        <w:contextualSpacing/>
        <w:jc w:val="both"/>
        <w:rPr>
          <w:rFonts w:ascii="Arial" w:hAnsi="Arial" w:cs="Arial"/>
          <w:bCs/>
          <w:sz w:val="24"/>
        </w:rPr>
      </w:pPr>
    </w:p>
    <w:p w:rsidR="001A6ADA" w:rsidRPr="001A6ADA" w:rsidRDefault="001A6ADA" w:rsidP="001A6ADA">
      <w:pPr>
        <w:pStyle w:val="Prrafodelista"/>
        <w:spacing w:after="0"/>
        <w:ind w:left="-142"/>
        <w:contextualSpacing/>
        <w:jc w:val="both"/>
        <w:rPr>
          <w:rFonts w:ascii="Arial" w:hAnsi="Arial" w:cs="Arial"/>
          <w:b/>
          <w:bCs/>
          <w:sz w:val="24"/>
        </w:rPr>
      </w:pPr>
      <w:r w:rsidRPr="001A6ADA">
        <w:rPr>
          <w:rFonts w:ascii="Arial" w:hAnsi="Arial" w:cs="Arial"/>
          <w:b/>
          <w:bCs/>
          <w:sz w:val="24"/>
        </w:rPr>
        <w:t>Acción(es) o recomendación(es) emitida(s)</w:t>
      </w:r>
    </w:p>
    <w:p w:rsidR="001A6ADA" w:rsidRDefault="001A6ADA" w:rsidP="001A6ADA">
      <w:pPr>
        <w:pStyle w:val="Prrafodelista"/>
        <w:spacing w:after="0"/>
        <w:ind w:left="-142"/>
        <w:contextualSpacing/>
        <w:jc w:val="both"/>
        <w:rPr>
          <w:rFonts w:ascii="Arial" w:hAnsi="Arial" w:cs="Arial"/>
          <w:bCs/>
          <w:i/>
          <w:sz w:val="24"/>
        </w:rPr>
      </w:pPr>
      <w:r w:rsidRPr="001A6ADA">
        <w:rPr>
          <w:rFonts w:ascii="Arial" w:hAnsi="Arial" w:cs="Arial"/>
          <w:bCs/>
          <w:i/>
          <w:sz w:val="24"/>
        </w:rPr>
        <w:t>Recomendaciones en Relación a la Gestión o Control Interno.</w:t>
      </w:r>
    </w:p>
    <w:p w:rsidR="001A6ADA" w:rsidRDefault="001A6ADA" w:rsidP="001A6ADA">
      <w:pPr>
        <w:pStyle w:val="Prrafodelista"/>
        <w:spacing w:after="0"/>
        <w:ind w:left="-142"/>
        <w:contextualSpacing/>
        <w:jc w:val="both"/>
        <w:rPr>
          <w:rFonts w:ascii="Arial" w:hAnsi="Arial" w:cs="Arial"/>
          <w:bCs/>
          <w:i/>
          <w:sz w:val="24"/>
        </w:rPr>
      </w:pPr>
    </w:p>
    <w:p w:rsidR="001A6ADA" w:rsidRDefault="001A6ADA" w:rsidP="001A6ADA">
      <w:pPr>
        <w:pStyle w:val="Prrafodelista"/>
        <w:spacing w:after="0"/>
        <w:ind w:left="-142"/>
        <w:contextualSpacing/>
        <w:jc w:val="both"/>
        <w:rPr>
          <w:rFonts w:ascii="Arial" w:hAnsi="Arial" w:cs="Arial"/>
          <w:bCs/>
          <w:sz w:val="24"/>
        </w:rPr>
      </w:pPr>
      <w:r w:rsidRPr="001A6ADA">
        <w:rPr>
          <w:rFonts w:ascii="Arial" w:hAnsi="Arial" w:cs="Arial"/>
          <w:bCs/>
          <w:sz w:val="24"/>
        </w:rPr>
        <w:t>Aportar los elementos necesarios para concluir con el proceso jurídico y determinar las acciones correspondientes en función del fallo otorgado.</w:t>
      </w:r>
    </w:p>
    <w:p w:rsidR="001A6ADA" w:rsidRDefault="001A6ADA" w:rsidP="001A6ADA">
      <w:pPr>
        <w:pStyle w:val="Prrafodelista"/>
        <w:spacing w:after="0"/>
        <w:ind w:left="-142"/>
        <w:contextualSpacing/>
        <w:jc w:val="both"/>
        <w:rPr>
          <w:rFonts w:ascii="Arial" w:hAnsi="Arial" w:cs="Arial"/>
          <w:bCs/>
          <w:sz w:val="24"/>
        </w:rPr>
      </w:pPr>
    </w:p>
    <w:p w:rsidR="001A6ADA" w:rsidRDefault="001A6ADA" w:rsidP="001A6ADA">
      <w:pPr>
        <w:pStyle w:val="Prrafodelista"/>
        <w:spacing w:after="0"/>
        <w:ind w:left="-142"/>
        <w:contextualSpacing/>
        <w:jc w:val="both"/>
        <w:rPr>
          <w:rFonts w:ascii="Arial" w:hAnsi="Arial" w:cs="Arial"/>
          <w:bCs/>
          <w:sz w:val="24"/>
        </w:rPr>
      </w:pPr>
      <w:r>
        <w:rPr>
          <w:rFonts w:ascii="Arial" w:hAnsi="Arial" w:cs="Arial"/>
          <w:bCs/>
          <w:sz w:val="24"/>
        </w:rPr>
        <w:t xml:space="preserve">23. </w:t>
      </w:r>
      <w:r w:rsidRPr="001A6ADA">
        <w:rPr>
          <w:rFonts w:ascii="Arial" w:hAnsi="Arial" w:cs="Arial"/>
          <w:bCs/>
          <w:sz w:val="24"/>
        </w:rPr>
        <w:t>Se observó que existen pasivos registrados por valor de $3</w:t>
      </w:r>
      <w:proofErr w:type="gramStart"/>
      <w:r w:rsidRPr="001A6ADA">
        <w:rPr>
          <w:rFonts w:ascii="Arial" w:hAnsi="Arial" w:cs="Arial"/>
          <w:bCs/>
          <w:sz w:val="24"/>
        </w:rPr>
        <w:t>,490,165</w:t>
      </w:r>
      <w:proofErr w:type="gramEnd"/>
      <w:r w:rsidRPr="001A6ADA">
        <w:rPr>
          <w:rFonts w:ascii="Arial" w:hAnsi="Arial" w:cs="Arial"/>
          <w:bCs/>
          <w:sz w:val="24"/>
        </w:rPr>
        <w:t xml:space="preserve"> que presentan una antigüedad superior a un año, a continuación se muestra su integración:</w:t>
      </w:r>
    </w:p>
    <w:p w:rsidR="001A6ADA" w:rsidRDefault="001A6ADA" w:rsidP="001A6ADA">
      <w:pPr>
        <w:pStyle w:val="Prrafodelista"/>
        <w:spacing w:after="0"/>
        <w:ind w:left="-142"/>
        <w:contextualSpacing/>
        <w:jc w:val="both"/>
        <w:rPr>
          <w:rFonts w:ascii="Arial" w:hAnsi="Arial" w:cs="Arial"/>
          <w:bCs/>
          <w:sz w:val="24"/>
        </w:rPr>
      </w:pPr>
    </w:p>
    <w:tbl>
      <w:tblPr>
        <w:tblW w:w="373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15"/>
        <w:gridCol w:w="209"/>
        <w:gridCol w:w="984"/>
      </w:tblGrid>
      <w:tr w:rsidR="001A6ADA" w:rsidRPr="001A6ADA" w:rsidTr="001A6ADA">
        <w:trPr>
          <w:tblHeader/>
          <w:tblCellSpacing w:w="15" w:type="dxa"/>
          <w:jc w:val="center"/>
        </w:trPr>
        <w:tc>
          <w:tcPr>
            <w:tcW w:w="4082" w:type="pct"/>
            <w:shd w:val="clear" w:color="auto" w:fill="A6A6A6" w:themeFill="background1" w:themeFillShade="A6"/>
            <w:vAlign w:val="center"/>
            <w:hideMark/>
          </w:tcPr>
          <w:p w:rsidR="001A6ADA" w:rsidRPr="001A6ADA" w:rsidRDefault="001A6ADA" w:rsidP="001A6ADA">
            <w:pPr>
              <w:jc w:val="center"/>
              <w:rPr>
                <w:rFonts w:ascii="Arial" w:hAnsi="Arial" w:cs="Arial"/>
                <w:b/>
                <w:sz w:val="14"/>
                <w:szCs w:val="14"/>
                <w:u w:val="single"/>
                <w:lang w:val="es-MX" w:eastAsia="es-MX"/>
              </w:rPr>
            </w:pPr>
            <w:r w:rsidRPr="001A6ADA">
              <w:rPr>
                <w:rFonts w:ascii="Arial" w:hAnsi="Arial" w:cs="Arial"/>
                <w:b/>
                <w:sz w:val="14"/>
                <w:szCs w:val="14"/>
                <w:u w:val="single"/>
                <w:lang w:val="es-MX" w:eastAsia="es-MX"/>
              </w:rPr>
              <w:lastRenderedPageBreak/>
              <w:t>Concepto</w:t>
            </w: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b/>
                <w:sz w:val="14"/>
                <w:szCs w:val="14"/>
                <w:u w:val="single"/>
                <w:lang w:val="es-MX" w:eastAsia="es-MX"/>
              </w:rPr>
            </w:pPr>
            <w:r w:rsidRPr="001A6ADA">
              <w:rPr>
                <w:rFonts w:ascii="Arial" w:hAnsi="Arial" w:cs="Arial"/>
                <w:b/>
                <w:sz w:val="14"/>
                <w:szCs w:val="14"/>
                <w:u w:val="single"/>
                <w:lang w:val="es-MX" w:eastAsia="es-MX"/>
              </w:rPr>
              <w:t>Importe</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Transformaciones Metálicas Otras </w:t>
            </w:r>
            <w:proofErr w:type="spellStart"/>
            <w:r w:rsidRPr="001A6ADA">
              <w:rPr>
                <w:rFonts w:ascii="Arial" w:hAnsi="Arial" w:cs="Arial"/>
                <w:sz w:val="14"/>
                <w:szCs w:val="14"/>
                <w:lang w:val="es-MX" w:eastAsia="es-MX"/>
              </w:rPr>
              <w:t>Ctas</w:t>
            </w:r>
            <w:proofErr w:type="spellEnd"/>
            <w:r w:rsidRPr="001A6ADA">
              <w:rPr>
                <w:rFonts w:ascii="Arial" w:hAnsi="Arial" w:cs="Arial"/>
                <w:sz w:val="14"/>
                <w:szCs w:val="14"/>
                <w:lang w:val="es-MX" w:eastAsia="es-MX"/>
              </w:rPr>
              <w:t xml:space="preserve"> por Pagar C.P., Otros Acreedores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2,277,884</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Santa Catarina, N.L., Otras </w:t>
            </w:r>
            <w:proofErr w:type="spellStart"/>
            <w:r w:rsidRPr="001A6ADA">
              <w:rPr>
                <w:rFonts w:ascii="Arial" w:hAnsi="Arial" w:cs="Arial"/>
                <w:sz w:val="14"/>
                <w:szCs w:val="14"/>
                <w:lang w:val="es-MX" w:eastAsia="es-MX"/>
              </w:rPr>
              <w:t>Ctas</w:t>
            </w:r>
            <w:proofErr w:type="spellEnd"/>
            <w:r w:rsidRPr="001A6ADA">
              <w:rPr>
                <w:rFonts w:ascii="Arial" w:hAnsi="Arial" w:cs="Arial"/>
                <w:sz w:val="14"/>
                <w:szCs w:val="14"/>
                <w:lang w:val="es-MX" w:eastAsia="es-MX"/>
              </w:rPr>
              <w:t xml:space="preserve">. Por Pagar C.P., </w:t>
            </w:r>
            <w:proofErr w:type="spellStart"/>
            <w:r w:rsidRPr="001A6ADA">
              <w:rPr>
                <w:rFonts w:ascii="Arial" w:hAnsi="Arial" w:cs="Arial"/>
                <w:sz w:val="14"/>
                <w:szCs w:val="14"/>
                <w:lang w:val="es-MX" w:eastAsia="es-MX"/>
              </w:rPr>
              <w:t>Mpo</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Recup</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Vivah</w:t>
            </w:r>
            <w:proofErr w:type="spellEnd"/>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368,233</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Inversión en Fraccionamientos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243,395</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Remanente Programa de Vivienda</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198,583</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Escobedo, N.L., Otras </w:t>
            </w:r>
            <w:proofErr w:type="spellStart"/>
            <w:r w:rsidRPr="001A6ADA">
              <w:rPr>
                <w:rFonts w:ascii="Arial" w:hAnsi="Arial" w:cs="Arial"/>
                <w:sz w:val="14"/>
                <w:szCs w:val="14"/>
                <w:lang w:val="es-MX" w:eastAsia="es-MX"/>
              </w:rPr>
              <w:t>Ctas</w:t>
            </w:r>
            <w:proofErr w:type="spellEnd"/>
            <w:r w:rsidRPr="001A6ADA">
              <w:rPr>
                <w:rFonts w:ascii="Arial" w:hAnsi="Arial" w:cs="Arial"/>
                <w:sz w:val="14"/>
                <w:szCs w:val="14"/>
                <w:lang w:val="es-MX" w:eastAsia="es-MX"/>
              </w:rPr>
              <w:t xml:space="preserve"> por Pagar C.P., </w:t>
            </w:r>
            <w:proofErr w:type="spellStart"/>
            <w:r w:rsidRPr="001A6ADA">
              <w:rPr>
                <w:rFonts w:ascii="Arial" w:hAnsi="Arial" w:cs="Arial"/>
                <w:sz w:val="14"/>
                <w:szCs w:val="14"/>
                <w:lang w:val="es-MX" w:eastAsia="es-MX"/>
              </w:rPr>
              <w:t>Mpo</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Recup</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Vivah</w:t>
            </w:r>
            <w:proofErr w:type="spellEnd"/>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98,700</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Otras </w:t>
            </w:r>
            <w:proofErr w:type="spellStart"/>
            <w:r w:rsidRPr="001A6ADA">
              <w:rPr>
                <w:rFonts w:ascii="Arial" w:hAnsi="Arial" w:cs="Arial"/>
                <w:sz w:val="14"/>
                <w:szCs w:val="14"/>
                <w:lang w:val="es-MX" w:eastAsia="es-MX"/>
              </w:rPr>
              <w:t>Ctas</w:t>
            </w:r>
            <w:proofErr w:type="spellEnd"/>
            <w:r w:rsidRPr="001A6ADA">
              <w:rPr>
                <w:rFonts w:ascii="Arial" w:hAnsi="Arial" w:cs="Arial"/>
                <w:sz w:val="14"/>
                <w:szCs w:val="14"/>
                <w:lang w:val="es-MX" w:eastAsia="es-MX"/>
              </w:rPr>
              <w:t xml:space="preserve"> por Pagar C.P., Otros Acreedores, Diversos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92,804</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Juárez</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65,491</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San Nicolás de los Garza, N.L., Otras </w:t>
            </w:r>
            <w:proofErr w:type="spellStart"/>
            <w:r w:rsidRPr="001A6ADA">
              <w:rPr>
                <w:rFonts w:ascii="Arial" w:hAnsi="Arial" w:cs="Arial"/>
                <w:sz w:val="14"/>
                <w:szCs w:val="14"/>
                <w:lang w:val="es-MX" w:eastAsia="es-MX"/>
              </w:rPr>
              <w:t>Ctas</w:t>
            </w:r>
            <w:proofErr w:type="spellEnd"/>
            <w:r w:rsidRPr="001A6ADA">
              <w:rPr>
                <w:rFonts w:ascii="Arial" w:hAnsi="Arial" w:cs="Arial"/>
                <w:sz w:val="14"/>
                <w:szCs w:val="14"/>
                <w:lang w:val="es-MX" w:eastAsia="es-MX"/>
              </w:rPr>
              <w:t xml:space="preserve">. Por Pagar C.P., </w:t>
            </w:r>
            <w:proofErr w:type="spellStart"/>
            <w:r w:rsidRPr="001A6ADA">
              <w:rPr>
                <w:rFonts w:ascii="Arial" w:hAnsi="Arial" w:cs="Arial"/>
                <w:sz w:val="14"/>
                <w:szCs w:val="14"/>
                <w:lang w:val="es-MX" w:eastAsia="es-MX"/>
              </w:rPr>
              <w:t>Mpo</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Recup</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Vivah</w:t>
            </w:r>
            <w:proofErr w:type="spellEnd"/>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64,630</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Guadalupe, N.L., Otras </w:t>
            </w:r>
            <w:proofErr w:type="spellStart"/>
            <w:r w:rsidRPr="001A6ADA">
              <w:rPr>
                <w:rFonts w:ascii="Arial" w:hAnsi="Arial" w:cs="Arial"/>
                <w:sz w:val="14"/>
                <w:szCs w:val="14"/>
                <w:lang w:val="es-MX" w:eastAsia="es-MX"/>
              </w:rPr>
              <w:t>Ctas</w:t>
            </w:r>
            <w:proofErr w:type="spellEnd"/>
            <w:r w:rsidRPr="001A6ADA">
              <w:rPr>
                <w:rFonts w:ascii="Arial" w:hAnsi="Arial" w:cs="Arial"/>
                <w:sz w:val="14"/>
                <w:szCs w:val="14"/>
                <w:lang w:val="es-MX" w:eastAsia="es-MX"/>
              </w:rPr>
              <w:t xml:space="preserve"> por Pagar C.P., </w:t>
            </w:r>
            <w:proofErr w:type="spellStart"/>
            <w:r w:rsidRPr="001A6ADA">
              <w:rPr>
                <w:rFonts w:ascii="Arial" w:hAnsi="Arial" w:cs="Arial"/>
                <w:sz w:val="14"/>
                <w:szCs w:val="14"/>
                <w:lang w:val="es-MX" w:eastAsia="es-MX"/>
              </w:rPr>
              <w:t>Mpo</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Recup</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Vivah</w:t>
            </w:r>
            <w:proofErr w:type="spellEnd"/>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38,900</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Apodaca, N.L., Otras </w:t>
            </w:r>
            <w:proofErr w:type="spellStart"/>
            <w:r w:rsidRPr="001A6ADA">
              <w:rPr>
                <w:rFonts w:ascii="Arial" w:hAnsi="Arial" w:cs="Arial"/>
                <w:sz w:val="14"/>
                <w:szCs w:val="14"/>
                <w:lang w:val="es-MX" w:eastAsia="es-MX"/>
              </w:rPr>
              <w:t>Ctas</w:t>
            </w:r>
            <w:proofErr w:type="spellEnd"/>
            <w:r w:rsidRPr="001A6ADA">
              <w:rPr>
                <w:rFonts w:ascii="Arial" w:hAnsi="Arial" w:cs="Arial"/>
                <w:sz w:val="14"/>
                <w:szCs w:val="14"/>
                <w:lang w:val="es-MX" w:eastAsia="es-MX"/>
              </w:rPr>
              <w:t xml:space="preserve">. Por Pagar C.P., </w:t>
            </w:r>
            <w:proofErr w:type="spellStart"/>
            <w:r w:rsidRPr="001A6ADA">
              <w:rPr>
                <w:rFonts w:ascii="Arial" w:hAnsi="Arial" w:cs="Arial"/>
                <w:sz w:val="14"/>
                <w:szCs w:val="14"/>
                <w:lang w:val="es-MX" w:eastAsia="es-MX"/>
              </w:rPr>
              <w:t>Mpo</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Recup</w:t>
            </w:r>
            <w:proofErr w:type="spellEnd"/>
            <w:r w:rsidRPr="001A6ADA">
              <w:rPr>
                <w:rFonts w:ascii="Arial" w:hAnsi="Arial" w:cs="Arial"/>
                <w:sz w:val="14"/>
                <w:szCs w:val="14"/>
                <w:lang w:val="es-MX" w:eastAsia="es-MX"/>
              </w:rPr>
              <w:t xml:space="preserve">. </w:t>
            </w:r>
            <w:proofErr w:type="spellStart"/>
            <w:r w:rsidRPr="001A6ADA">
              <w:rPr>
                <w:rFonts w:ascii="Arial" w:hAnsi="Arial" w:cs="Arial"/>
                <w:sz w:val="14"/>
                <w:szCs w:val="14"/>
                <w:lang w:val="es-MX" w:eastAsia="es-MX"/>
              </w:rPr>
              <w:t>Vivah</w:t>
            </w:r>
            <w:proofErr w:type="spellEnd"/>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30,895</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Escobedo</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4,202</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Dir. Asuntos Jurídicos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2,985</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Dir. </w:t>
            </w:r>
            <w:proofErr w:type="spellStart"/>
            <w:r w:rsidRPr="001A6ADA">
              <w:rPr>
                <w:rFonts w:ascii="Arial" w:hAnsi="Arial" w:cs="Arial"/>
                <w:sz w:val="14"/>
                <w:szCs w:val="14"/>
                <w:lang w:val="es-MX" w:eastAsia="es-MX"/>
              </w:rPr>
              <w:t>Efecutiva</w:t>
            </w:r>
            <w:proofErr w:type="spellEnd"/>
            <w:r w:rsidRPr="001A6ADA">
              <w:rPr>
                <w:rFonts w:ascii="Arial" w:hAnsi="Arial" w:cs="Arial"/>
                <w:sz w:val="14"/>
                <w:szCs w:val="14"/>
                <w:lang w:val="es-MX" w:eastAsia="es-MX"/>
              </w:rPr>
              <w:t xml:space="preserve"> Adjunta</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1,793</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Dir. Regularización y Ten. De la Tierra</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1,292</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Montemorelos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379</w:t>
            </w:r>
          </w:p>
        </w:tc>
      </w:tr>
      <w:tr w:rsidR="001A6ADA" w:rsidRPr="001A6ADA" w:rsidTr="001A6ADA">
        <w:trPr>
          <w:tblCellSpacing w:w="15" w:type="dxa"/>
          <w:jc w:val="center"/>
        </w:trPr>
        <w:tc>
          <w:tcPr>
            <w:tcW w:w="408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Total</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3,490,165</w:t>
            </w:r>
          </w:p>
        </w:tc>
      </w:tr>
    </w:tbl>
    <w:p w:rsidR="001A6ADA" w:rsidRPr="001A6ADA" w:rsidRDefault="001A6ADA" w:rsidP="001A6ADA">
      <w:pPr>
        <w:pStyle w:val="Prrafodelista"/>
        <w:spacing w:after="0"/>
        <w:ind w:left="-142"/>
        <w:contextualSpacing/>
        <w:jc w:val="both"/>
        <w:rPr>
          <w:rFonts w:ascii="Arial" w:hAnsi="Arial" w:cs="Arial"/>
          <w:bCs/>
          <w:sz w:val="24"/>
        </w:rPr>
      </w:pPr>
    </w:p>
    <w:p w:rsidR="00A947B1" w:rsidRDefault="00A947B1" w:rsidP="00A947B1">
      <w:pPr>
        <w:pStyle w:val="Prrafodelista"/>
        <w:spacing w:after="0"/>
        <w:ind w:left="142"/>
        <w:contextualSpacing/>
        <w:jc w:val="both"/>
        <w:rPr>
          <w:rFonts w:ascii="Arial" w:hAnsi="Arial" w:cs="Arial"/>
          <w:bCs/>
          <w:sz w:val="24"/>
        </w:rPr>
      </w:pPr>
    </w:p>
    <w:p w:rsidR="00A947B1" w:rsidRDefault="001A6ADA" w:rsidP="00A947B1">
      <w:pPr>
        <w:pStyle w:val="Prrafodelista"/>
        <w:spacing w:after="0"/>
        <w:ind w:left="142"/>
        <w:contextualSpacing/>
        <w:jc w:val="both"/>
        <w:rPr>
          <w:rFonts w:ascii="Arial" w:hAnsi="Arial" w:cs="Arial"/>
          <w:bCs/>
          <w:sz w:val="24"/>
        </w:rPr>
      </w:pPr>
      <w:r w:rsidRPr="001A6ADA">
        <w:rPr>
          <w:rFonts w:ascii="Arial" w:hAnsi="Arial" w:cs="Arial"/>
          <w:bCs/>
          <w:sz w:val="24"/>
        </w:rPr>
        <w:t>En eventos posteriores se comprobó que al 31 de marzo de 2016 estas cuentas no han tenido movimiento.</w:t>
      </w:r>
    </w:p>
    <w:p w:rsidR="001A6ADA" w:rsidRPr="001A6ADA" w:rsidRDefault="001A6ADA" w:rsidP="00A947B1">
      <w:pPr>
        <w:pStyle w:val="Prrafodelista"/>
        <w:spacing w:after="0"/>
        <w:ind w:left="142"/>
        <w:contextualSpacing/>
        <w:jc w:val="both"/>
        <w:rPr>
          <w:rFonts w:ascii="Arial" w:hAnsi="Arial" w:cs="Arial"/>
          <w:b/>
          <w:bCs/>
          <w:sz w:val="24"/>
        </w:rPr>
      </w:pPr>
    </w:p>
    <w:p w:rsidR="001A6ADA" w:rsidRPr="001A6ADA" w:rsidRDefault="001A6ADA" w:rsidP="001A6ADA">
      <w:pPr>
        <w:pStyle w:val="Prrafodelista"/>
        <w:spacing w:after="0"/>
        <w:ind w:left="142"/>
        <w:contextualSpacing/>
        <w:jc w:val="both"/>
        <w:rPr>
          <w:rFonts w:ascii="Arial" w:hAnsi="Arial" w:cs="Arial"/>
          <w:b/>
          <w:bCs/>
          <w:sz w:val="24"/>
        </w:rPr>
      </w:pPr>
      <w:r w:rsidRPr="001A6ADA">
        <w:rPr>
          <w:rFonts w:ascii="Arial" w:hAnsi="Arial" w:cs="Arial"/>
          <w:b/>
          <w:bCs/>
          <w:sz w:val="24"/>
        </w:rPr>
        <w:t>Acción(es) o recomendación(es) emitida(s)</w:t>
      </w:r>
    </w:p>
    <w:p w:rsidR="001A6ADA" w:rsidRDefault="001A6ADA" w:rsidP="001A6ADA">
      <w:pPr>
        <w:pStyle w:val="Prrafodelista"/>
        <w:spacing w:after="0"/>
        <w:ind w:left="142"/>
        <w:contextualSpacing/>
        <w:jc w:val="both"/>
        <w:rPr>
          <w:rFonts w:ascii="Arial" w:hAnsi="Arial" w:cs="Arial"/>
          <w:bCs/>
          <w:i/>
          <w:sz w:val="24"/>
        </w:rPr>
      </w:pPr>
      <w:r w:rsidRPr="001A6ADA">
        <w:rPr>
          <w:rFonts w:ascii="Arial" w:hAnsi="Arial" w:cs="Arial"/>
          <w:bCs/>
          <w:i/>
          <w:sz w:val="24"/>
        </w:rPr>
        <w:t>Recomendaciones en Relación a la Gestión o Control Interno.</w:t>
      </w:r>
    </w:p>
    <w:p w:rsidR="001A6ADA" w:rsidRDefault="001A6ADA" w:rsidP="001A6ADA">
      <w:pPr>
        <w:pStyle w:val="Prrafodelista"/>
        <w:spacing w:after="0"/>
        <w:ind w:left="142"/>
        <w:contextualSpacing/>
        <w:jc w:val="both"/>
        <w:rPr>
          <w:rFonts w:ascii="Arial" w:hAnsi="Arial" w:cs="Arial"/>
          <w:bCs/>
          <w:i/>
          <w:sz w:val="24"/>
        </w:rPr>
      </w:pPr>
    </w:p>
    <w:p w:rsidR="001A6ADA" w:rsidRDefault="001A6ADA" w:rsidP="001A6ADA">
      <w:pPr>
        <w:pStyle w:val="Prrafodelista"/>
        <w:spacing w:after="0"/>
        <w:ind w:left="142"/>
        <w:contextualSpacing/>
        <w:jc w:val="both"/>
        <w:rPr>
          <w:rFonts w:ascii="Arial" w:hAnsi="Arial" w:cs="Arial"/>
          <w:bCs/>
          <w:sz w:val="24"/>
        </w:rPr>
      </w:pPr>
    </w:p>
    <w:p w:rsidR="001A6ADA" w:rsidRDefault="001A6ADA" w:rsidP="001A6ADA">
      <w:pPr>
        <w:pStyle w:val="Prrafodelista"/>
        <w:spacing w:after="0"/>
        <w:ind w:left="142"/>
        <w:contextualSpacing/>
        <w:jc w:val="both"/>
        <w:rPr>
          <w:rFonts w:ascii="Arial" w:hAnsi="Arial" w:cs="Arial"/>
          <w:b/>
          <w:bCs/>
          <w:sz w:val="24"/>
          <w:u w:val="single"/>
        </w:rPr>
      </w:pPr>
      <w:r w:rsidRPr="001A6ADA">
        <w:rPr>
          <w:rFonts w:ascii="Arial" w:hAnsi="Arial" w:cs="Arial"/>
          <w:b/>
          <w:bCs/>
          <w:sz w:val="24"/>
          <w:u w:val="single"/>
        </w:rPr>
        <w:t>Documentos por Pagar a Corto Plazo</w:t>
      </w:r>
    </w:p>
    <w:p w:rsidR="001A6ADA" w:rsidRDefault="001A6ADA" w:rsidP="001A6ADA">
      <w:pPr>
        <w:pStyle w:val="Prrafodelista"/>
        <w:spacing w:after="0"/>
        <w:ind w:left="142"/>
        <w:contextualSpacing/>
        <w:jc w:val="both"/>
        <w:rPr>
          <w:rFonts w:ascii="Arial" w:hAnsi="Arial" w:cs="Arial"/>
          <w:b/>
          <w:bCs/>
          <w:sz w:val="24"/>
          <w:u w:val="single"/>
        </w:rPr>
      </w:pPr>
    </w:p>
    <w:p w:rsidR="001A6ADA" w:rsidRDefault="001A6ADA" w:rsidP="001A6ADA">
      <w:pPr>
        <w:pStyle w:val="Prrafodelista"/>
        <w:spacing w:after="0"/>
        <w:ind w:left="142"/>
        <w:contextualSpacing/>
        <w:jc w:val="both"/>
        <w:rPr>
          <w:rFonts w:ascii="Arial" w:hAnsi="Arial" w:cs="Arial"/>
          <w:bCs/>
          <w:sz w:val="24"/>
        </w:rPr>
      </w:pPr>
      <w:r>
        <w:rPr>
          <w:rFonts w:ascii="Arial" w:hAnsi="Arial" w:cs="Arial"/>
          <w:bCs/>
          <w:sz w:val="24"/>
        </w:rPr>
        <w:t xml:space="preserve">24. </w:t>
      </w:r>
      <w:r w:rsidRPr="001A6ADA">
        <w:rPr>
          <w:rFonts w:ascii="Arial" w:hAnsi="Arial" w:cs="Arial"/>
          <w:bCs/>
          <w:sz w:val="24"/>
        </w:rPr>
        <w:t>Se observó que existen pasivos registrados por valor de $17</w:t>
      </w:r>
      <w:proofErr w:type="gramStart"/>
      <w:r w:rsidRPr="001A6ADA">
        <w:rPr>
          <w:rFonts w:ascii="Arial" w:hAnsi="Arial" w:cs="Arial"/>
          <w:bCs/>
          <w:sz w:val="24"/>
        </w:rPr>
        <w:t>,688,874</w:t>
      </w:r>
      <w:proofErr w:type="gramEnd"/>
      <w:r w:rsidRPr="001A6ADA">
        <w:rPr>
          <w:rFonts w:ascii="Arial" w:hAnsi="Arial" w:cs="Arial"/>
          <w:bCs/>
          <w:sz w:val="24"/>
        </w:rPr>
        <w:t xml:space="preserve"> que presentan una antigüedad de hasta cinco años y que al 31 de diciembre de 2015 no han sido liquidados por el Ente Público, a continuación se muestra su integración:</w:t>
      </w:r>
    </w:p>
    <w:p w:rsidR="001A6ADA" w:rsidRDefault="001A6ADA" w:rsidP="001A6ADA">
      <w:pPr>
        <w:pStyle w:val="Prrafodelista"/>
        <w:spacing w:after="0"/>
        <w:ind w:left="142"/>
        <w:contextualSpacing/>
        <w:jc w:val="both"/>
        <w:rPr>
          <w:rFonts w:ascii="Arial" w:hAnsi="Arial" w:cs="Arial"/>
          <w:bCs/>
          <w:sz w:val="24"/>
        </w:rPr>
      </w:pPr>
    </w:p>
    <w:tbl>
      <w:tblPr>
        <w:tblW w:w="240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4"/>
        <w:gridCol w:w="2186"/>
      </w:tblGrid>
      <w:tr w:rsidR="001A6ADA" w:rsidRPr="001A6ADA" w:rsidTr="001A6ADA">
        <w:trPr>
          <w:tblCellSpacing w:w="15" w:type="dxa"/>
          <w:jc w:val="center"/>
        </w:trPr>
        <w:tc>
          <w:tcPr>
            <w:tcW w:w="2262" w:type="pct"/>
            <w:shd w:val="clear" w:color="auto" w:fill="A6A6A6" w:themeFill="background1" w:themeFillShade="A6"/>
            <w:vAlign w:val="center"/>
            <w:hideMark/>
          </w:tcPr>
          <w:p w:rsidR="001A6ADA" w:rsidRPr="001A6ADA" w:rsidRDefault="001A6ADA" w:rsidP="001A6ADA">
            <w:pPr>
              <w:jc w:val="center"/>
              <w:rPr>
                <w:rFonts w:ascii="Arial" w:hAnsi="Arial" w:cs="Arial"/>
                <w:sz w:val="14"/>
                <w:szCs w:val="14"/>
                <w:u w:val="single"/>
                <w:lang w:val="es-MX" w:eastAsia="es-MX"/>
              </w:rPr>
            </w:pPr>
            <w:r w:rsidRPr="001A6ADA">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sz w:val="14"/>
                <w:szCs w:val="14"/>
                <w:u w:val="single"/>
                <w:lang w:val="es-MX" w:eastAsia="es-MX"/>
              </w:rPr>
            </w:pPr>
            <w:r w:rsidRPr="001A6ADA">
              <w:rPr>
                <w:rFonts w:ascii="Arial" w:hAnsi="Arial" w:cs="Arial"/>
                <w:sz w:val="14"/>
                <w:szCs w:val="14"/>
                <w:u w:val="single"/>
                <w:lang w:val="es-MX" w:eastAsia="es-MX"/>
              </w:rPr>
              <w:t>Importe</w:t>
            </w:r>
          </w:p>
        </w:tc>
      </w:tr>
      <w:tr w:rsidR="001A6ADA" w:rsidRPr="001A6ADA" w:rsidTr="001A6ADA">
        <w:trPr>
          <w:tblCellSpacing w:w="15" w:type="dxa"/>
          <w:jc w:val="center"/>
        </w:trPr>
        <w:tc>
          <w:tcPr>
            <w:tcW w:w="226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Clientes desertores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12,851,583</w:t>
            </w:r>
          </w:p>
        </w:tc>
      </w:tr>
      <w:tr w:rsidR="001A6ADA" w:rsidRPr="001A6ADA" w:rsidTr="001A6ADA">
        <w:trPr>
          <w:tblCellSpacing w:w="15" w:type="dxa"/>
          <w:jc w:val="center"/>
        </w:trPr>
        <w:tc>
          <w:tcPr>
            <w:tcW w:w="226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Bertha Alicia Ramos Sáenz</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2,500,000</w:t>
            </w:r>
          </w:p>
        </w:tc>
      </w:tr>
      <w:tr w:rsidR="001A6ADA" w:rsidRPr="001A6ADA" w:rsidTr="001A6ADA">
        <w:trPr>
          <w:tblCellSpacing w:w="15" w:type="dxa"/>
          <w:jc w:val="center"/>
        </w:trPr>
        <w:tc>
          <w:tcPr>
            <w:tcW w:w="226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Fondo de Aportaciones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1,504,768</w:t>
            </w:r>
          </w:p>
        </w:tc>
      </w:tr>
      <w:tr w:rsidR="001A6ADA" w:rsidRPr="001A6ADA" w:rsidTr="001A6ADA">
        <w:trPr>
          <w:tblCellSpacing w:w="15" w:type="dxa"/>
          <w:jc w:val="center"/>
        </w:trPr>
        <w:tc>
          <w:tcPr>
            <w:tcW w:w="226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Electrificación</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798,487</w:t>
            </w:r>
          </w:p>
        </w:tc>
      </w:tr>
      <w:tr w:rsidR="001A6ADA" w:rsidRPr="001A6ADA" w:rsidTr="001A6ADA">
        <w:trPr>
          <w:tblCellSpacing w:w="15" w:type="dxa"/>
          <w:jc w:val="center"/>
        </w:trPr>
        <w:tc>
          <w:tcPr>
            <w:tcW w:w="226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Materiales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25,500</w:t>
            </w:r>
          </w:p>
        </w:tc>
      </w:tr>
      <w:tr w:rsidR="001A6ADA" w:rsidRPr="001A6ADA" w:rsidTr="001A6ADA">
        <w:trPr>
          <w:tblCellSpacing w:w="15" w:type="dxa"/>
          <w:jc w:val="center"/>
        </w:trPr>
        <w:tc>
          <w:tcPr>
            <w:tcW w:w="226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Programas de vivienda</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8,536</w:t>
            </w:r>
          </w:p>
        </w:tc>
      </w:tr>
      <w:tr w:rsidR="001A6ADA" w:rsidRPr="001A6ADA" w:rsidTr="001A6ADA">
        <w:trPr>
          <w:tblCellSpacing w:w="15" w:type="dxa"/>
          <w:jc w:val="center"/>
        </w:trPr>
        <w:tc>
          <w:tcPr>
            <w:tcW w:w="2262"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Total</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17,688,874</w:t>
            </w:r>
          </w:p>
        </w:tc>
      </w:tr>
    </w:tbl>
    <w:p w:rsidR="001A6ADA" w:rsidRPr="001A6ADA" w:rsidRDefault="001A6ADA" w:rsidP="001A6ADA">
      <w:pPr>
        <w:pStyle w:val="Prrafodelista"/>
        <w:spacing w:after="0"/>
        <w:ind w:left="142"/>
        <w:contextualSpacing/>
        <w:jc w:val="both"/>
        <w:rPr>
          <w:rFonts w:ascii="Arial" w:hAnsi="Arial" w:cs="Arial"/>
          <w:bCs/>
          <w:sz w:val="24"/>
        </w:rPr>
      </w:pPr>
    </w:p>
    <w:p w:rsidR="00A947B1" w:rsidRDefault="00A947B1" w:rsidP="00166FC5">
      <w:pPr>
        <w:pStyle w:val="Prrafodelista"/>
        <w:spacing w:after="0"/>
        <w:ind w:left="0"/>
        <w:contextualSpacing/>
        <w:jc w:val="both"/>
        <w:rPr>
          <w:rFonts w:ascii="Arial" w:hAnsi="Arial" w:cs="Arial"/>
          <w:bCs/>
          <w:sz w:val="24"/>
        </w:rPr>
      </w:pPr>
    </w:p>
    <w:p w:rsidR="001A6ADA" w:rsidRDefault="001A6ADA" w:rsidP="00166FC5">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
          <w:bCs/>
          <w:sz w:val="24"/>
        </w:rPr>
      </w:pPr>
      <w:r w:rsidRPr="001A6ADA">
        <w:rPr>
          <w:rFonts w:ascii="Arial" w:hAnsi="Arial" w:cs="Arial"/>
          <w:b/>
          <w:bCs/>
          <w:sz w:val="24"/>
        </w:rPr>
        <w:t>Acción(es) o recomendación(es) emitida(s)</w:t>
      </w:r>
    </w:p>
    <w:p w:rsidR="001A6ADA" w:rsidRPr="001A6ADA" w:rsidRDefault="001A6ADA" w:rsidP="001A6ADA">
      <w:pPr>
        <w:pStyle w:val="Prrafodelista"/>
        <w:spacing w:after="0"/>
        <w:ind w:left="0"/>
        <w:contextualSpacing/>
        <w:jc w:val="both"/>
        <w:rPr>
          <w:rFonts w:ascii="Arial" w:hAnsi="Arial" w:cs="Arial"/>
          <w:bCs/>
          <w:i/>
          <w:sz w:val="24"/>
        </w:rPr>
      </w:pPr>
      <w:r w:rsidRPr="001A6ADA">
        <w:rPr>
          <w:rFonts w:ascii="Arial" w:hAnsi="Arial" w:cs="Arial"/>
          <w:bCs/>
          <w:i/>
          <w:sz w:val="24"/>
        </w:rPr>
        <w:t>Recomendaciones en Relación a la Gestión o Control Interno.</w:t>
      </w:r>
    </w:p>
    <w:p w:rsidR="001A6ADA" w:rsidRDefault="001A6ADA" w:rsidP="001A6ADA">
      <w:pPr>
        <w:pStyle w:val="Prrafodelista"/>
        <w:spacing w:after="0"/>
        <w:ind w:left="0"/>
        <w:contextualSpacing/>
        <w:jc w:val="both"/>
        <w:rPr>
          <w:rFonts w:ascii="Arial" w:hAnsi="Arial" w:cs="Arial"/>
          <w:bCs/>
          <w:sz w:val="24"/>
        </w:rPr>
      </w:pPr>
    </w:p>
    <w:p w:rsidR="00A947B1" w:rsidRDefault="00A947B1" w:rsidP="00166FC5">
      <w:pPr>
        <w:pStyle w:val="Prrafodelista"/>
        <w:spacing w:after="0"/>
        <w:ind w:left="0"/>
        <w:contextualSpacing/>
        <w:jc w:val="both"/>
        <w:rPr>
          <w:rFonts w:ascii="Arial" w:hAnsi="Arial" w:cs="Arial"/>
          <w:bCs/>
          <w:sz w:val="24"/>
        </w:rPr>
      </w:pPr>
    </w:p>
    <w:p w:rsidR="00A947B1" w:rsidRPr="001A6ADA" w:rsidRDefault="001A6ADA" w:rsidP="00166FC5">
      <w:pPr>
        <w:pStyle w:val="Prrafodelista"/>
        <w:spacing w:after="0"/>
        <w:ind w:left="0"/>
        <w:contextualSpacing/>
        <w:jc w:val="both"/>
        <w:rPr>
          <w:rFonts w:ascii="Arial" w:hAnsi="Arial" w:cs="Arial"/>
          <w:b/>
          <w:bCs/>
          <w:sz w:val="24"/>
          <w:u w:val="single"/>
        </w:rPr>
      </w:pPr>
      <w:r w:rsidRPr="001A6ADA">
        <w:rPr>
          <w:rFonts w:ascii="Arial" w:hAnsi="Arial" w:cs="Arial"/>
          <w:b/>
          <w:bCs/>
          <w:sz w:val="24"/>
          <w:u w:val="single"/>
        </w:rPr>
        <w:t>Fondos y Bienes de Terceros en Garantía y/o Administración a Corto Plazo</w:t>
      </w:r>
    </w:p>
    <w:p w:rsidR="00A947B1" w:rsidRDefault="00A947B1" w:rsidP="00166FC5">
      <w:pPr>
        <w:pStyle w:val="Prrafodelista"/>
        <w:spacing w:after="0"/>
        <w:ind w:left="0"/>
        <w:contextualSpacing/>
        <w:jc w:val="both"/>
        <w:rPr>
          <w:rFonts w:ascii="Arial" w:hAnsi="Arial" w:cs="Arial"/>
          <w:bCs/>
          <w:sz w:val="24"/>
        </w:rPr>
      </w:pPr>
    </w:p>
    <w:p w:rsidR="00A947B1" w:rsidRDefault="00A947B1" w:rsidP="00166FC5">
      <w:pPr>
        <w:pStyle w:val="Prrafodelista"/>
        <w:spacing w:after="0"/>
        <w:ind w:left="0"/>
        <w:contextualSpacing/>
        <w:jc w:val="both"/>
        <w:rPr>
          <w:rFonts w:ascii="Arial" w:hAnsi="Arial" w:cs="Arial"/>
          <w:bCs/>
          <w:sz w:val="24"/>
        </w:rPr>
      </w:pPr>
    </w:p>
    <w:p w:rsidR="00A947B1" w:rsidRDefault="001A6ADA" w:rsidP="00166FC5">
      <w:pPr>
        <w:pStyle w:val="Prrafodelista"/>
        <w:spacing w:after="0"/>
        <w:ind w:left="0"/>
        <w:contextualSpacing/>
        <w:jc w:val="both"/>
        <w:rPr>
          <w:rFonts w:ascii="Arial" w:hAnsi="Arial" w:cs="Arial"/>
          <w:bCs/>
          <w:sz w:val="24"/>
        </w:rPr>
      </w:pPr>
      <w:r>
        <w:rPr>
          <w:rFonts w:ascii="Arial" w:hAnsi="Arial" w:cs="Arial"/>
          <w:bCs/>
          <w:sz w:val="24"/>
        </w:rPr>
        <w:lastRenderedPageBreak/>
        <w:t xml:space="preserve">25. </w:t>
      </w:r>
      <w:r w:rsidRPr="001A6ADA">
        <w:rPr>
          <w:rFonts w:ascii="Arial" w:hAnsi="Arial" w:cs="Arial"/>
          <w:bCs/>
          <w:sz w:val="24"/>
        </w:rPr>
        <w:t>Se observó que existen pasivos registrados por valor de $603,270 que presentan una antigüedad de hasta cinco años y que al 31 de diciembre de 2015 no han sido liquidados por el Ente Público, a continuación se muestra su integración:</w:t>
      </w:r>
    </w:p>
    <w:p w:rsidR="001A6ADA" w:rsidRDefault="001A6ADA" w:rsidP="00166FC5">
      <w:pPr>
        <w:pStyle w:val="Prrafodelista"/>
        <w:spacing w:after="0"/>
        <w:ind w:left="0"/>
        <w:contextualSpacing/>
        <w:jc w:val="both"/>
        <w:rPr>
          <w:rFonts w:ascii="Arial" w:hAnsi="Arial" w:cs="Arial"/>
          <w:bCs/>
          <w:sz w:val="24"/>
        </w:rPr>
      </w:pPr>
    </w:p>
    <w:tbl>
      <w:tblPr>
        <w:tblW w:w="248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9"/>
        <w:gridCol w:w="367"/>
        <w:gridCol w:w="1510"/>
      </w:tblGrid>
      <w:tr w:rsidR="001A6ADA" w:rsidRPr="001A6ADA" w:rsidTr="001A6ADA">
        <w:trPr>
          <w:tblHeader/>
          <w:tblCellSpacing w:w="15" w:type="dxa"/>
          <w:jc w:val="center"/>
        </w:trPr>
        <w:tc>
          <w:tcPr>
            <w:tcW w:w="2756" w:type="pct"/>
            <w:shd w:val="clear" w:color="auto" w:fill="A6A6A6" w:themeFill="background1" w:themeFillShade="A6"/>
            <w:vAlign w:val="center"/>
            <w:hideMark/>
          </w:tcPr>
          <w:p w:rsidR="001A6ADA" w:rsidRPr="001A6ADA" w:rsidRDefault="001A6ADA" w:rsidP="001A6ADA">
            <w:pPr>
              <w:jc w:val="center"/>
              <w:rPr>
                <w:rFonts w:ascii="Arial" w:hAnsi="Arial" w:cs="Arial"/>
                <w:sz w:val="14"/>
                <w:szCs w:val="14"/>
                <w:u w:val="single"/>
                <w:lang w:val="es-MX" w:eastAsia="es-MX"/>
              </w:rPr>
            </w:pPr>
            <w:r w:rsidRPr="001A6ADA">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sz w:val="14"/>
                <w:szCs w:val="14"/>
                <w:u w:val="single"/>
                <w:lang w:val="es-MX" w:eastAsia="es-MX"/>
              </w:rPr>
            </w:pPr>
            <w:r w:rsidRPr="001A6ADA">
              <w:rPr>
                <w:rFonts w:ascii="Arial" w:hAnsi="Arial" w:cs="Arial"/>
                <w:sz w:val="14"/>
                <w:szCs w:val="14"/>
                <w:u w:val="single"/>
                <w:lang w:val="es-MX" w:eastAsia="es-MX"/>
              </w:rPr>
              <w:t>Importe</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Héctor Caballero E.</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442,099</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Raúl Solís G. Lázaro Cárdenas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72,966</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Jorge Barrera G, 204 J.S. Martí</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23,105</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Jesús G. Cantú A, Ampl.Fom.12</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18,026</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Lino González P, Cerro Verde</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15,344</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Sergio E. </w:t>
            </w:r>
            <w:proofErr w:type="spellStart"/>
            <w:r w:rsidRPr="001A6ADA">
              <w:rPr>
                <w:rFonts w:ascii="Arial" w:hAnsi="Arial" w:cs="Arial"/>
                <w:sz w:val="14"/>
                <w:szCs w:val="14"/>
                <w:lang w:val="es-MX" w:eastAsia="es-MX"/>
              </w:rPr>
              <w:t>Meade</w:t>
            </w:r>
            <w:proofErr w:type="spellEnd"/>
            <w:r w:rsidRPr="001A6ADA">
              <w:rPr>
                <w:rFonts w:ascii="Arial" w:hAnsi="Arial" w:cs="Arial"/>
                <w:sz w:val="14"/>
                <w:szCs w:val="14"/>
                <w:lang w:val="es-MX" w:eastAsia="es-MX"/>
              </w:rPr>
              <w:t xml:space="preserve"> S, Lomas Modelo</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15,061</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Raúl Villarreal T, </w:t>
            </w:r>
            <w:proofErr w:type="spellStart"/>
            <w:r w:rsidRPr="001A6ADA">
              <w:rPr>
                <w:rFonts w:ascii="Arial" w:hAnsi="Arial" w:cs="Arial"/>
                <w:sz w:val="14"/>
                <w:szCs w:val="14"/>
                <w:lang w:val="es-MX" w:eastAsia="es-MX"/>
              </w:rPr>
              <w:t>Estanzuela</w:t>
            </w:r>
            <w:proofErr w:type="spellEnd"/>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4,680</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Municipio de Santiago, N.L.</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4,384</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José G. Páez T, Avance Popular</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3,638</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Pedro Duelos U., Col. Salvador</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2,710</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Otras menores a $2,000 [4]</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1,255</w:t>
            </w:r>
          </w:p>
        </w:tc>
      </w:tr>
      <w:tr w:rsidR="001A6ADA" w:rsidRPr="001A6ADA" w:rsidTr="001A6ADA">
        <w:trPr>
          <w:tblCellSpacing w:w="15" w:type="dxa"/>
          <w:jc w:val="center"/>
        </w:trPr>
        <w:tc>
          <w:tcPr>
            <w:tcW w:w="2756"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Total</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603,270</w:t>
            </w:r>
          </w:p>
        </w:tc>
      </w:tr>
    </w:tbl>
    <w:p w:rsidR="001A6ADA" w:rsidRDefault="001A6ADA" w:rsidP="001A6ADA">
      <w:pPr>
        <w:pStyle w:val="Prrafodelista"/>
        <w:spacing w:after="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
          <w:bCs/>
          <w:sz w:val="24"/>
        </w:rPr>
      </w:pPr>
      <w:r w:rsidRPr="001A6ADA">
        <w:rPr>
          <w:rFonts w:ascii="Arial" w:hAnsi="Arial" w:cs="Arial"/>
          <w:b/>
          <w:bCs/>
          <w:sz w:val="24"/>
        </w:rPr>
        <w:t>Acción(es) o recomendación(es) emitida(s)</w:t>
      </w:r>
    </w:p>
    <w:p w:rsidR="00A947B1" w:rsidRPr="001A6ADA" w:rsidRDefault="001A6ADA" w:rsidP="001A6ADA">
      <w:pPr>
        <w:pStyle w:val="Prrafodelista"/>
        <w:spacing w:after="0"/>
        <w:ind w:left="0"/>
        <w:contextualSpacing/>
        <w:jc w:val="both"/>
        <w:rPr>
          <w:rFonts w:ascii="Arial" w:hAnsi="Arial" w:cs="Arial"/>
          <w:bCs/>
          <w:i/>
          <w:sz w:val="24"/>
        </w:rPr>
      </w:pPr>
      <w:r w:rsidRPr="001A6ADA">
        <w:rPr>
          <w:rFonts w:ascii="Arial" w:hAnsi="Arial" w:cs="Arial"/>
          <w:bCs/>
          <w:i/>
          <w:sz w:val="24"/>
        </w:rPr>
        <w:t>Recomendaciones en Relación a la Gestión o Control Interno.</w:t>
      </w:r>
    </w:p>
    <w:p w:rsidR="00A947B1" w:rsidRDefault="00A947B1" w:rsidP="00166FC5">
      <w:pPr>
        <w:pStyle w:val="Prrafodelista"/>
        <w:spacing w:after="0"/>
        <w:ind w:left="0"/>
        <w:contextualSpacing/>
        <w:jc w:val="both"/>
        <w:rPr>
          <w:rFonts w:ascii="Arial" w:hAnsi="Arial" w:cs="Arial"/>
          <w:bCs/>
          <w:sz w:val="24"/>
        </w:rPr>
      </w:pPr>
    </w:p>
    <w:p w:rsidR="001A6ADA" w:rsidRDefault="001A6ADA" w:rsidP="00166FC5">
      <w:pPr>
        <w:pStyle w:val="Prrafodelista"/>
        <w:spacing w:after="0"/>
        <w:ind w:left="0"/>
        <w:contextualSpacing/>
        <w:jc w:val="both"/>
        <w:rPr>
          <w:rFonts w:ascii="Arial" w:hAnsi="Arial" w:cs="Arial"/>
          <w:bCs/>
          <w:sz w:val="24"/>
        </w:rPr>
      </w:pPr>
    </w:p>
    <w:p w:rsidR="001A6ADA" w:rsidRPr="001A6ADA" w:rsidRDefault="001A6ADA" w:rsidP="00166FC5">
      <w:pPr>
        <w:pStyle w:val="Prrafodelista"/>
        <w:spacing w:after="0"/>
        <w:ind w:left="0"/>
        <w:contextualSpacing/>
        <w:jc w:val="both"/>
        <w:rPr>
          <w:rFonts w:ascii="Arial" w:hAnsi="Arial" w:cs="Arial"/>
          <w:b/>
          <w:bCs/>
          <w:sz w:val="24"/>
          <w:u w:val="single"/>
        </w:rPr>
      </w:pPr>
      <w:r w:rsidRPr="001A6ADA">
        <w:rPr>
          <w:rFonts w:ascii="Arial" w:hAnsi="Arial" w:cs="Arial"/>
          <w:b/>
          <w:bCs/>
          <w:sz w:val="24"/>
          <w:u w:val="single"/>
        </w:rPr>
        <w:t>Otros Pasivos a Corto Plazo</w:t>
      </w:r>
    </w:p>
    <w:p w:rsidR="00A947B1" w:rsidRDefault="00A947B1" w:rsidP="00166FC5">
      <w:pPr>
        <w:pStyle w:val="Prrafodelista"/>
        <w:spacing w:after="0"/>
        <w:ind w:left="0"/>
        <w:contextualSpacing/>
        <w:jc w:val="both"/>
        <w:rPr>
          <w:rFonts w:ascii="Arial" w:hAnsi="Arial" w:cs="Arial"/>
          <w:bCs/>
          <w:sz w:val="24"/>
        </w:rPr>
      </w:pPr>
    </w:p>
    <w:p w:rsidR="001A6ADA" w:rsidRDefault="001A6ADA" w:rsidP="00166FC5">
      <w:pPr>
        <w:pStyle w:val="Prrafodelista"/>
        <w:spacing w:after="0"/>
        <w:ind w:left="0"/>
        <w:contextualSpacing/>
        <w:jc w:val="both"/>
        <w:rPr>
          <w:rFonts w:ascii="Arial" w:hAnsi="Arial" w:cs="Arial"/>
          <w:bCs/>
          <w:sz w:val="24"/>
        </w:rPr>
      </w:pPr>
    </w:p>
    <w:p w:rsidR="00A947B1" w:rsidRDefault="001A6ADA" w:rsidP="001A6ADA">
      <w:pPr>
        <w:pStyle w:val="Prrafodelista"/>
        <w:spacing w:after="0"/>
        <w:ind w:left="0"/>
        <w:contextualSpacing/>
        <w:jc w:val="both"/>
        <w:rPr>
          <w:rFonts w:ascii="Arial" w:hAnsi="Arial" w:cs="Arial"/>
          <w:bCs/>
          <w:sz w:val="24"/>
        </w:rPr>
      </w:pPr>
      <w:r>
        <w:rPr>
          <w:rFonts w:ascii="Arial" w:hAnsi="Arial" w:cs="Arial"/>
          <w:bCs/>
          <w:sz w:val="24"/>
        </w:rPr>
        <w:lastRenderedPageBreak/>
        <w:t xml:space="preserve">26. </w:t>
      </w:r>
      <w:r w:rsidRPr="001A6ADA">
        <w:rPr>
          <w:rFonts w:ascii="Arial" w:hAnsi="Arial" w:cs="Arial"/>
          <w:bCs/>
          <w:sz w:val="24"/>
        </w:rPr>
        <w:t>Se observó que existen pasivos que corresponden a anticipos de clientes, a los cuales no se les ha asignado un terreno por valor total de $2</w:t>
      </w:r>
      <w:proofErr w:type="gramStart"/>
      <w:r w:rsidRPr="001A6ADA">
        <w:rPr>
          <w:rFonts w:ascii="Arial" w:hAnsi="Arial" w:cs="Arial"/>
          <w:bCs/>
          <w:sz w:val="24"/>
        </w:rPr>
        <w:t>,233,732</w:t>
      </w:r>
      <w:proofErr w:type="gramEnd"/>
      <w:r w:rsidRPr="001A6ADA">
        <w:rPr>
          <w:rFonts w:ascii="Arial" w:hAnsi="Arial" w:cs="Arial"/>
          <w:bCs/>
          <w:sz w:val="24"/>
        </w:rPr>
        <w:t xml:space="preserve"> que presentan una antigüedad superior a un año. Su integración es la siguiente:</w:t>
      </w:r>
    </w:p>
    <w:p w:rsidR="001A6ADA" w:rsidRDefault="001A6ADA" w:rsidP="001A6ADA">
      <w:pPr>
        <w:pStyle w:val="Prrafodelista"/>
        <w:spacing w:after="0"/>
        <w:ind w:left="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p>
    <w:tbl>
      <w:tblPr>
        <w:tblW w:w="259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0"/>
        <w:gridCol w:w="362"/>
        <w:gridCol w:w="1789"/>
      </w:tblGrid>
      <w:tr w:rsidR="001A6ADA" w:rsidRPr="001A6ADA" w:rsidTr="001A6ADA">
        <w:trPr>
          <w:tblHeader/>
          <w:tblCellSpacing w:w="15" w:type="dxa"/>
          <w:jc w:val="center"/>
        </w:trPr>
        <w:tc>
          <w:tcPr>
            <w:tcW w:w="2529" w:type="pct"/>
            <w:shd w:val="clear" w:color="auto" w:fill="A6A6A6" w:themeFill="background1" w:themeFillShade="A6"/>
            <w:vAlign w:val="center"/>
            <w:hideMark/>
          </w:tcPr>
          <w:p w:rsidR="001A6ADA" w:rsidRPr="001A6ADA" w:rsidRDefault="001A6ADA" w:rsidP="001A6ADA">
            <w:pPr>
              <w:jc w:val="center"/>
              <w:rPr>
                <w:rFonts w:ascii="Arial" w:hAnsi="Arial" w:cs="Arial"/>
                <w:sz w:val="14"/>
                <w:szCs w:val="14"/>
                <w:u w:val="single"/>
                <w:lang w:val="es-MX" w:eastAsia="es-MX"/>
              </w:rPr>
            </w:pPr>
            <w:r w:rsidRPr="001A6ADA">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sz w:val="14"/>
                <w:szCs w:val="14"/>
                <w:u w:val="single"/>
                <w:lang w:val="es-MX" w:eastAsia="es-MX"/>
              </w:rPr>
            </w:pPr>
            <w:r w:rsidRPr="001A6ADA">
              <w:rPr>
                <w:rFonts w:ascii="Arial" w:hAnsi="Arial" w:cs="Arial"/>
                <w:sz w:val="14"/>
                <w:szCs w:val="14"/>
                <w:u w:val="single"/>
                <w:lang w:val="es-MX" w:eastAsia="es-MX"/>
              </w:rPr>
              <w:t>Importe</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proofErr w:type="spellStart"/>
            <w:r w:rsidRPr="001A6ADA">
              <w:rPr>
                <w:rFonts w:ascii="Arial" w:hAnsi="Arial" w:cs="Arial"/>
                <w:sz w:val="14"/>
                <w:szCs w:val="14"/>
                <w:lang w:val="es-MX" w:eastAsia="es-MX"/>
              </w:rPr>
              <w:t>Volkram</w:t>
            </w:r>
            <w:proofErr w:type="spellEnd"/>
            <w:r w:rsidRPr="001A6ADA">
              <w:rPr>
                <w:rFonts w:ascii="Arial" w:hAnsi="Arial" w:cs="Arial"/>
                <w:sz w:val="14"/>
                <w:szCs w:val="14"/>
                <w:lang w:val="es-MX" w:eastAsia="es-MX"/>
              </w:rPr>
              <w:t>, S.A. de C.V.</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726,000</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Alianza Real 2da Etapa</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642,047</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F.210, Alianza </w:t>
            </w:r>
            <w:proofErr w:type="spellStart"/>
            <w:r w:rsidRPr="001A6ADA">
              <w:rPr>
                <w:rFonts w:ascii="Arial" w:hAnsi="Arial" w:cs="Arial"/>
                <w:sz w:val="14"/>
                <w:szCs w:val="14"/>
                <w:lang w:val="es-MX" w:eastAsia="es-MX"/>
              </w:rPr>
              <w:t>Sec</w:t>
            </w:r>
            <w:proofErr w:type="spellEnd"/>
            <w:r w:rsidRPr="001A6ADA">
              <w:rPr>
                <w:rFonts w:ascii="Arial" w:hAnsi="Arial" w:cs="Arial"/>
                <w:sz w:val="14"/>
                <w:szCs w:val="14"/>
                <w:lang w:val="es-MX" w:eastAsia="es-MX"/>
              </w:rPr>
              <w:t xml:space="preserve"> J.</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206,500</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Renacimiento, García, N.L.</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192,000</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Linares Ventas Especiales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158,338</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Otros Predios</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90,000</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F.48 - Arco </w:t>
            </w:r>
            <w:proofErr w:type="spellStart"/>
            <w:r w:rsidRPr="001A6ADA">
              <w:rPr>
                <w:rFonts w:ascii="Arial" w:hAnsi="Arial" w:cs="Arial"/>
                <w:sz w:val="14"/>
                <w:szCs w:val="14"/>
                <w:lang w:val="es-MX" w:eastAsia="es-MX"/>
              </w:rPr>
              <w:t>Víal</w:t>
            </w:r>
            <w:proofErr w:type="spellEnd"/>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68,511</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F.159 - Zaragoza</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67,664</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proofErr w:type="spellStart"/>
            <w:r w:rsidRPr="001A6ADA">
              <w:rPr>
                <w:rFonts w:ascii="Arial" w:hAnsi="Arial" w:cs="Arial"/>
                <w:sz w:val="14"/>
                <w:szCs w:val="14"/>
                <w:lang w:val="es-MX" w:eastAsia="es-MX"/>
              </w:rPr>
              <w:t>Estanzuela</w:t>
            </w:r>
            <w:proofErr w:type="spellEnd"/>
            <w:r w:rsidRPr="001A6ADA">
              <w:rPr>
                <w:rFonts w:ascii="Arial" w:hAnsi="Arial" w:cs="Arial"/>
                <w:sz w:val="14"/>
                <w:szCs w:val="14"/>
                <w:lang w:val="es-MX" w:eastAsia="es-MX"/>
              </w:rPr>
              <w:t>, CTM</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42,060</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 xml:space="preserve">Vivienda Digna, Fomerrey </w:t>
            </w:r>
            <w:proofErr w:type="spellStart"/>
            <w:r w:rsidRPr="001A6ADA">
              <w:rPr>
                <w:rFonts w:ascii="Arial" w:hAnsi="Arial" w:cs="Arial"/>
                <w:sz w:val="14"/>
                <w:szCs w:val="14"/>
                <w:lang w:val="es-MX" w:eastAsia="es-MX"/>
              </w:rPr>
              <w:t>Nantar</w:t>
            </w:r>
            <w:proofErr w:type="spellEnd"/>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15,200</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F.159 - Evolución</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15,175</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Otros menores a $10,000 [8]</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10,237</w:t>
            </w:r>
          </w:p>
        </w:tc>
      </w:tr>
      <w:tr w:rsidR="001A6ADA" w:rsidRPr="001A6ADA" w:rsidTr="001A6ADA">
        <w:trPr>
          <w:tblCellSpacing w:w="15" w:type="dxa"/>
          <w:jc w:val="center"/>
        </w:trPr>
        <w:tc>
          <w:tcPr>
            <w:tcW w:w="2529" w:type="pct"/>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Total</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2,233,732</w:t>
            </w:r>
          </w:p>
        </w:tc>
      </w:tr>
    </w:tbl>
    <w:p w:rsidR="000317F4" w:rsidRDefault="000317F4" w:rsidP="001A6ADA">
      <w:pPr>
        <w:pStyle w:val="Prrafodelista"/>
        <w:spacing w:after="0"/>
        <w:ind w:left="0"/>
        <w:contextualSpacing/>
        <w:jc w:val="both"/>
        <w:rPr>
          <w:rFonts w:ascii="Arial" w:hAnsi="Arial" w:cs="Arial"/>
          <w:b/>
          <w:bCs/>
          <w:sz w:val="24"/>
        </w:rPr>
      </w:pPr>
    </w:p>
    <w:p w:rsidR="001A6ADA" w:rsidRPr="001A6ADA" w:rsidRDefault="001A6ADA" w:rsidP="001A6ADA">
      <w:pPr>
        <w:pStyle w:val="Prrafodelista"/>
        <w:spacing w:after="0"/>
        <w:ind w:left="0"/>
        <w:contextualSpacing/>
        <w:jc w:val="both"/>
        <w:rPr>
          <w:rFonts w:ascii="Arial" w:hAnsi="Arial" w:cs="Arial"/>
          <w:b/>
          <w:bCs/>
          <w:sz w:val="24"/>
        </w:rPr>
      </w:pPr>
      <w:r w:rsidRPr="001A6ADA">
        <w:rPr>
          <w:rFonts w:ascii="Arial" w:hAnsi="Arial" w:cs="Arial"/>
          <w:b/>
          <w:bCs/>
          <w:sz w:val="24"/>
        </w:rPr>
        <w:t>Acción(es) o recomendación(es) emitida(s)</w:t>
      </w:r>
    </w:p>
    <w:p w:rsidR="00A947B1" w:rsidRPr="001A6ADA" w:rsidRDefault="001A6ADA" w:rsidP="001A6ADA">
      <w:pPr>
        <w:pStyle w:val="Prrafodelista"/>
        <w:spacing w:after="0"/>
        <w:ind w:left="0"/>
        <w:contextualSpacing/>
        <w:jc w:val="both"/>
        <w:rPr>
          <w:rFonts w:ascii="Arial" w:hAnsi="Arial" w:cs="Arial"/>
          <w:bCs/>
          <w:i/>
          <w:sz w:val="24"/>
        </w:rPr>
      </w:pPr>
      <w:r w:rsidRPr="001A6ADA">
        <w:rPr>
          <w:rFonts w:ascii="Arial" w:hAnsi="Arial" w:cs="Arial"/>
          <w:bCs/>
          <w:i/>
          <w:sz w:val="24"/>
        </w:rPr>
        <w:t>Recomendaciones en Relación a la Gestión o Control Interno.</w:t>
      </w:r>
    </w:p>
    <w:p w:rsidR="00A947B1" w:rsidRDefault="00A947B1" w:rsidP="00166FC5">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
          <w:bCs/>
          <w:sz w:val="24"/>
          <w:u w:val="single"/>
        </w:rPr>
      </w:pPr>
      <w:r w:rsidRPr="001A6ADA">
        <w:rPr>
          <w:rFonts w:ascii="Arial" w:hAnsi="Arial" w:cs="Arial"/>
          <w:b/>
          <w:bCs/>
          <w:sz w:val="24"/>
          <w:u w:val="single"/>
        </w:rPr>
        <w:t>Porción a Corto Plazo de la Deuda Pública a Largo Plazo</w:t>
      </w:r>
    </w:p>
    <w:p w:rsidR="00A947B1" w:rsidRPr="001A6ADA" w:rsidRDefault="001A6ADA" w:rsidP="001A6ADA">
      <w:pPr>
        <w:pStyle w:val="Prrafodelista"/>
        <w:spacing w:after="0"/>
        <w:ind w:left="0"/>
        <w:contextualSpacing/>
        <w:jc w:val="both"/>
        <w:rPr>
          <w:rFonts w:ascii="Arial" w:hAnsi="Arial" w:cs="Arial"/>
          <w:b/>
          <w:bCs/>
          <w:sz w:val="24"/>
          <w:u w:val="single"/>
        </w:rPr>
      </w:pPr>
      <w:r w:rsidRPr="001A6ADA">
        <w:rPr>
          <w:rFonts w:ascii="Arial" w:hAnsi="Arial" w:cs="Arial"/>
          <w:b/>
          <w:bCs/>
          <w:sz w:val="24"/>
          <w:u w:val="single"/>
        </w:rPr>
        <w:lastRenderedPageBreak/>
        <w:t>Porción a Corto Plazo de la Deuda Pública Interna</w:t>
      </w:r>
    </w:p>
    <w:p w:rsidR="00A947B1" w:rsidRDefault="00A947B1" w:rsidP="00166FC5">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Cs/>
          <w:sz w:val="24"/>
        </w:rPr>
      </w:pPr>
      <w:r>
        <w:rPr>
          <w:rFonts w:ascii="Arial" w:hAnsi="Arial" w:cs="Arial"/>
          <w:bCs/>
          <w:sz w:val="24"/>
        </w:rPr>
        <w:t>27</w:t>
      </w:r>
      <w:proofErr w:type="gramStart"/>
      <w:r>
        <w:rPr>
          <w:rFonts w:ascii="Arial" w:hAnsi="Arial" w:cs="Arial"/>
          <w:bCs/>
          <w:sz w:val="24"/>
        </w:rPr>
        <w:t>.</w:t>
      </w:r>
      <w:r w:rsidRPr="001A6ADA">
        <w:rPr>
          <w:rFonts w:ascii="Arial" w:hAnsi="Arial" w:cs="Arial"/>
          <w:bCs/>
          <w:sz w:val="24"/>
        </w:rPr>
        <w:t>El</w:t>
      </w:r>
      <w:proofErr w:type="gramEnd"/>
      <w:r w:rsidRPr="001A6ADA">
        <w:rPr>
          <w:rFonts w:ascii="Arial" w:hAnsi="Arial" w:cs="Arial"/>
          <w:bCs/>
          <w:sz w:val="24"/>
        </w:rPr>
        <w:t xml:space="preserve"> Ente Público tiene registrado un pasivo por $105,864 proveniente del ejercicio 2011 a favor del municipio de El Carmen, Nuevo León, por concepto del impuesto predial correspondiente a 672 lotes habitacionales de los cuales observamos que al 31 de diciembre de 2015 no han sido liquidados, es de mencionarse que al momento de su pago causaran actualización y recargos en perjuicio del Ente Público.</w:t>
      </w:r>
    </w:p>
    <w:p w:rsidR="001A6ADA" w:rsidRDefault="001A6ADA" w:rsidP="001A6ADA">
      <w:pPr>
        <w:pStyle w:val="Prrafodelista"/>
        <w:spacing w:after="0"/>
        <w:ind w:left="0"/>
        <w:contextualSpacing/>
        <w:jc w:val="both"/>
        <w:rPr>
          <w:rFonts w:ascii="Arial" w:hAnsi="Arial" w:cs="Arial"/>
          <w:bCs/>
          <w:sz w:val="24"/>
        </w:rPr>
      </w:pPr>
    </w:p>
    <w:p w:rsidR="00A947B1"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En revisión de eventos posteriores al 31 de marzo de 2016 no ha sido liquidado el adeudo.</w:t>
      </w:r>
    </w:p>
    <w:p w:rsidR="001A6ADA" w:rsidRPr="001A6ADA" w:rsidRDefault="001A6ADA" w:rsidP="001A6ADA">
      <w:pPr>
        <w:pStyle w:val="Prrafodelista"/>
        <w:spacing w:after="0"/>
        <w:ind w:left="0"/>
        <w:contextualSpacing/>
        <w:jc w:val="both"/>
        <w:rPr>
          <w:rFonts w:ascii="Arial" w:hAnsi="Arial" w:cs="Arial"/>
          <w:b/>
          <w:bCs/>
          <w:sz w:val="24"/>
        </w:rPr>
      </w:pPr>
      <w:r w:rsidRPr="001A6ADA">
        <w:rPr>
          <w:rFonts w:ascii="Arial" w:hAnsi="Arial" w:cs="Arial"/>
          <w:b/>
          <w:bCs/>
          <w:sz w:val="24"/>
        </w:rPr>
        <w:t>Análisis de la Auditoría Superior del Estado</w:t>
      </w:r>
    </w:p>
    <w:p w:rsid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Derivado del análisis de la respuesta y documentación presentada por el Titular y Extitular del Ente Público,</w:t>
      </w:r>
      <w:r>
        <w:rPr>
          <w:rFonts w:ascii="Arial" w:hAnsi="Arial" w:cs="Arial"/>
          <w:bCs/>
          <w:sz w:val="24"/>
        </w:rPr>
        <w:t xml:space="preserve"> la Auditoría determinó que esta observación se solventó</w:t>
      </w:r>
      <w:r w:rsidRPr="001A6ADA">
        <w:rPr>
          <w:rFonts w:ascii="Arial" w:hAnsi="Arial" w:cs="Arial"/>
          <w:bCs/>
          <w:sz w:val="24"/>
        </w:rPr>
        <w:t xml:space="preserve"> parcialmente, ya que</w:t>
      </w:r>
      <w:r>
        <w:rPr>
          <w:rFonts w:ascii="Arial" w:hAnsi="Arial" w:cs="Arial"/>
          <w:bCs/>
          <w:sz w:val="24"/>
        </w:rPr>
        <w:t xml:space="preserve"> durante el proceso de auditoría se estaban</w:t>
      </w:r>
      <w:r w:rsidRPr="001A6ADA">
        <w:rPr>
          <w:rFonts w:ascii="Arial" w:hAnsi="Arial" w:cs="Arial"/>
          <w:bCs/>
          <w:sz w:val="24"/>
        </w:rPr>
        <w:t xml:space="preserve"> realizando las gestiones para determinar el monto del adeudo y proceder a la programación de su pago.</w:t>
      </w:r>
    </w:p>
    <w:p w:rsidR="001A6ADA" w:rsidRP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
          <w:bCs/>
          <w:sz w:val="24"/>
        </w:rPr>
      </w:pPr>
      <w:r w:rsidRPr="001A6ADA">
        <w:rPr>
          <w:rFonts w:ascii="Arial" w:hAnsi="Arial" w:cs="Arial"/>
          <w:b/>
          <w:bCs/>
          <w:sz w:val="24"/>
        </w:rPr>
        <w:t>Acción(es) o recomendación(es) emitida(s)</w:t>
      </w:r>
    </w:p>
    <w:p w:rsidR="001A6ADA" w:rsidRPr="001A6ADA" w:rsidRDefault="001A6ADA" w:rsidP="001A6ADA">
      <w:pPr>
        <w:pStyle w:val="Prrafodelista"/>
        <w:spacing w:after="0"/>
        <w:ind w:left="0"/>
        <w:contextualSpacing/>
        <w:jc w:val="both"/>
        <w:rPr>
          <w:rFonts w:ascii="Arial" w:hAnsi="Arial" w:cs="Arial"/>
          <w:bCs/>
          <w:i/>
          <w:sz w:val="24"/>
        </w:rPr>
      </w:pPr>
      <w:r w:rsidRPr="001A6ADA">
        <w:rPr>
          <w:rFonts w:ascii="Arial" w:hAnsi="Arial" w:cs="Arial"/>
          <w:bCs/>
          <w:i/>
          <w:sz w:val="24"/>
        </w:rPr>
        <w:t>Recomendaciones en Relación a la Gestión o Control Interno.</w:t>
      </w:r>
    </w:p>
    <w:p w:rsidR="001A6ADA" w:rsidRDefault="001A6ADA" w:rsidP="001A6ADA">
      <w:pPr>
        <w:pStyle w:val="Prrafodelista"/>
        <w:spacing w:after="0"/>
        <w:ind w:left="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
          <w:bCs/>
          <w:sz w:val="24"/>
          <w:u w:val="single"/>
        </w:rPr>
      </w:pPr>
      <w:r w:rsidRPr="001A6ADA">
        <w:rPr>
          <w:rFonts w:ascii="Arial" w:hAnsi="Arial" w:cs="Arial"/>
          <w:b/>
          <w:bCs/>
          <w:sz w:val="24"/>
          <w:u w:val="single"/>
        </w:rPr>
        <w:t>Pasivo no circulante</w:t>
      </w:r>
    </w:p>
    <w:p w:rsidR="001A6ADA" w:rsidRPr="001A6ADA" w:rsidRDefault="001A6ADA" w:rsidP="001A6ADA">
      <w:pPr>
        <w:pStyle w:val="Prrafodelista"/>
        <w:spacing w:after="0"/>
        <w:ind w:left="0"/>
        <w:contextualSpacing/>
        <w:jc w:val="both"/>
        <w:rPr>
          <w:rFonts w:ascii="Arial" w:hAnsi="Arial" w:cs="Arial"/>
          <w:b/>
          <w:bCs/>
          <w:sz w:val="24"/>
          <w:u w:val="single"/>
        </w:rPr>
      </w:pPr>
      <w:r w:rsidRPr="001A6ADA">
        <w:rPr>
          <w:rFonts w:ascii="Arial" w:hAnsi="Arial" w:cs="Arial"/>
          <w:b/>
          <w:bCs/>
          <w:sz w:val="24"/>
          <w:u w:val="single"/>
        </w:rPr>
        <w:t>Documentos por Pagar a Largo Plazo</w:t>
      </w:r>
    </w:p>
    <w:p w:rsidR="001A6ADA" w:rsidRDefault="001A6ADA" w:rsidP="001A6ADA">
      <w:pPr>
        <w:pStyle w:val="Prrafodelista"/>
        <w:spacing w:after="0"/>
        <w:ind w:left="0"/>
        <w:contextualSpacing/>
        <w:jc w:val="both"/>
        <w:rPr>
          <w:rFonts w:ascii="Arial" w:hAnsi="Arial" w:cs="Arial"/>
          <w:b/>
          <w:bCs/>
          <w:sz w:val="24"/>
          <w:u w:val="single"/>
        </w:rPr>
      </w:pPr>
      <w:r w:rsidRPr="001A6ADA">
        <w:rPr>
          <w:rFonts w:ascii="Arial" w:hAnsi="Arial" w:cs="Arial"/>
          <w:b/>
          <w:bCs/>
          <w:sz w:val="24"/>
          <w:u w:val="single"/>
        </w:rPr>
        <w:t>Documentos comerciales por pagar</w:t>
      </w:r>
    </w:p>
    <w:p w:rsidR="001A6ADA" w:rsidRDefault="001A6ADA" w:rsidP="001A6ADA">
      <w:pPr>
        <w:pStyle w:val="Prrafodelista"/>
        <w:spacing w:after="0"/>
        <w:ind w:left="0"/>
        <w:contextualSpacing/>
        <w:jc w:val="both"/>
        <w:rPr>
          <w:rFonts w:ascii="Arial" w:hAnsi="Arial" w:cs="Arial"/>
          <w:b/>
          <w:bCs/>
          <w:sz w:val="24"/>
          <w:u w:val="single"/>
        </w:rPr>
      </w:pPr>
    </w:p>
    <w:p w:rsidR="001A6ADA" w:rsidRPr="001A6ADA" w:rsidRDefault="001A6ADA" w:rsidP="001A6ADA">
      <w:pPr>
        <w:pStyle w:val="Prrafodelista"/>
        <w:spacing w:after="0"/>
        <w:ind w:left="0"/>
        <w:contextualSpacing/>
        <w:jc w:val="both"/>
        <w:rPr>
          <w:rFonts w:ascii="Arial" w:hAnsi="Arial" w:cs="Arial"/>
          <w:bCs/>
          <w:sz w:val="24"/>
        </w:rPr>
      </w:pPr>
      <w:r>
        <w:rPr>
          <w:rFonts w:ascii="Arial" w:hAnsi="Arial" w:cs="Arial"/>
          <w:bCs/>
          <w:sz w:val="24"/>
        </w:rPr>
        <w:t xml:space="preserve">28. </w:t>
      </w:r>
      <w:r w:rsidRPr="001A6ADA">
        <w:rPr>
          <w:rFonts w:ascii="Arial" w:hAnsi="Arial" w:cs="Arial"/>
          <w:bCs/>
          <w:sz w:val="24"/>
        </w:rPr>
        <w:t xml:space="preserve">El Ente Público tiene registrado un pasivo por $36,969,902 derivado de la expropiación a propietarios de terrenos invadidos, según Periódico Oficial del Estado de fecha 6 de octubre de 2003, en el cual se estipula que: "la indemnización correspondiente se pagará a los propietarios afectados que acrediten su legítimo derecho con cargo al patrimonio del Ente Público, </w:t>
      </w:r>
      <w:r w:rsidRPr="001A6ADA">
        <w:rPr>
          <w:rFonts w:ascii="Arial" w:hAnsi="Arial" w:cs="Arial"/>
          <w:bCs/>
          <w:sz w:val="24"/>
        </w:rPr>
        <w:lastRenderedPageBreak/>
        <w:t>conforme a las prescripciones indicadas en los artículos 10, 19 y 20 de la Ley de Expropiación por Causa de Utilidad Pública vigente en el Estado de Nuevo León, dentro de un período que no exceda de diez años", observando que el Ente Público no ha realizado las gestiones correspondientes para llevar a cabo las indemnizaciones a cada uno de los propietarios.</w:t>
      </w:r>
    </w:p>
    <w:p w:rsidR="001A6ADA" w:rsidRDefault="001A6ADA" w:rsidP="001A6ADA">
      <w:pPr>
        <w:pStyle w:val="Prrafodelista"/>
        <w:spacing w:after="0"/>
        <w:ind w:left="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Al 31 de diciembre de 2015 el saldo se integra como sigue:</w:t>
      </w:r>
    </w:p>
    <w:p w:rsidR="001A6ADA" w:rsidRP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contextualSpacing/>
        <w:jc w:val="both"/>
        <w:rPr>
          <w:rFonts w:ascii="Arial" w:hAnsi="Arial" w:cs="Arial"/>
          <w:bCs/>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9"/>
        <w:gridCol w:w="3703"/>
        <w:gridCol w:w="921"/>
        <w:gridCol w:w="158"/>
        <w:gridCol w:w="796"/>
      </w:tblGrid>
      <w:tr w:rsidR="001A6ADA" w:rsidRPr="001A6ADA" w:rsidTr="001A6ADA">
        <w:trPr>
          <w:tblCellSpacing w:w="15" w:type="dxa"/>
          <w:jc w:val="center"/>
        </w:trPr>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b/>
                <w:sz w:val="14"/>
                <w:szCs w:val="14"/>
                <w:u w:val="single"/>
                <w:lang w:val="es-MX" w:eastAsia="es-MX"/>
              </w:rPr>
            </w:pPr>
            <w:r w:rsidRPr="001A6ADA">
              <w:rPr>
                <w:rFonts w:ascii="Arial" w:hAnsi="Arial" w:cs="Arial"/>
                <w:b/>
                <w:sz w:val="14"/>
                <w:szCs w:val="14"/>
                <w:u w:val="single"/>
                <w:lang w:val="es-MX" w:eastAsia="es-MX"/>
              </w:rPr>
              <w:t>Propietario</w:t>
            </w: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b/>
                <w:sz w:val="14"/>
                <w:szCs w:val="14"/>
                <w:u w:val="single"/>
                <w:lang w:val="es-MX" w:eastAsia="es-MX"/>
              </w:rPr>
            </w:pPr>
            <w:r w:rsidRPr="001A6ADA">
              <w:rPr>
                <w:rFonts w:ascii="Arial" w:hAnsi="Arial" w:cs="Arial"/>
                <w:b/>
                <w:sz w:val="14"/>
                <w:szCs w:val="14"/>
                <w:u w:val="single"/>
                <w:lang w:val="es-MX" w:eastAsia="es-MX"/>
              </w:rPr>
              <w:t>Ubicación</w:t>
            </w: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b/>
                <w:sz w:val="14"/>
                <w:szCs w:val="14"/>
                <w:u w:val="single"/>
                <w:lang w:val="es-MX" w:eastAsia="es-MX"/>
              </w:rPr>
            </w:pPr>
            <w:r w:rsidRPr="001A6ADA">
              <w:rPr>
                <w:rFonts w:ascii="Arial" w:hAnsi="Arial" w:cs="Arial"/>
                <w:b/>
                <w:sz w:val="14"/>
                <w:szCs w:val="14"/>
                <w:u w:val="single"/>
                <w:lang w:val="es-MX" w:eastAsia="es-MX"/>
              </w:rPr>
              <w:t>Superficie m2</w:t>
            </w: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1A6ADA" w:rsidRPr="001A6ADA" w:rsidRDefault="001A6ADA" w:rsidP="001A6ADA">
            <w:pPr>
              <w:jc w:val="center"/>
              <w:rPr>
                <w:rFonts w:ascii="Arial" w:hAnsi="Arial" w:cs="Arial"/>
                <w:b/>
                <w:sz w:val="14"/>
                <w:szCs w:val="14"/>
                <w:u w:val="single"/>
                <w:lang w:val="es-MX" w:eastAsia="es-MX"/>
              </w:rPr>
            </w:pPr>
            <w:r w:rsidRPr="001A6ADA">
              <w:rPr>
                <w:rFonts w:ascii="Arial" w:hAnsi="Arial" w:cs="Arial"/>
                <w:b/>
                <w:sz w:val="14"/>
                <w:szCs w:val="14"/>
                <w:u w:val="single"/>
                <w:lang w:val="es-MX" w:eastAsia="es-MX"/>
              </w:rPr>
              <w:t>Importe</w:t>
            </w:r>
          </w:p>
        </w:tc>
      </w:tr>
      <w:tr w:rsidR="001A6ADA" w:rsidRPr="001A6ADA" w:rsidTr="001A6ADA">
        <w:trPr>
          <w:tblCellSpacing w:w="15" w:type="dxa"/>
          <w:jc w:val="center"/>
        </w:trPr>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Esther Marfil Alva Viuda de Castañeda</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Colonia Villa Alegre, Guadalupe, Nuevo León</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25,269.02</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1,883,000</w:t>
            </w:r>
          </w:p>
        </w:tc>
      </w:tr>
      <w:tr w:rsidR="001A6ADA" w:rsidRPr="001A6ADA" w:rsidTr="001A6ADA">
        <w:trPr>
          <w:tblCellSpacing w:w="15" w:type="dxa"/>
          <w:jc w:val="center"/>
        </w:trPr>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HSBC, S.A. de C.V.</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Colonia Emiliano Zapata, identificado como lote 1,3,4 y 5 en Escobedo, Nuevo León</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292,257.21</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26,321,040</w:t>
            </w:r>
          </w:p>
        </w:tc>
      </w:tr>
      <w:tr w:rsidR="001A6ADA" w:rsidRPr="001A6ADA" w:rsidTr="001A6ADA">
        <w:trPr>
          <w:tblCellSpacing w:w="15" w:type="dxa"/>
          <w:jc w:val="center"/>
        </w:trPr>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Eleuterio Delgado</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Colonia Topo Chico, Monterrey, Nuevo León</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6,399.90</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8,088,990</w:t>
            </w:r>
          </w:p>
        </w:tc>
      </w:tr>
      <w:tr w:rsidR="001A6ADA" w:rsidRPr="001A6ADA" w:rsidTr="001A6ADA">
        <w:trPr>
          <w:tblCellSpacing w:w="15" w:type="dxa"/>
          <w:jc w:val="center"/>
        </w:trPr>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Rebeca Moreno García Viuda de Ortiz</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Colonia Topo Chico, Monterrey, Nuevo León</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1,645.63</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676,872</w:t>
            </w:r>
          </w:p>
        </w:tc>
      </w:tr>
      <w:tr w:rsidR="001A6ADA" w:rsidRPr="001A6ADA" w:rsidTr="001A6ADA">
        <w:trPr>
          <w:tblCellSpacing w:w="15" w:type="dxa"/>
          <w:jc w:val="center"/>
        </w:trPr>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Total</w:t>
            </w: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w:t>
            </w:r>
          </w:p>
        </w:tc>
        <w:tc>
          <w:tcPr>
            <w:tcW w:w="0" w:type="auto"/>
            <w:vAlign w:val="center"/>
            <w:hideMark/>
          </w:tcPr>
          <w:p w:rsidR="001A6ADA" w:rsidRPr="001A6ADA" w:rsidRDefault="001A6ADA" w:rsidP="001A6ADA">
            <w:pPr>
              <w:jc w:val="center"/>
              <w:rPr>
                <w:rFonts w:ascii="Arial" w:hAnsi="Arial" w:cs="Arial"/>
                <w:sz w:val="14"/>
                <w:szCs w:val="14"/>
                <w:lang w:val="es-MX" w:eastAsia="es-MX"/>
              </w:rPr>
            </w:pPr>
            <w:r w:rsidRPr="001A6ADA">
              <w:rPr>
                <w:rFonts w:ascii="Arial" w:hAnsi="Arial" w:cs="Arial"/>
                <w:sz w:val="14"/>
                <w:szCs w:val="14"/>
                <w:lang w:val="es-MX" w:eastAsia="es-MX"/>
              </w:rPr>
              <w:t>36,969,902</w:t>
            </w:r>
          </w:p>
        </w:tc>
      </w:tr>
    </w:tbl>
    <w:p w:rsid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 xml:space="preserve">Adicionalmente, se observó que el Ente Público no </w:t>
      </w:r>
      <w:proofErr w:type="spellStart"/>
      <w:r w:rsidRPr="001A6ADA">
        <w:rPr>
          <w:rFonts w:ascii="Arial" w:hAnsi="Arial" w:cs="Arial"/>
          <w:bCs/>
          <w:sz w:val="24"/>
        </w:rPr>
        <w:t>cuenta</w:t>
      </w:r>
      <w:r>
        <w:rPr>
          <w:rFonts w:ascii="Arial" w:hAnsi="Arial" w:cs="Arial"/>
          <w:bCs/>
          <w:sz w:val="24"/>
        </w:rPr>
        <w:t>ba</w:t>
      </w:r>
      <w:proofErr w:type="spellEnd"/>
      <w:r w:rsidRPr="001A6ADA">
        <w:rPr>
          <w:rFonts w:ascii="Arial" w:hAnsi="Arial" w:cs="Arial"/>
          <w:bCs/>
          <w:sz w:val="24"/>
        </w:rPr>
        <w:t xml:space="preserve"> con el registro de una provisión para el pago del costo financiero de la indemnización.</w:t>
      </w:r>
    </w:p>
    <w:p w:rsidR="001A6ADA" w:rsidRDefault="001A6ADA" w:rsidP="001A6ADA">
      <w:pPr>
        <w:pStyle w:val="Prrafodelista"/>
        <w:spacing w:after="0"/>
        <w:ind w:left="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Esta observación es reincidente en relación a los informes de auditoría correspondiente a los ejercicios 2013 y 2014.</w:t>
      </w:r>
    </w:p>
    <w:p w:rsid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Cs/>
          <w:sz w:val="24"/>
        </w:rPr>
      </w:pPr>
      <w:r w:rsidRPr="001A6ADA">
        <w:rPr>
          <w:rFonts w:ascii="Arial" w:hAnsi="Arial" w:cs="Arial"/>
          <w:b/>
          <w:bCs/>
          <w:sz w:val="24"/>
        </w:rPr>
        <w:t>Acción(es) o recomendación(es) emitida(s)</w:t>
      </w:r>
    </w:p>
    <w:p w:rsidR="001A6ADA" w:rsidRPr="001A6ADA" w:rsidRDefault="001A6ADA" w:rsidP="001A6ADA">
      <w:pPr>
        <w:pStyle w:val="Prrafodelista"/>
        <w:spacing w:after="0"/>
        <w:ind w:left="0"/>
        <w:contextualSpacing/>
        <w:jc w:val="both"/>
        <w:rPr>
          <w:rFonts w:ascii="Arial" w:hAnsi="Arial" w:cs="Arial"/>
          <w:bCs/>
          <w:i/>
          <w:sz w:val="24"/>
        </w:rPr>
      </w:pPr>
      <w:r w:rsidRPr="001A6ADA">
        <w:rPr>
          <w:rFonts w:ascii="Arial" w:hAnsi="Arial" w:cs="Arial"/>
          <w:bCs/>
          <w:i/>
          <w:sz w:val="24"/>
        </w:rPr>
        <w:t>Recomendaciones en Relación a la Gestión o Control Interno.</w:t>
      </w:r>
    </w:p>
    <w:p w:rsidR="001A6ADA" w:rsidRDefault="001A6ADA" w:rsidP="00166FC5">
      <w:pPr>
        <w:pStyle w:val="Prrafodelista"/>
        <w:spacing w:after="0"/>
        <w:ind w:left="0"/>
        <w:contextualSpacing/>
        <w:jc w:val="both"/>
        <w:rPr>
          <w:rFonts w:ascii="Arial" w:hAnsi="Arial" w:cs="Arial"/>
          <w:b/>
          <w:bCs/>
          <w:sz w:val="24"/>
        </w:rPr>
      </w:pPr>
    </w:p>
    <w:p w:rsidR="001A6ADA" w:rsidRPr="001A6ADA" w:rsidRDefault="001A6ADA" w:rsidP="00166FC5">
      <w:pPr>
        <w:pStyle w:val="Prrafodelista"/>
        <w:spacing w:after="0"/>
        <w:ind w:left="0"/>
        <w:contextualSpacing/>
        <w:jc w:val="both"/>
        <w:rPr>
          <w:rFonts w:ascii="Arial" w:hAnsi="Arial" w:cs="Arial"/>
          <w:b/>
          <w:bCs/>
          <w:sz w:val="24"/>
          <w:u w:val="single"/>
        </w:rPr>
      </w:pPr>
      <w:r w:rsidRPr="001A6ADA">
        <w:rPr>
          <w:rFonts w:ascii="Arial" w:hAnsi="Arial" w:cs="Arial"/>
          <w:b/>
          <w:bCs/>
          <w:sz w:val="24"/>
          <w:u w:val="single"/>
        </w:rPr>
        <w:t>Provisiones a Largo Plazo</w:t>
      </w:r>
    </w:p>
    <w:p w:rsidR="001A6ADA" w:rsidRDefault="001A6ADA" w:rsidP="00166FC5">
      <w:pPr>
        <w:pStyle w:val="Prrafodelista"/>
        <w:spacing w:after="0"/>
        <w:ind w:left="0"/>
        <w:contextualSpacing/>
        <w:jc w:val="both"/>
        <w:rPr>
          <w:rFonts w:ascii="Arial" w:hAnsi="Arial" w:cs="Arial"/>
          <w:b/>
          <w:bCs/>
          <w:sz w:val="24"/>
        </w:rPr>
      </w:pPr>
    </w:p>
    <w:p w:rsidR="001A6ADA" w:rsidRPr="001A6ADA" w:rsidRDefault="001A6ADA" w:rsidP="001A6ADA">
      <w:pPr>
        <w:pStyle w:val="Prrafodelista"/>
        <w:spacing w:after="0"/>
        <w:ind w:left="0"/>
        <w:contextualSpacing/>
        <w:jc w:val="both"/>
        <w:rPr>
          <w:rFonts w:ascii="Arial" w:hAnsi="Arial" w:cs="Arial"/>
          <w:bCs/>
          <w:sz w:val="24"/>
        </w:rPr>
      </w:pPr>
      <w:r>
        <w:rPr>
          <w:rFonts w:ascii="Arial" w:hAnsi="Arial" w:cs="Arial"/>
          <w:bCs/>
          <w:sz w:val="24"/>
        </w:rPr>
        <w:lastRenderedPageBreak/>
        <w:t xml:space="preserve">29. </w:t>
      </w:r>
      <w:r w:rsidRPr="001A6ADA">
        <w:rPr>
          <w:rFonts w:ascii="Arial" w:hAnsi="Arial" w:cs="Arial"/>
          <w:bCs/>
          <w:sz w:val="24"/>
        </w:rPr>
        <w:t>El Ente Público presentó dentro de este rubro el saldo de la cuenta 21115.1.1 Fondo de Ahorro, Aportaciones por importe de $ (460,681) observando que:</w:t>
      </w:r>
    </w:p>
    <w:p w:rsidR="001A6ADA" w:rsidRDefault="001A6ADA" w:rsidP="001A6ADA">
      <w:pPr>
        <w:pStyle w:val="Prrafodelista"/>
        <w:spacing w:after="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1.- Este importe corresponde al rubro de Cuentas por Pagar a Corto Plazo, sin embargo, para efectos de presentación de la Cuenta Pública se reclasificó virtualmente a este rubro, incumpliendo con lo establecido en el artículo 52 segundo párrafo de la Ley General de Contabilidad Gubernamental, estableciendo su observancia obligatoria, de conformidad con el artículo 7 de la Ley General de Contabilidad Gubernamental.</w:t>
      </w:r>
    </w:p>
    <w:p w:rsidR="001A6ADA" w:rsidRDefault="001A6ADA" w:rsidP="001A6ADA">
      <w:pPr>
        <w:pStyle w:val="Prrafodelista"/>
        <w:spacing w:after="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2.- El saldo negativo de esta cuenta por importe de $(460,681) es contrario a su naturaleza contable, incumpliendo con el Artículo 33 de la Ley General de Contabilidad Gubernamental y 48 primero y segundo párrafo de la Ley de Administración Financiera para el Estado de Nuevo León.</w:t>
      </w:r>
    </w:p>
    <w:p w:rsidR="001A6ADA" w:rsidRPr="001A6ADA" w:rsidRDefault="001A6ADA" w:rsidP="001A6ADA">
      <w:pPr>
        <w:pStyle w:val="Prrafodelista"/>
        <w:spacing w:after="0"/>
        <w:ind w:left="0"/>
        <w:contextualSpacing/>
        <w:jc w:val="both"/>
        <w:rPr>
          <w:rFonts w:ascii="Arial" w:hAnsi="Arial" w:cs="Arial"/>
          <w:bCs/>
          <w:sz w:val="24"/>
        </w:rPr>
      </w:pPr>
    </w:p>
    <w:p w:rsid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3.- Esta cuenta carece de análisis e integración.</w:t>
      </w:r>
    </w:p>
    <w:p w:rsid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hanging="426"/>
        <w:contextualSpacing/>
        <w:jc w:val="both"/>
        <w:rPr>
          <w:rFonts w:ascii="Arial" w:hAnsi="Arial" w:cs="Arial"/>
          <w:b/>
          <w:bCs/>
          <w:sz w:val="24"/>
        </w:rPr>
      </w:pPr>
      <w:r w:rsidRPr="001A6ADA">
        <w:rPr>
          <w:rFonts w:ascii="Arial" w:hAnsi="Arial" w:cs="Arial"/>
          <w:bCs/>
          <w:sz w:val="24"/>
        </w:rPr>
        <w:tab/>
      </w:r>
      <w:r w:rsidRPr="001A6ADA">
        <w:rPr>
          <w:rFonts w:ascii="Arial" w:hAnsi="Arial" w:cs="Arial"/>
          <w:b/>
          <w:bCs/>
          <w:sz w:val="24"/>
        </w:rPr>
        <w:t>Análisis de la Auditoría Superior del Estado</w:t>
      </w:r>
    </w:p>
    <w:p w:rsid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Derivado del análisis de la respuesta y documentación proporcionada por el Ente Público</w:t>
      </w:r>
      <w:r>
        <w:rPr>
          <w:rFonts w:ascii="Arial" w:hAnsi="Arial" w:cs="Arial"/>
          <w:bCs/>
          <w:sz w:val="24"/>
        </w:rPr>
        <w:t>, la Auditoría determinó que esta observación se solventó</w:t>
      </w:r>
      <w:r w:rsidRPr="001A6ADA">
        <w:rPr>
          <w:rFonts w:ascii="Arial" w:hAnsi="Arial" w:cs="Arial"/>
          <w:bCs/>
          <w:sz w:val="24"/>
        </w:rPr>
        <w:t xml:space="preserve"> parcialmente, toda vez que</w:t>
      </w:r>
      <w:r>
        <w:rPr>
          <w:rFonts w:ascii="Arial" w:hAnsi="Arial" w:cs="Arial"/>
          <w:bCs/>
          <w:sz w:val="24"/>
        </w:rPr>
        <w:t xml:space="preserve"> durante el proceso de auditoría se proporcionó</w:t>
      </w:r>
      <w:r w:rsidRPr="001A6ADA">
        <w:rPr>
          <w:rFonts w:ascii="Arial" w:hAnsi="Arial" w:cs="Arial"/>
          <w:bCs/>
          <w:sz w:val="24"/>
        </w:rPr>
        <w:t xml:space="preserve"> un análisis e integración del saldo de la cue</w:t>
      </w:r>
      <w:r>
        <w:rPr>
          <w:rFonts w:ascii="Arial" w:hAnsi="Arial" w:cs="Arial"/>
          <w:bCs/>
          <w:sz w:val="24"/>
        </w:rPr>
        <w:t>nta, sin embargo, no proporcionó la</w:t>
      </w:r>
      <w:r w:rsidRPr="001A6ADA">
        <w:rPr>
          <w:rFonts w:ascii="Arial" w:hAnsi="Arial" w:cs="Arial"/>
          <w:bCs/>
          <w:sz w:val="24"/>
        </w:rPr>
        <w:t xml:space="preserve"> evidencia documental de los registros contables efectuados en febrero 2016 para corregir el saldo de la cuenta.</w:t>
      </w:r>
    </w:p>
    <w:p w:rsidR="001A6ADA" w:rsidRPr="001A6ADA" w:rsidRDefault="001A6ADA" w:rsidP="001A6ADA">
      <w:pPr>
        <w:pStyle w:val="Prrafodelista"/>
        <w:spacing w:after="0"/>
        <w:contextualSpacing/>
        <w:jc w:val="both"/>
        <w:rPr>
          <w:rFonts w:ascii="Arial" w:hAnsi="Arial" w:cs="Arial"/>
          <w:bCs/>
          <w:sz w:val="24"/>
        </w:rPr>
      </w:pPr>
    </w:p>
    <w:p w:rsidR="001A6ADA" w:rsidRPr="001A6ADA" w:rsidRDefault="001A6ADA" w:rsidP="001A6ADA">
      <w:pPr>
        <w:pStyle w:val="Prrafodelista"/>
        <w:spacing w:after="0"/>
        <w:ind w:left="-284"/>
        <w:contextualSpacing/>
        <w:jc w:val="both"/>
        <w:rPr>
          <w:rFonts w:ascii="Arial" w:hAnsi="Arial" w:cs="Arial"/>
          <w:b/>
          <w:bCs/>
          <w:sz w:val="24"/>
        </w:rPr>
      </w:pPr>
      <w:r w:rsidRPr="001A6ADA">
        <w:rPr>
          <w:rFonts w:ascii="Arial" w:hAnsi="Arial" w:cs="Arial"/>
          <w:bCs/>
          <w:sz w:val="24"/>
        </w:rPr>
        <w:t xml:space="preserve"> </w:t>
      </w:r>
      <w:r w:rsidRPr="001A6ADA">
        <w:rPr>
          <w:rFonts w:ascii="Arial" w:hAnsi="Arial" w:cs="Arial"/>
          <w:bCs/>
          <w:sz w:val="24"/>
        </w:rPr>
        <w:tab/>
      </w:r>
      <w:r w:rsidRPr="001A6ADA">
        <w:rPr>
          <w:rFonts w:ascii="Arial" w:hAnsi="Arial" w:cs="Arial"/>
          <w:b/>
          <w:bCs/>
          <w:sz w:val="24"/>
        </w:rPr>
        <w:t>Acción(es) o recomendación(es) emitida(s)</w:t>
      </w:r>
    </w:p>
    <w:p w:rsidR="001A6ADA" w:rsidRPr="001A6ADA" w:rsidRDefault="001A6ADA" w:rsidP="001A6ADA">
      <w:pPr>
        <w:pStyle w:val="Prrafodelista"/>
        <w:spacing w:after="0"/>
        <w:ind w:left="284" w:hanging="426"/>
        <w:contextualSpacing/>
        <w:jc w:val="both"/>
        <w:rPr>
          <w:rFonts w:ascii="Arial" w:hAnsi="Arial" w:cs="Arial"/>
          <w:bCs/>
          <w:i/>
          <w:sz w:val="24"/>
        </w:rPr>
      </w:pPr>
      <w:r>
        <w:rPr>
          <w:rFonts w:ascii="Arial" w:hAnsi="Arial" w:cs="Arial"/>
          <w:bCs/>
          <w:sz w:val="24"/>
        </w:rPr>
        <w:t xml:space="preserve">  </w:t>
      </w:r>
      <w:r w:rsidRPr="001A6ADA">
        <w:rPr>
          <w:rFonts w:ascii="Arial" w:hAnsi="Arial" w:cs="Arial"/>
          <w:bCs/>
          <w:i/>
          <w:sz w:val="24"/>
        </w:rPr>
        <w:t>Promoción de Fincamiento de Responsabilidad Administrativa.</w:t>
      </w:r>
    </w:p>
    <w:p w:rsidR="001A6ADA" w:rsidRPr="001A6ADA" w:rsidRDefault="001A6ADA" w:rsidP="001A6ADA">
      <w:pPr>
        <w:pStyle w:val="Prrafodelista"/>
        <w:spacing w:after="0"/>
        <w:ind w:left="0"/>
        <w:contextualSpacing/>
        <w:jc w:val="both"/>
        <w:rPr>
          <w:rFonts w:ascii="Arial" w:hAnsi="Arial" w:cs="Arial"/>
          <w:bCs/>
          <w:sz w:val="24"/>
        </w:rPr>
      </w:pPr>
    </w:p>
    <w:p w:rsidR="001A6ADA" w:rsidRDefault="001A6ADA" w:rsidP="00166FC5">
      <w:pPr>
        <w:pStyle w:val="Prrafodelista"/>
        <w:spacing w:after="0"/>
        <w:ind w:left="0"/>
        <w:contextualSpacing/>
        <w:jc w:val="both"/>
        <w:rPr>
          <w:rFonts w:ascii="Arial" w:hAnsi="Arial" w:cs="Arial"/>
          <w:bCs/>
          <w:sz w:val="24"/>
        </w:rPr>
      </w:pPr>
      <w:r>
        <w:rPr>
          <w:rFonts w:ascii="Arial" w:hAnsi="Arial" w:cs="Arial"/>
          <w:bCs/>
          <w:sz w:val="24"/>
        </w:rPr>
        <w:t xml:space="preserve">30. </w:t>
      </w:r>
      <w:r w:rsidRPr="001A6ADA">
        <w:rPr>
          <w:rFonts w:ascii="Arial" w:hAnsi="Arial" w:cs="Arial"/>
          <w:bCs/>
          <w:sz w:val="24"/>
        </w:rPr>
        <w:t>Durante la revisión de esta cuenta se detectaron pagos por concepto de finiquitos laborales, como sigue:</w:t>
      </w:r>
    </w:p>
    <w:p w:rsidR="001A6ADA" w:rsidRDefault="001A6ADA" w:rsidP="00166FC5">
      <w:pPr>
        <w:pStyle w:val="Prrafodelista"/>
        <w:spacing w:after="0"/>
        <w:ind w:left="0"/>
        <w:contextualSpacing/>
        <w:jc w:val="both"/>
        <w:rPr>
          <w:rFonts w:ascii="Arial" w:hAnsi="Arial" w:cs="Arial"/>
          <w:bCs/>
          <w:sz w:val="24"/>
        </w:rPr>
      </w:pPr>
    </w:p>
    <w:p w:rsidR="001A6ADA" w:rsidRPr="001A6ADA" w:rsidRDefault="001A6ADA" w:rsidP="00166FC5">
      <w:pPr>
        <w:pStyle w:val="Prrafodelista"/>
        <w:spacing w:after="0"/>
        <w:ind w:left="0"/>
        <w:contextualSpacing/>
        <w:jc w:val="both"/>
        <w:rPr>
          <w:rFonts w:ascii="Arial" w:hAnsi="Arial" w:cs="Arial"/>
          <w:bCs/>
          <w:sz w:val="24"/>
        </w:rPr>
      </w:pPr>
      <w:r w:rsidRPr="001A6ADA">
        <w:rPr>
          <w:rFonts w:ascii="Arial" w:hAnsi="Arial" w:cs="Arial"/>
          <w:bCs/>
          <w:noProof/>
          <w:sz w:val="24"/>
          <w:lang w:val="es-MX" w:eastAsia="es-MX"/>
        </w:rPr>
        <w:lastRenderedPageBreak/>
        <w:drawing>
          <wp:inline distT="0" distB="0" distL="0" distR="0">
            <wp:extent cx="5252761" cy="164782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888" cy="1648179"/>
                    </a:xfrm>
                    <a:prstGeom prst="rect">
                      <a:avLst/>
                    </a:prstGeom>
                    <a:noFill/>
                    <a:ln>
                      <a:noFill/>
                    </a:ln>
                  </pic:spPr>
                </pic:pic>
              </a:graphicData>
            </a:graphic>
          </wp:inline>
        </w:drawing>
      </w:r>
    </w:p>
    <w:p w:rsidR="001A6ADA" w:rsidRDefault="001A6ADA" w:rsidP="00166FC5">
      <w:pPr>
        <w:pStyle w:val="Prrafodelista"/>
        <w:spacing w:after="0"/>
        <w:ind w:left="0"/>
        <w:contextualSpacing/>
        <w:jc w:val="both"/>
        <w:rPr>
          <w:rFonts w:ascii="Arial" w:hAnsi="Arial" w:cs="Arial"/>
          <w:b/>
          <w:bCs/>
          <w:sz w:val="24"/>
        </w:rPr>
      </w:pPr>
    </w:p>
    <w:p w:rsidR="001A6ADA" w:rsidRP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Observando lo siguiente:</w:t>
      </w:r>
    </w:p>
    <w:p w:rsidR="001A6ADA" w:rsidRDefault="001A6ADA"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No se tiene establecida una Política o Procedimiento para el pago de finiquitos laborales.</w:t>
      </w:r>
    </w:p>
    <w:p w:rsidR="00C44B5E" w:rsidRDefault="00C44B5E" w:rsidP="001A6ADA">
      <w:pPr>
        <w:pStyle w:val="Prrafodelista"/>
        <w:spacing w:after="0"/>
        <w:contextualSpacing/>
        <w:jc w:val="both"/>
        <w:rPr>
          <w:rFonts w:ascii="Arial" w:hAnsi="Arial" w:cs="Arial"/>
          <w:bCs/>
          <w:sz w:val="24"/>
        </w:rPr>
      </w:pPr>
    </w:p>
    <w:p w:rsidR="001A6ADA" w:rsidRPr="001A6ADA" w:rsidRDefault="001A6ADA" w:rsidP="00C44B5E">
      <w:pPr>
        <w:pStyle w:val="Prrafodelista"/>
        <w:spacing w:after="0"/>
        <w:ind w:left="0"/>
        <w:contextualSpacing/>
        <w:jc w:val="both"/>
        <w:rPr>
          <w:rFonts w:ascii="Arial" w:hAnsi="Arial" w:cs="Arial"/>
          <w:bCs/>
          <w:sz w:val="24"/>
        </w:rPr>
      </w:pPr>
      <w:r w:rsidRPr="001A6ADA">
        <w:rPr>
          <w:rFonts w:ascii="Arial" w:hAnsi="Arial" w:cs="Arial"/>
          <w:bCs/>
          <w:sz w:val="24"/>
        </w:rPr>
        <w:t>En los casos 1 y 2 se pagó la prima de antigüedad.</w:t>
      </w:r>
    </w:p>
    <w:p w:rsidR="001A6ADA" w:rsidRPr="001A6ADA" w:rsidRDefault="001A6ADA" w:rsidP="00C44B5E">
      <w:pPr>
        <w:pStyle w:val="Prrafodelista"/>
        <w:spacing w:after="0"/>
        <w:ind w:left="0"/>
        <w:contextualSpacing/>
        <w:jc w:val="both"/>
        <w:rPr>
          <w:rFonts w:ascii="Arial" w:hAnsi="Arial" w:cs="Arial"/>
          <w:bCs/>
          <w:sz w:val="24"/>
        </w:rPr>
      </w:pPr>
      <w:r w:rsidRPr="001A6ADA">
        <w:rPr>
          <w:rFonts w:ascii="Arial" w:hAnsi="Arial" w:cs="Arial"/>
          <w:bCs/>
          <w:sz w:val="24"/>
        </w:rPr>
        <w:t>En el caso 3 se pagó gratificación equivalente a 3 meses de sueldo.</w:t>
      </w:r>
    </w:p>
    <w:p w:rsidR="001A6ADA" w:rsidRPr="001A6ADA" w:rsidRDefault="001A6ADA" w:rsidP="00C44B5E">
      <w:pPr>
        <w:pStyle w:val="Prrafodelista"/>
        <w:spacing w:after="0"/>
        <w:ind w:left="0"/>
        <w:contextualSpacing/>
        <w:jc w:val="both"/>
        <w:rPr>
          <w:rFonts w:ascii="Arial" w:hAnsi="Arial" w:cs="Arial"/>
          <w:bCs/>
          <w:sz w:val="24"/>
        </w:rPr>
      </w:pPr>
      <w:r w:rsidRPr="001A6ADA">
        <w:rPr>
          <w:rFonts w:ascii="Arial" w:hAnsi="Arial" w:cs="Arial"/>
          <w:bCs/>
          <w:sz w:val="24"/>
        </w:rPr>
        <w:t>En el caso 4 se pagó gratificación equivalente a 2 meses de sueldo.</w:t>
      </w:r>
    </w:p>
    <w:p w:rsidR="00C44B5E" w:rsidRDefault="00C44B5E" w:rsidP="001A6ADA">
      <w:pPr>
        <w:pStyle w:val="Prrafodelista"/>
        <w:spacing w:after="0"/>
        <w:ind w:left="0"/>
        <w:contextualSpacing/>
        <w:jc w:val="both"/>
        <w:rPr>
          <w:rFonts w:ascii="Arial" w:hAnsi="Arial" w:cs="Arial"/>
          <w:bCs/>
          <w:sz w:val="24"/>
        </w:rPr>
      </w:pPr>
    </w:p>
    <w:p w:rsidR="001A6ADA" w:rsidRPr="001A6ADA" w:rsidRDefault="001A6ADA" w:rsidP="001A6ADA">
      <w:pPr>
        <w:pStyle w:val="Prrafodelista"/>
        <w:spacing w:after="0"/>
        <w:ind w:left="0"/>
        <w:contextualSpacing/>
        <w:jc w:val="both"/>
        <w:rPr>
          <w:rFonts w:ascii="Arial" w:hAnsi="Arial" w:cs="Arial"/>
          <w:bCs/>
          <w:sz w:val="24"/>
        </w:rPr>
      </w:pPr>
      <w:r w:rsidRPr="001A6ADA">
        <w:rPr>
          <w:rFonts w:ascii="Arial" w:hAnsi="Arial" w:cs="Arial"/>
          <w:bCs/>
          <w:sz w:val="24"/>
        </w:rPr>
        <w:t>Es conveniente mencionar que en todos los casos se pagaron las partes proporcionarles de aguinaldo, vacaciones y prima vacacional.</w:t>
      </w:r>
    </w:p>
    <w:p w:rsidR="001A6ADA" w:rsidRDefault="001A6ADA" w:rsidP="00166FC5">
      <w:pPr>
        <w:pStyle w:val="Prrafodelista"/>
        <w:spacing w:after="0"/>
        <w:ind w:left="0"/>
        <w:contextualSpacing/>
        <w:jc w:val="both"/>
        <w:rPr>
          <w:rFonts w:ascii="Arial" w:hAnsi="Arial" w:cs="Arial"/>
          <w:b/>
          <w:bCs/>
          <w:sz w:val="24"/>
        </w:rPr>
      </w:pPr>
    </w:p>
    <w:p w:rsidR="001A6ADA" w:rsidRDefault="001A6ADA" w:rsidP="00166FC5">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
          <w:bCs/>
          <w:sz w:val="24"/>
        </w:rPr>
      </w:pPr>
      <w:r w:rsidRPr="00C44B5E">
        <w:rPr>
          <w:rFonts w:ascii="Arial" w:hAnsi="Arial" w:cs="Arial"/>
          <w:b/>
          <w:bCs/>
          <w:sz w:val="24"/>
        </w:rPr>
        <w:t>Acción(es) o recomendación(es) emitida(s)</w:t>
      </w:r>
    </w:p>
    <w:p w:rsidR="00C44B5E" w:rsidRPr="00C44B5E" w:rsidRDefault="00C44B5E" w:rsidP="00C44B5E">
      <w:pPr>
        <w:pStyle w:val="Prrafodelista"/>
        <w:spacing w:after="0"/>
        <w:ind w:left="0"/>
        <w:contextualSpacing/>
        <w:jc w:val="both"/>
        <w:rPr>
          <w:rFonts w:ascii="Arial" w:hAnsi="Arial" w:cs="Arial"/>
          <w:bCs/>
          <w:i/>
          <w:sz w:val="24"/>
        </w:rPr>
      </w:pPr>
      <w:r w:rsidRPr="00C44B5E">
        <w:rPr>
          <w:rFonts w:ascii="Arial" w:hAnsi="Arial" w:cs="Arial"/>
          <w:bCs/>
          <w:i/>
          <w:sz w:val="24"/>
        </w:rPr>
        <w:t>Recomendaciones en Relación a la Gestión o Control Interno.</w:t>
      </w:r>
    </w:p>
    <w:p w:rsidR="00C44B5E" w:rsidRDefault="00C44B5E" w:rsidP="00C44B5E">
      <w:pPr>
        <w:pStyle w:val="Prrafodelista"/>
        <w:spacing w:after="0"/>
        <w:ind w:left="0"/>
        <w:contextualSpacing/>
        <w:jc w:val="both"/>
        <w:rPr>
          <w:rFonts w:ascii="Arial" w:hAnsi="Arial" w:cs="Arial"/>
          <w:bCs/>
          <w:sz w:val="24"/>
        </w:rPr>
      </w:pPr>
    </w:p>
    <w:p w:rsidR="001A6ADA" w:rsidRPr="00C44B5E" w:rsidRDefault="00C44B5E" w:rsidP="00C44B5E">
      <w:pPr>
        <w:pStyle w:val="Prrafodelista"/>
        <w:spacing w:after="0"/>
        <w:ind w:left="0"/>
        <w:contextualSpacing/>
        <w:jc w:val="both"/>
        <w:rPr>
          <w:rFonts w:ascii="Arial" w:hAnsi="Arial" w:cs="Arial"/>
          <w:bCs/>
          <w:sz w:val="24"/>
        </w:rPr>
      </w:pPr>
      <w:r w:rsidRPr="00C44B5E">
        <w:rPr>
          <w:rFonts w:ascii="Arial" w:hAnsi="Arial" w:cs="Arial"/>
          <w:bCs/>
          <w:sz w:val="24"/>
        </w:rPr>
        <w:t>Elaborar política o procedimiento que regule el pago de finiquitos laborales.</w:t>
      </w:r>
    </w:p>
    <w:p w:rsidR="001A6ADA" w:rsidRDefault="001A6ADA" w:rsidP="00166FC5">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HACIENDA PÚBLICA/PATRIMONIO</w:t>
      </w: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Hacienda pública/patrimonio generado</w:t>
      </w: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Rectificaciones de Resultados de Ejercicios Anteriores</w:t>
      </w:r>
    </w:p>
    <w:p w:rsidR="001A6ADA"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Cambios por errores contables</w:t>
      </w:r>
    </w:p>
    <w:p w:rsidR="001A6ADA" w:rsidRDefault="001A6ADA" w:rsidP="00166FC5">
      <w:pPr>
        <w:pStyle w:val="Prrafodelista"/>
        <w:spacing w:after="0"/>
        <w:ind w:left="0"/>
        <w:contextualSpacing/>
        <w:jc w:val="both"/>
        <w:rPr>
          <w:rFonts w:ascii="Arial" w:hAnsi="Arial" w:cs="Arial"/>
          <w:b/>
          <w:bCs/>
          <w:sz w:val="24"/>
        </w:rPr>
      </w:pPr>
    </w:p>
    <w:p w:rsidR="001A6ADA" w:rsidRDefault="00C44B5E" w:rsidP="00166FC5">
      <w:pPr>
        <w:pStyle w:val="Prrafodelista"/>
        <w:spacing w:after="0"/>
        <w:ind w:left="0"/>
        <w:contextualSpacing/>
        <w:jc w:val="both"/>
        <w:rPr>
          <w:rFonts w:ascii="Arial" w:hAnsi="Arial" w:cs="Arial"/>
          <w:bCs/>
          <w:sz w:val="24"/>
        </w:rPr>
      </w:pPr>
      <w:r>
        <w:rPr>
          <w:rFonts w:ascii="Arial" w:hAnsi="Arial" w:cs="Arial"/>
          <w:bCs/>
          <w:sz w:val="24"/>
        </w:rPr>
        <w:lastRenderedPageBreak/>
        <w:t xml:space="preserve">31. </w:t>
      </w:r>
      <w:r w:rsidRPr="00C44B5E">
        <w:rPr>
          <w:rFonts w:ascii="Arial" w:hAnsi="Arial" w:cs="Arial"/>
          <w:bCs/>
          <w:sz w:val="24"/>
        </w:rPr>
        <w:t xml:space="preserve">Durante el proceso de revisión del saldo de la cuenta de Cambios por errores contables, el Ente Público registró la condonación del adeudo a cargo del Instituto de la Vivienda de Nuevo León por importe de $12,965,217, originado por la transmisión de 2,126 lotes del fraccionamiento Alianza Real en el Municipio de El Carmen, Nuevo León, según acta 01/2015 del Comité Técnico del Fideicomiso Fomento Metropolitano de Monterrey (FOMERREY) del 12 de enero de 2015, debiendo de haber efectuado el registro en resultados del ejercicio 2015 dentro del rubro de Otros gastos (5.5.9), contraviniendo lo señalado en el Capítulo III Plan de Cuentas del Manual de Contabilidad Gubernamental emitido por el </w:t>
      </w:r>
      <w:proofErr w:type="spellStart"/>
      <w:r w:rsidRPr="00C44B5E">
        <w:rPr>
          <w:rFonts w:ascii="Arial" w:hAnsi="Arial" w:cs="Arial"/>
          <w:bCs/>
          <w:sz w:val="24"/>
        </w:rPr>
        <w:t>Conac</w:t>
      </w:r>
      <w:proofErr w:type="spellEnd"/>
      <w:r w:rsidRPr="00C44B5E">
        <w:rPr>
          <w:rFonts w:ascii="Arial" w:hAnsi="Arial" w:cs="Arial"/>
          <w:bCs/>
          <w:sz w:val="24"/>
        </w:rPr>
        <w:t>, estableciendo su observancia obligatoria, de conformidad con el Artículo 7 de la Ley General de Contabilidad Gubernamental.</w:t>
      </w:r>
    </w:p>
    <w:p w:rsidR="00C44B5E" w:rsidRDefault="00C44B5E" w:rsidP="00166FC5">
      <w:pPr>
        <w:pStyle w:val="Prrafodelista"/>
        <w:spacing w:after="0"/>
        <w:ind w:left="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
          <w:bCs/>
          <w:sz w:val="24"/>
        </w:rPr>
      </w:pPr>
      <w:r w:rsidRPr="00C44B5E">
        <w:rPr>
          <w:rFonts w:ascii="Arial" w:hAnsi="Arial" w:cs="Arial"/>
          <w:b/>
          <w:bCs/>
          <w:sz w:val="24"/>
        </w:rPr>
        <w:t>Acción(es) o recomendación(es) emitida(s)</w:t>
      </w:r>
    </w:p>
    <w:p w:rsidR="00C44B5E" w:rsidRPr="00C44B5E" w:rsidRDefault="00C44B5E" w:rsidP="00C44B5E">
      <w:pPr>
        <w:pStyle w:val="Prrafodelista"/>
        <w:spacing w:after="0"/>
        <w:ind w:left="0"/>
        <w:contextualSpacing/>
        <w:jc w:val="both"/>
        <w:rPr>
          <w:rFonts w:ascii="Arial" w:hAnsi="Arial" w:cs="Arial"/>
          <w:bCs/>
          <w:i/>
          <w:sz w:val="24"/>
        </w:rPr>
      </w:pPr>
      <w:r w:rsidRPr="00C44B5E">
        <w:rPr>
          <w:rFonts w:ascii="Arial" w:hAnsi="Arial" w:cs="Arial"/>
          <w:bCs/>
          <w:i/>
          <w:sz w:val="24"/>
        </w:rPr>
        <w:t>Promoción de Fincamiento de Responsabilidad Administrativa.</w:t>
      </w:r>
    </w:p>
    <w:p w:rsidR="001A6ADA" w:rsidRDefault="001A6ADA" w:rsidP="00166FC5">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INGRESOS Y OTROS BENEFICIOS</w:t>
      </w: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Ingresos de gestión</w:t>
      </w: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Ingresos por Ventas de Bienes y Servicios</w:t>
      </w:r>
    </w:p>
    <w:p w:rsidR="001A6ADA" w:rsidRDefault="001A6ADA" w:rsidP="00166FC5">
      <w:pPr>
        <w:pStyle w:val="Prrafodelista"/>
        <w:spacing w:after="0"/>
        <w:ind w:left="0"/>
        <w:contextualSpacing/>
        <w:jc w:val="both"/>
        <w:rPr>
          <w:rFonts w:ascii="Arial" w:hAnsi="Arial" w:cs="Arial"/>
          <w:b/>
          <w:bCs/>
          <w:sz w:val="24"/>
        </w:rPr>
      </w:pPr>
    </w:p>
    <w:p w:rsidR="00C44B5E" w:rsidRDefault="00C44B5E" w:rsidP="00166FC5">
      <w:pPr>
        <w:pStyle w:val="Prrafodelista"/>
        <w:spacing w:after="0"/>
        <w:ind w:left="0"/>
        <w:contextualSpacing/>
        <w:jc w:val="both"/>
        <w:rPr>
          <w:rFonts w:ascii="Arial" w:hAnsi="Arial" w:cs="Arial"/>
          <w:bCs/>
          <w:sz w:val="24"/>
        </w:rPr>
      </w:pPr>
      <w:r>
        <w:rPr>
          <w:rFonts w:ascii="Arial" w:hAnsi="Arial" w:cs="Arial"/>
          <w:bCs/>
          <w:sz w:val="24"/>
        </w:rPr>
        <w:t>32.</w:t>
      </w:r>
      <w:r w:rsidRPr="00C44B5E">
        <w:t xml:space="preserve"> </w:t>
      </w:r>
      <w:r w:rsidRPr="00C44B5E">
        <w:rPr>
          <w:rFonts w:ascii="Arial" w:hAnsi="Arial" w:cs="Arial"/>
          <w:bCs/>
          <w:sz w:val="24"/>
        </w:rPr>
        <w:t>En septiembre de 2015, el Ente Público adquirió en calidad de donación un bien inmueble con una superficie de 32,790.24 m2., ubicado en Carretera a Colombia P-3, Hacienda Santa Rita en el Municipio de Salinas Victoria, Nuevo León por valor de $2</w:t>
      </w:r>
      <w:proofErr w:type="gramStart"/>
      <w:r w:rsidRPr="00C44B5E">
        <w:rPr>
          <w:rFonts w:ascii="Arial" w:hAnsi="Arial" w:cs="Arial"/>
          <w:bCs/>
          <w:sz w:val="24"/>
        </w:rPr>
        <w:t>,869,146</w:t>
      </w:r>
      <w:proofErr w:type="gramEnd"/>
      <w:r w:rsidRPr="00C44B5E">
        <w:rPr>
          <w:rFonts w:ascii="Arial" w:hAnsi="Arial" w:cs="Arial"/>
          <w:bCs/>
          <w:sz w:val="24"/>
        </w:rPr>
        <w:t xml:space="preserve"> (determinado por el Instituto Registral y Catastral del Estado de Nuevo León), según contrato de donación del 22 de septiembre de 2015 celebrado con el Gobierno del Estado de Nuevo León.</w:t>
      </w:r>
    </w:p>
    <w:p w:rsidR="00C44B5E" w:rsidRDefault="00C44B5E" w:rsidP="00C44B5E">
      <w:pPr>
        <w:pStyle w:val="Prrafodelista"/>
        <w:spacing w:after="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Cs/>
          <w:sz w:val="24"/>
        </w:rPr>
      </w:pPr>
      <w:r w:rsidRPr="00C44B5E">
        <w:rPr>
          <w:rFonts w:ascii="Arial" w:hAnsi="Arial" w:cs="Arial"/>
          <w:bCs/>
          <w:sz w:val="24"/>
        </w:rPr>
        <w:t xml:space="preserve">En septiembre 30 de 2015, el Ente Público enajenó el bien inmueble en $4,113,208, según contrato de compraventa celebrado con el señor Erick Eduardo Mesta Cepeda, observando incumplimiento a los fines del Fideicomiso Fomento Metropolitano de Monterrey establecido en sus Cláusulas Tercera, inciso a) y Cuarta del Convenio Modificatorio al Contrato de Fideicomiso denominado Fomento Metropolitano de Monterrey (FOMERREY) de fecha 02 </w:t>
      </w:r>
      <w:r w:rsidRPr="00C44B5E">
        <w:rPr>
          <w:rFonts w:ascii="Arial" w:hAnsi="Arial" w:cs="Arial"/>
          <w:bCs/>
          <w:sz w:val="24"/>
        </w:rPr>
        <w:lastRenderedPageBreak/>
        <w:t>de diciembre de 2004, que en su Cláusula Tercera, inciso a) señala lo siguiente: "El patrimonio del presente Fideicomiso se integrará con: a) Todas las aportaciones en dinero, bienes muebles e inmuebles y demás recursos que se obtengan o sean asignados a su favor por el Gobierno Federal, Gobierno Estatal, los Gobiernos Municipales, personas físicas o morales, públicas o particulares, para el cumplimiento de los fines del Fideicomiso, así como las futuras aportaciones o donaciones en numerario o en especie que efectúen los mismos, previa aprobación del Fideicomitente o del Comité Técnico".</w:t>
      </w:r>
    </w:p>
    <w:p w:rsidR="00C44B5E" w:rsidRDefault="00C44B5E" w:rsidP="00C44B5E">
      <w:pPr>
        <w:pStyle w:val="Prrafodelista"/>
        <w:spacing w:after="0"/>
        <w:ind w:left="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Cs/>
          <w:sz w:val="24"/>
        </w:rPr>
      </w:pPr>
      <w:r w:rsidRPr="00C44B5E">
        <w:rPr>
          <w:rFonts w:ascii="Arial" w:hAnsi="Arial" w:cs="Arial"/>
          <w:bCs/>
          <w:sz w:val="24"/>
        </w:rPr>
        <w:t>En octubre de 2015 se registró la venta del bien inmueble por un importe de $3</w:t>
      </w:r>
      <w:proofErr w:type="gramStart"/>
      <w:r w:rsidRPr="00C44B5E">
        <w:rPr>
          <w:rFonts w:ascii="Arial" w:hAnsi="Arial" w:cs="Arial"/>
          <w:bCs/>
          <w:sz w:val="24"/>
        </w:rPr>
        <w:t>,701,887</w:t>
      </w:r>
      <w:proofErr w:type="gramEnd"/>
      <w:r w:rsidRPr="00C44B5E">
        <w:rPr>
          <w:rFonts w:ascii="Arial" w:hAnsi="Arial" w:cs="Arial"/>
          <w:bCs/>
          <w:sz w:val="24"/>
        </w:rPr>
        <w:t>, determinando una diferencia de $411,321 según el contrato de compra-venta, la cual fue ingresada a la Secretaría de Finanzas y Tesorería General del Estado de Nuevo León, no mostrando evidencia del depósito efectuado ni el Ente Público registró una cuenta por cobrar a cargo de la Secretaría antes citada.</w:t>
      </w:r>
    </w:p>
    <w:p w:rsidR="00C44B5E" w:rsidRDefault="00C44B5E" w:rsidP="00C44B5E">
      <w:pPr>
        <w:pStyle w:val="Prrafodelista"/>
        <w:spacing w:after="0"/>
        <w:ind w:left="0"/>
        <w:contextualSpacing/>
        <w:jc w:val="both"/>
        <w:rPr>
          <w:rFonts w:ascii="Arial" w:hAnsi="Arial" w:cs="Arial"/>
          <w:bCs/>
          <w:sz w:val="24"/>
        </w:rPr>
      </w:pPr>
    </w:p>
    <w:p w:rsidR="00C44B5E" w:rsidRDefault="00C44B5E" w:rsidP="00C44B5E">
      <w:pPr>
        <w:pStyle w:val="Prrafodelista"/>
        <w:spacing w:after="0"/>
        <w:ind w:left="0"/>
        <w:contextualSpacing/>
        <w:jc w:val="both"/>
        <w:rPr>
          <w:rFonts w:ascii="Arial" w:hAnsi="Arial" w:cs="Arial"/>
          <w:bCs/>
          <w:sz w:val="24"/>
        </w:rPr>
      </w:pPr>
      <w:r w:rsidRPr="00C44B5E">
        <w:rPr>
          <w:rFonts w:ascii="Arial" w:hAnsi="Arial" w:cs="Arial"/>
          <w:bCs/>
          <w:sz w:val="24"/>
        </w:rPr>
        <w:t>Así mismo, no se nos proporcionó el Acta de Comité Técnico del Fideicomiso Fomento Metropolitano de Monterrey en donde se autoriza la venta del inmueble, ni el avalúo No. A 0785/2015, de fecha 13 de julio de 2015, emitido por el Banco Regional de Monterrey, S.A. y dictaminado por la Dirección de Catastro en fecha 7 de agosto de 2015.</w:t>
      </w:r>
    </w:p>
    <w:p w:rsidR="00C44B5E" w:rsidRDefault="00C44B5E" w:rsidP="00C44B5E">
      <w:pPr>
        <w:pStyle w:val="Prrafodelista"/>
        <w:spacing w:after="0"/>
        <w:ind w:left="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
          <w:bCs/>
          <w:sz w:val="24"/>
        </w:rPr>
      </w:pPr>
      <w:r w:rsidRPr="00C44B5E">
        <w:rPr>
          <w:rFonts w:ascii="Arial" w:hAnsi="Arial" w:cs="Arial"/>
          <w:b/>
          <w:bCs/>
          <w:sz w:val="24"/>
        </w:rPr>
        <w:t>Acción(es) o recomendación(es) emitida(s)</w:t>
      </w:r>
    </w:p>
    <w:p w:rsidR="00C44B5E" w:rsidRPr="00C44B5E" w:rsidRDefault="00C44B5E" w:rsidP="00C44B5E">
      <w:pPr>
        <w:pStyle w:val="Prrafodelista"/>
        <w:spacing w:after="0"/>
        <w:ind w:left="0"/>
        <w:contextualSpacing/>
        <w:jc w:val="both"/>
        <w:rPr>
          <w:rFonts w:ascii="Arial" w:hAnsi="Arial" w:cs="Arial"/>
          <w:bCs/>
          <w:i/>
          <w:sz w:val="24"/>
        </w:rPr>
      </w:pPr>
      <w:r w:rsidRPr="00C44B5E">
        <w:rPr>
          <w:rFonts w:ascii="Arial" w:hAnsi="Arial" w:cs="Arial"/>
          <w:bCs/>
          <w:i/>
          <w:sz w:val="24"/>
        </w:rPr>
        <w:t>Recomendaciones en Relación a la Gestión o Control Interno.</w:t>
      </w:r>
    </w:p>
    <w:p w:rsidR="001A6ADA" w:rsidRPr="00C44B5E" w:rsidRDefault="00C44B5E" w:rsidP="00166FC5">
      <w:pPr>
        <w:pStyle w:val="Prrafodelista"/>
        <w:spacing w:after="0"/>
        <w:ind w:left="0"/>
        <w:contextualSpacing/>
        <w:jc w:val="both"/>
        <w:rPr>
          <w:rFonts w:ascii="Arial" w:hAnsi="Arial" w:cs="Arial"/>
          <w:bCs/>
          <w:sz w:val="24"/>
        </w:rPr>
      </w:pPr>
      <w:r>
        <w:rPr>
          <w:rFonts w:ascii="Arial" w:hAnsi="Arial" w:cs="Arial"/>
          <w:bCs/>
          <w:sz w:val="24"/>
        </w:rPr>
        <w:t xml:space="preserve"> </w:t>
      </w:r>
    </w:p>
    <w:p w:rsidR="001A6ADA" w:rsidRDefault="001A6ADA" w:rsidP="00166FC5">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Participaciones, aportaciones, transferencias, asignaciones, subsidios y otras ayudas</w:t>
      </w: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Transferencias, Asignaciones, Subsidios y Otras Ayudas</w:t>
      </w:r>
    </w:p>
    <w:p w:rsidR="001A6ADA" w:rsidRDefault="001A6ADA" w:rsidP="00166FC5">
      <w:pPr>
        <w:pStyle w:val="Prrafodelista"/>
        <w:spacing w:after="0"/>
        <w:ind w:left="0"/>
        <w:contextualSpacing/>
        <w:jc w:val="both"/>
        <w:rPr>
          <w:rFonts w:ascii="Arial" w:hAnsi="Arial" w:cs="Arial"/>
          <w:b/>
          <w:bCs/>
          <w:sz w:val="24"/>
        </w:rPr>
      </w:pPr>
    </w:p>
    <w:p w:rsidR="001A6ADA" w:rsidRDefault="00C44B5E" w:rsidP="00166FC5">
      <w:pPr>
        <w:pStyle w:val="Prrafodelista"/>
        <w:spacing w:after="0"/>
        <w:ind w:left="0"/>
        <w:contextualSpacing/>
        <w:jc w:val="both"/>
        <w:rPr>
          <w:rFonts w:ascii="Arial" w:hAnsi="Arial" w:cs="Arial"/>
          <w:bCs/>
          <w:sz w:val="24"/>
        </w:rPr>
      </w:pPr>
      <w:r>
        <w:rPr>
          <w:rFonts w:ascii="Arial" w:hAnsi="Arial" w:cs="Arial"/>
          <w:bCs/>
          <w:sz w:val="24"/>
        </w:rPr>
        <w:t xml:space="preserve">33. </w:t>
      </w:r>
      <w:r w:rsidRPr="00C44B5E">
        <w:rPr>
          <w:rFonts w:ascii="Arial" w:hAnsi="Arial" w:cs="Arial"/>
          <w:bCs/>
          <w:sz w:val="24"/>
        </w:rPr>
        <w:t xml:space="preserve">En agosto de 2015 el Ente Público registró dentro de este rubro la cancelación de un adeudo a favor de la Secretaría de Finanzas y Tesorería General del Estado por importe de $11,000,000, el cual había sido solicitado </w:t>
      </w:r>
      <w:r w:rsidRPr="00C44B5E">
        <w:rPr>
          <w:rFonts w:ascii="Arial" w:hAnsi="Arial" w:cs="Arial"/>
          <w:bCs/>
          <w:sz w:val="24"/>
        </w:rPr>
        <w:lastRenderedPageBreak/>
        <w:t xml:space="preserve">para cumplir con los derechos del personal de FOMERREY, primera parte de aguinaldo 2013, debiendo de haber efectuado su registro en la cuenta de Cambios por Errores Contables dentro del rubro de Rectificaciones de Resultados de Ejercicios Anteriores, según lo establecido en la regla 16.3 del Acuerdo por el que se emiten Las Reglas Específicas de Registro y Valoración del Patrimonio emitido por el </w:t>
      </w:r>
      <w:proofErr w:type="spellStart"/>
      <w:r w:rsidRPr="00C44B5E">
        <w:rPr>
          <w:rFonts w:ascii="Arial" w:hAnsi="Arial" w:cs="Arial"/>
          <w:bCs/>
          <w:sz w:val="24"/>
        </w:rPr>
        <w:t>Conac</w:t>
      </w:r>
      <w:proofErr w:type="spellEnd"/>
      <w:r w:rsidRPr="00C44B5E">
        <w:rPr>
          <w:rFonts w:ascii="Arial" w:hAnsi="Arial" w:cs="Arial"/>
          <w:bCs/>
          <w:sz w:val="24"/>
        </w:rPr>
        <w:t>, estableciendo su observancia obligatoria, de conformidad con el artículo 7 de la Ley General de Contabilidad Gubernamental.</w:t>
      </w:r>
    </w:p>
    <w:p w:rsidR="00C44B5E" w:rsidRDefault="00C44B5E" w:rsidP="00166FC5">
      <w:pPr>
        <w:pStyle w:val="Prrafodelista"/>
        <w:spacing w:after="0"/>
        <w:ind w:left="0"/>
        <w:contextualSpacing/>
        <w:jc w:val="both"/>
        <w:rPr>
          <w:rFonts w:ascii="Arial" w:hAnsi="Arial" w:cs="Arial"/>
          <w:bCs/>
          <w:sz w:val="24"/>
        </w:rPr>
      </w:pPr>
    </w:p>
    <w:p w:rsidR="00C44B5E" w:rsidRPr="00C44B5E" w:rsidRDefault="00C44B5E" w:rsidP="00166FC5">
      <w:pPr>
        <w:pStyle w:val="Prrafodelista"/>
        <w:spacing w:after="0"/>
        <w:ind w:left="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
          <w:bCs/>
          <w:sz w:val="24"/>
        </w:rPr>
      </w:pPr>
      <w:r w:rsidRPr="00C44B5E">
        <w:rPr>
          <w:rFonts w:ascii="Arial" w:hAnsi="Arial" w:cs="Arial"/>
          <w:b/>
          <w:bCs/>
          <w:sz w:val="24"/>
        </w:rPr>
        <w:t>Acción(es) o recomendación(es) emitida(s)</w:t>
      </w:r>
    </w:p>
    <w:p w:rsidR="001A6ADA" w:rsidRPr="00C44B5E" w:rsidRDefault="00C44B5E" w:rsidP="00C44B5E">
      <w:pPr>
        <w:pStyle w:val="Prrafodelista"/>
        <w:spacing w:after="0"/>
        <w:ind w:left="0"/>
        <w:contextualSpacing/>
        <w:jc w:val="both"/>
        <w:rPr>
          <w:rFonts w:ascii="Arial" w:hAnsi="Arial" w:cs="Arial"/>
          <w:bCs/>
          <w:i/>
          <w:sz w:val="24"/>
        </w:rPr>
      </w:pPr>
      <w:r w:rsidRPr="00C44B5E">
        <w:rPr>
          <w:rFonts w:ascii="Arial" w:hAnsi="Arial" w:cs="Arial"/>
          <w:bCs/>
          <w:i/>
          <w:sz w:val="24"/>
        </w:rPr>
        <w:t>Promoción de Fincamiento de Responsabilidad Administrativa.</w:t>
      </w:r>
    </w:p>
    <w:p w:rsidR="001A6ADA" w:rsidRPr="00C44B5E" w:rsidRDefault="001A6ADA" w:rsidP="00166FC5">
      <w:pPr>
        <w:pStyle w:val="Prrafodelista"/>
        <w:spacing w:after="0"/>
        <w:ind w:left="0"/>
        <w:contextualSpacing/>
        <w:jc w:val="both"/>
        <w:rPr>
          <w:rFonts w:ascii="Arial" w:hAnsi="Arial" w:cs="Arial"/>
          <w:bCs/>
          <w:i/>
          <w:sz w:val="24"/>
        </w:rPr>
      </w:pPr>
    </w:p>
    <w:p w:rsidR="001A6ADA" w:rsidRDefault="001A6ADA" w:rsidP="00166FC5">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GASTOS Y OTRAS PÉRDIDAS</w:t>
      </w: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Gastos de funcionamiento</w:t>
      </w:r>
    </w:p>
    <w:p w:rsidR="00C44B5E"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Servicios Generales</w:t>
      </w:r>
    </w:p>
    <w:p w:rsidR="00D21D9B" w:rsidRPr="00C44B5E" w:rsidRDefault="00C44B5E" w:rsidP="00C44B5E">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Servicios de arrendamiento</w:t>
      </w:r>
    </w:p>
    <w:p w:rsidR="00D21D9B" w:rsidRDefault="00D21D9B" w:rsidP="00166FC5">
      <w:pPr>
        <w:pStyle w:val="Prrafodelista"/>
        <w:spacing w:after="0"/>
        <w:ind w:left="0"/>
        <w:contextualSpacing/>
        <w:jc w:val="both"/>
        <w:rPr>
          <w:rFonts w:ascii="Arial" w:hAnsi="Arial" w:cs="Arial"/>
          <w:b/>
          <w:bCs/>
          <w:sz w:val="24"/>
        </w:rPr>
      </w:pPr>
    </w:p>
    <w:p w:rsidR="00D21D9B" w:rsidRDefault="00C44B5E" w:rsidP="00166FC5">
      <w:pPr>
        <w:pStyle w:val="Prrafodelista"/>
        <w:spacing w:after="0"/>
        <w:ind w:left="0"/>
        <w:contextualSpacing/>
        <w:jc w:val="both"/>
        <w:rPr>
          <w:rFonts w:ascii="Arial" w:hAnsi="Arial" w:cs="Arial"/>
          <w:bCs/>
          <w:sz w:val="24"/>
        </w:rPr>
      </w:pPr>
      <w:r>
        <w:rPr>
          <w:rFonts w:ascii="Arial" w:hAnsi="Arial" w:cs="Arial"/>
          <w:bCs/>
          <w:sz w:val="24"/>
        </w:rPr>
        <w:t xml:space="preserve">34. </w:t>
      </w:r>
      <w:r w:rsidRPr="00C44B5E">
        <w:rPr>
          <w:rFonts w:ascii="Arial" w:hAnsi="Arial" w:cs="Arial"/>
          <w:bCs/>
          <w:sz w:val="24"/>
        </w:rPr>
        <w:t xml:space="preserve">El Ente Público contrató al proveedor Grupo </w:t>
      </w:r>
      <w:proofErr w:type="spellStart"/>
      <w:r w:rsidRPr="00C44B5E">
        <w:rPr>
          <w:rFonts w:ascii="Arial" w:hAnsi="Arial" w:cs="Arial"/>
          <w:bCs/>
          <w:sz w:val="24"/>
        </w:rPr>
        <w:t>Toner</w:t>
      </w:r>
      <w:proofErr w:type="spellEnd"/>
      <w:r w:rsidRPr="00C44B5E">
        <w:rPr>
          <w:rFonts w:ascii="Arial" w:hAnsi="Arial" w:cs="Arial"/>
          <w:bCs/>
          <w:sz w:val="24"/>
        </w:rPr>
        <w:t xml:space="preserve"> de México, S.A. de C.V. para el servicio de renta de equipo de copiadora, observando que el pago correspondiente al mes de diciembre 2015 por $59,740 no fue provisionado, por lo que contraviene lo establecido en el Acuerdo por el cual se emiten los Postulados Básicos de Contabilidad Gubernamental, en específico al Postulado número 8) "Devengo Contable" emitido por el </w:t>
      </w:r>
      <w:proofErr w:type="spellStart"/>
      <w:r w:rsidRPr="00C44B5E">
        <w:rPr>
          <w:rFonts w:ascii="Arial" w:hAnsi="Arial" w:cs="Arial"/>
          <w:bCs/>
          <w:sz w:val="24"/>
        </w:rPr>
        <w:t>Conac</w:t>
      </w:r>
      <w:proofErr w:type="spellEnd"/>
      <w:r w:rsidRPr="00C44B5E">
        <w:rPr>
          <w:rFonts w:ascii="Arial" w:hAnsi="Arial" w:cs="Arial"/>
          <w:bCs/>
          <w:sz w:val="24"/>
        </w:rPr>
        <w:t>, estableciendo su observancia obligatoria, de conformidad con el artículo 7 de la Ley General de Contabilidad Gubernamental y lo establecido en el artículo 34 de la citada Ley, que establece que las transacciones de gasto se registrarán conforme a la fecha de su realización, independientemente de la de su pago.</w:t>
      </w:r>
    </w:p>
    <w:p w:rsidR="00C44B5E" w:rsidRDefault="00C44B5E" w:rsidP="00166FC5">
      <w:pPr>
        <w:pStyle w:val="Prrafodelista"/>
        <w:spacing w:after="0"/>
        <w:ind w:left="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
          <w:bCs/>
          <w:sz w:val="24"/>
        </w:rPr>
      </w:pPr>
      <w:r w:rsidRPr="00C44B5E">
        <w:rPr>
          <w:rFonts w:ascii="Arial" w:hAnsi="Arial" w:cs="Arial"/>
          <w:b/>
          <w:bCs/>
          <w:sz w:val="24"/>
        </w:rPr>
        <w:t>Análisis de la Auditoría Superior del Estado</w:t>
      </w:r>
    </w:p>
    <w:p w:rsidR="00C44B5E" w:rsidRDefault="00C44B5E" w:rsidP="00C44B5E">
      <w:pPr>
        <w:pStyle w:val="Prrafodelista"/>
        <w:spacing w:after="0"/>
        <w:ind w:left="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Cs/>
          <w:sz w:val="24"/>
        </w:rPr>
      </w:pPr>
      <w:r w:rsidRPr="00C44B5E">
        <w:rPr>
          <w:rFonts w:ascii="Arial" w:hAnsi="Arial" w:cs="Arial"/>
          <w:bCs/>
          <w:sz w:val="24"/>
        </w:rPr>
        <w:lastRenderedPageBreak/>
        <w:t>Derivado del análisis de la respuesta y de la documentación presentada por el Ente Público</w:t>
      </w:r>
      <w:r>
        <w:rPr>
          <w:rFonts w:ascii="Arial" w:hAnsi="Arial" w:cs="Arial"/>
          <w:bCs/>
          <w:sz w:val="24"/>
        </w:rPr>
        <w:t xml:space="preserve"> la Auditoría determinó que esta observación se solventó</w:t>
      </w:r>
      <w:r w:rsidRPr="00C44B5E">
        <w:rPr>
          <w:rFonts w:ascii="Arial" w:hAnsi="Arial" w:cs="Arial"/>
          <w:bCs/>
          <w:sz w:val="24"/>
        </w:rPr>
        <w:t xml:space="preserve"> parcialmente, ya que proporciona póliza de diario No. 160113 del 22 de enero de 2016 en donde se registró el pasivo correspondiente, sin embargo no </w:t>
      </w:r>
      <w:r>
        <w:rPr>
          <w:rFonts w:ascii="Arial" w:hAnsi="Arial" w:cs="Arial"/>
          <w:bCs/>
          <w:sz w:val="24"/>
        </w:rPr>
        <w:t>se mencionó</w:t>
      </w:r>
      <w:r w:rsidRPr="00C44B5E">
        <w:rPr>
          <w:rFonts w:ascii="Arial" w:hAnsi="Arial" w:cs="Arial"/>
          <w:bCs/>
          <w:sz w:val="24"/>
        </w:rPr>
        <w:t xml:space="preserve"> que tomaran medidas para que los gastos se registren oportunamente en cumplimiento a los Postulados básicos de contabilidad gubernamental.</w:t>
      </w:r>
    </w:p>
    <w:p w:rsidR="00C44B5E" w:rsidRPr="00C44B5E" w:rsidRDefault="00C44B5E" w:rsidP="00C44B5E">
      <w:pPr>
        <w:pStyle w:val="Prrafodelista"/>
        <w:spacing w:after="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
          <w:bCs/>
          <w:sz w:val="24"/>
        </w:rPr>
      </w:pPr>
      <w:r w:rsidRPr="00C44B5E">
        <w:rPr>
          <w:rFonts w:ascii="Arial" w:hAnsi="Arial" w:cs="Arial"/>
          <w:b/>
          <w:bCs/>
          <w:sz w:val="24"/>
        </w:rPr>
        <w:t>Acción(es) o recomendación(es) emitida(s)</w:t>
      </w:r>
    </w:p>
    <w:p w:rsidR="00C44B5E" w:rsidRPr="00C44B5E" w:rsidRDefault="00C44B5E" w:rsidP="00C44B5E">
      <w:pPr>
        <w:pStyle w:val="Prrafodelista"/>
        <w:spacing w:after="0"/>
        <w:ind w:left="0"/>
        <w:contextualSpacing/>
        <w:jc w:val="both"/>
        <w:rPr>
          <w:rFonts w:ascii="Arial" w:hAnsi="Arial" w:cs="Arial"/>
          <w:bCs/>
          <w:i/>
          <w:sz w:val="24"/>
        </w:rPr>
      </w:pPr>
      <w:r w:rsidRPr="00C44B5E">
        <w:rPr>
          <w:rFonts w:ascii="Arial" w:hAnsi="Arial" w:cs="Arial"/>
          <w:bCs/>
          <w:i/>
          <w:sz w:val="24"/>
        </w:rPr>
        <w:t>Promoción de Fincamiento de Responsabilidad Administrativa.</w:t>
      </w:r>
    </w:p>
    <w:p w:rsidR="00C44B5E" w:rsidRPr="00C44B5E" w:rsidRDefault="00C44B5E" w:rsidP="00166FC5">
      <w:pPr>
        <w:pStyle w:val="Prrafodelista"/>
        <w:spacing w:after="0"/>
        <w:ind w:left="0"/>
        <w:contextualSpacing/>
        <w:jc w:val="both"/>
        <w:rPr>
          <w:rFonts w:ascii="Arial" w:hAnsi="Arial" w:cs="Arial"/>
          <w:bCs/>
          <w:sz w:val="24"/>
        </w:rPr>
      </w:pPr>
    </w:p>
    <w:p w:rsidR="00D21D9B" w:rsidRPr="00C44B5E" w:rsidRDefault="00C44B5E" w:rsidP="00166FC5">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Servicios de instalación, reparación, mantenimiento y conservación</w:t>
      </w:r>
    </w:p>
    <w:p w:rsidR="00C44B5E" w:rsidRDefault="00C44B5E" w:rsidP="00166FC5">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Cs/>
          <w:sz w:val="24"/>
        </w:rPr>
      </w:pPr>
      <w:r>
        <w:rPr>
          <w:rFonts w:ascii="Arial" w:hAnsi="Arial" w:cs="Arial"/>
          <w:bCs/>
          <w:sz w:val="24"/>
        </w:rPr>
        <w:t xml:space="preserve">35. </w:t>
      </w:r>
      <w:r w:rsidRPr="00C44B5E">
        <w:rPr>
          <w:rFonts w:ascii="Arial" w:hAnsi="Arial" w:cs="Arial"/>
          <w:bCs/>
          <w:sz w:val="24"/>
        </w:rPr>
        <w:t xml:space="preserve">El Ente Público realizó a través del procedimiento de adjudicación directa mediante tres cotizaciones por escrito, la adquisición del servicio de remodelación de oficina y compra de estantería metálica al proveedor Juan Luis </w:t>
      </w:r>
      <w:proofErr w:type="spellStart"/>
      <w:r w:rsidRPr="00C44B5E">
        <w:rPr>
          <w:rFonts w:ascii="Arial" w:hAnsi="Arial" w:cs="Arial"/>
          <w:bCs/>
          <w:sz w:val="24"/>
        </w:rPr>
        <w:t>Leija</w:t>
      </w:r>
      <w:proofErr w:type="spellEnd"/>
      <w:r w:rsidRPr="00C44B5E">
        <w:rPr>
          <w:rFonts w:ascii="Arial" w:hAnsi="Arial" w:cs="Arial"/>
          <w:bCs/>
          <w:sz w:val="24"/>
        </w:rPr>
        <w:t xml:space="preserve"> Chávez por importe de $678,359, observando que la adquisición no fue formalizada a través de un contrato, contraviniendo a lo establecido en el artículo 89 del Reglamento de la Ley de Adquisiciones, Arrendamientos y Contratación de Servicios del Estado de Nuevo León.</w:t>
      </w:r>
    </w:p>
    <w:p w:rsidR="00C44B5E" w:rsidRDefault="00C44B5E" w:rsidP="00C44B5E">
      <w:pPr>
        <w:pStyle w:val="Prrafodelista"/>
        <w:spacing w:after="0"/>
        <w:ind w:left="0"/>
        <w:contextualSpacing/>
        <w:jc w:val="both"/>
        <w:rPr>
          <w:rFonts w:ascii="Arial" w:hAnsi="Arial" w:cs="Arial"/>
          <w:bCs/>
          <w:sz w:val="24"/>
        </w:rPr>
      </w:pPr>
    </w:p>
    <w:p w:rsidR="00C44B5E" w:rsidRDefault="00C44B5E" w:rsidP="00C44B5E">
      <w:pPr>
        <w:pStyle w:val="Prrafodelista"/>
        <w:spacing w:after="0"/>
        <w:ind w:left="0"/>
        <w:contextualSpacing/>
        <w:jc w:val="both"/>
        <w:rPr>
          <w:rFonts w:ascii="Arial" w:hAnsi="Arial" w:cs="Arial"/>
          <w:bCs/>
          <w:sz w:val="24"/>
        </w:rPr>
      </w:pPr>
      <w:r w:rsidRPr="00C44B5E">
        <w:rPr>
          <w:rFonts w:ascii="Arial" w:hAnsi="Arial" w:cs="Arial"/>
          <w:bCs/>
          <w:sz w:val="24"/>
        </w:rPr>
        <w:t>Siendo su integración la siguiente:</w:t>
      </w:r>
    </w:p>
    <w:p w:rsidR="00C44B5E" w:rsidRDefault="00C44B5E" w:rsidP="00C44B5E">
      <w:pPr>
        <w:pStyle w:val="Prrafodelista"/>
        <w:spacing w:after="0"/>
        <w:ind w:left="0"/>
        <w:contextualSpacing/>
        <w:jc w:val="both"/>
        <w:rPr>
          <w:rFonts w:ascii="Arial" w:hAnsi="Arial" w:cs="Arial"/>
          <w:bCs/>
          <w:sz w:val="24"/>
        </w:rPr>
      </w:pPr>
    </w:p>
    <w:p w:rsidR="00C44B5E" w:rsidRDefault="00C44B5E" w:rsidP="00C44B5E">
      <w:pPr>
        <w:pStyle w:val="Prrafodelista"/>
        <w:spacing w:after="0"/>
        <w:ind w:left="0"/>
        <w:contextualSpacing/>
        <w:jc w:val="both"/>
        <w:rPr>
          <w:rFonts w:ascii="Arial" w:hAnsi="Arial" w:cs="Arial"/>
          <w:bCs/>
          <w:sz w:val="24"/>
        </w:rPr>
      </w:pPr>
    </w:p>
    <w:p w:rsidR="00C44B5E" w:rsidRDefault="00C44B5E" w:rsidP="00C44B5E">
      <w:pPr>
        <w:pStyle w:val="Prrafodelista"/>
        <w:spacing w:after="0"/>
        <w:ind w:left="0"/>
        <w:contextualSpacing/>
        <w:jc w:val="both"/>
        <w:rPr>
          <w:rFonts w:ascii="Arial" w:hAnsi="Arial" w:cs="Arial"/>
          <w:bCs/>
          <w:sz w:val="24"/>
        </w:rPr>
      </w:pPr>
    </w:p>
    <w:tbl>
      <w:tblPr>
        <w:tblW w:w="442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1"/>
        <w:gridCol w:w="781"/>
        <w:gridCol w:w="5218"/>
        <w:gridCol w:w="158"/>
        <w:gridCol w:w="609"/>
      </w:tblGrid>
      <w:tr w:rsidR="00C44B5E" w:rsidRPr="00C44B5E" w:rsidTr="00C44B5E">
        <w:trPr>
          <w:tblHeader/>
          <w:tblCellSpacing w:w="15" w:type="dxa"/>
          <w:jc w:val="center"/>
        </w:trPr>
        <w:tc>
          <w:tcPr>
            <w:tcW w:w="0" w:type="auto"/>
            <w:shd w:val="clear" w:color="auto" w:fill="A6A6A6" w:themeFill="background1" w:themeFillShade="A6"/>
            <w:vAlign w:val="center"/>
            <w:hideMark/>
          </w:tcPr>
          <w:p w:rsidR="00C44B5E" w:rsidRPr="00C44B5E" w:rsidRDefault="00C44B5E" w:rsidP="00C44B5E">
            <w:pPr>
              <w:jc w:val="center"/>
              <w:rPr>
                <w:rFonts w:ascii="Arial" w:hAnsi="Arial" w:cs="Arial"/>
                <w:b/>
                <w:sz w:val="14"/>
                <w:szCs w:val="14"/>
                <w:u w:val="single"/>
                <w:lang w:val="es-MX" w:eastAsia="es-MX"/>
              </w:rPr>
            </w:pPr>
            <w:r w:rsidRPr="00C44B5E">
              <w:rPr>
                <w:rFonts w:ascii="Arial" w:hAnsi="Arial" w:cs="Arial"/>
                <w:b/>
                <w:sz w:val="14"/>
                <w:szCs w:val="14"/>
                <w:u w:val="single"/>
                <w:lang w:val="es-MX" w:eastAsia="es-MX"/>
              </w:rPr>
              <w:t>Factura</w:t>
            </w:r>
          </w:p>
        </w:tc>
        <w:tc>
          <w:tcPr>
            <w:tcW w:w="0" w:type="auto"/>
            <w:shd w:val="clear" w:color="auto" w:fill="A6A6A6" w:themeFill="background1" w:themeFillShade="A6"/>
            <w:vAlign w:val="center"/>
            <w:hideMark/>
          </w:tcPr>
          <w:p w:rsidR="00C44B5E" w:rsidRPr="00C44B5E" w:rsidRDefault="00C44B5E" w:rsidP="00C44B5E">
            <w:pPr>
              <w:jc w:val="center"/>
              <w:rPr>
                <w:rFonts w:ascii="Arial" w:hAnsi="Arial" w:cs="Arial"/>
                <w:b/>
                <w:sz w:val="14"/>
                <w:szCs w:val="14"/>
                <w:u w:val="single"/>
                <w:lang w:val="es-MX" w:eastAsia="es-MX"/>
              </w:rPr>
            </w:pPr>
            <w:r w:rsidRPr="00C44B5E">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C44B5E" w:rsidRPr="00C44B5E" w:rsidRDefault="00C44B5E" w:rsidP="00C44B5E">
            <w:pPr>
              <w:jc w:val="center"/>
              <w:rPr>
                <w:rFonts w:ascii="Arial" w:hAnsi="Arial" w:cs="Arial"/>
                <w:b/>
                <w:sz w:val="14"/>
                <w:szCs w:val="14"/>
                <w:u w:val="single"/>
                <w:lang w:val="es-MX" w:eastAsia="es-MX"/>
              </w:rPr>
            </w:pPr>
            <w:r w:rsidRPr="00C44B5E">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C44B5E" w:rsidRPr="00C44B5E" w:rsidRDefault="00C44B5E" w:rsidP="00C44B5E">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C44B5E" w:rsidRPr="00C44B5E" w:rsidRDefault="00C44B5E" w:rsidP="00C44B5E">
            <w:pPr>
              <w:jc w:val="center"/>
              <w:rPr>
                <w:rFonts w:ascii="Arial" w:hAnsi="Arial" w:cs="Arial"/>
                <w:b/>
                <w:sz w:val="14"/>
                <w:szCs w:val="14"/>
                <w:u w:val="single"/>
                <w:lang w:val="es-MX" w:eastAsia="es-MX"/>
              </w:rPr>
            </w:pPr>
            <w:r w:rsidRPr="00C44B5E">
              <w:rPr>
                <w:rFonts w:ascii="Arial" w:hAnsi="Arial" w:cs="Arial"/>
                <w:b/>
                <w:sz w:val="14"/>
                <w:szCs w:val="14"/>
                <w:u w:val="single"/>
                <w:lang w:val="es-MX" w:eastAsia="es-MX"/>
              </w:rPr>
              <w:t>Importe</w:t>
            </w:r>
          </w:p>
        </w:tc>
      </w:tr>
      <w:tr w:rsidR="00C44B5E" w:rsidRPr="00C44B5E" w:rsidTr="00C44B5E">
        <w:trPr>
          <w:tblCellSpacing w:w="15" w:type="dxa"/>
          <w:jc w:val="center"/>
        </w:trPr>
        <w:tc>
          <w:tcPr>
            <w:tcW w:w="0" w:type="auto"/>
            <w:vAlign w:val="center"/>
            <w:hideMark/>
          </w:tcPr>
          <w:p w:rsidR="00C44B5E" w:rsidRPr="00C44B5E" w:rsidRDefault="00C44B5E" w:rsidP="003279CA">
            <w:pPr>
              <w:jc w:val="center"/>
              <w:rPr>
                <w:rFonts w:ascii="Arial" w:hAnsi="Arial" w:cs="Arial"/>
                <w:sz w:val="14"/>
                <w:szCs w:val="14"/>
                <w:lang w:val="es-MX" w:eastAsia="es-MX"/>
              </w:rPr>
            </w:pPr>
            <w:r w:rsidRPr="00C44B5E">
              <w:rPr>
                <w:rFonts w:ascii="Arial" w:hAnsi="Arial" w:cs="Arial"/>
                <w:sz w:val="14"/>
                <w:szCs w:val="14"/>
                <w:lang w:val="es-MX" w:eastAsia="es-MX"/>
              </w:rPr>
              <w:t>124</w:t>
            </w:r>
          </w:p>
        </w:tc>
        <w:tc>
          <w:tcPr>
            <w:tcW w:w="0" w:type="auto"/>
            <w:vAlign w:val="center"/>
            <w:hideMark/>
          </w:tcPr>
          <w:p w:rsidR="00C44B5E" w:rsidRPr="00C44B5E" w:rsidRDefault="00C44B5E" w:rsidP="003279CA">
            <w:pPr>
              <w:jc w:val="center"/>
              <w:rPr>
                <w:rFonts w:ascii="Arial" w:hAnsi="Arial" w:cs="Arial"/>
                <w:sz w:val="14"/>
                <w:szCs w:val="14"/>
                <w:lang w:val="es-MX" w:eastAsia="es-MX"/>
              </w:rPr>
            </w:pPr>
            <w:r w:rsidRPr="00C44B5E">
              <w:rPr>
                <w:rFonts w:ascii="Arial" w:hAnsi="Arial" w:cs="Arial"/>
                <w:sz w:val="14"/>
                <w:szCs w:val="14"/>
                <w:lang w:val="es-MX" w:eastAsia="es-MX"/>
              </w:rPr>
              <w:t>12/03/2015</w:t>
            </w:r>
          </w:p>
        </w:tc>
        <w:tc>
          <w:tcPr>
            <w:tcW w:w="0" w:type="auto"/>
            <w:vAlign w:val="center"/>
            <w:hideMark/>
          </w:tcPr>
          <w:p w:rsidR="00C44B5E" w:rsidRPr="00C44B5E" w:rsidRDefault="00C44B5E" w:rsidP="003279CA">
            <w:pPr>
              <w:rPr>
                <w:rFonts w:ascii="Arial" w:hAnsi="Arial" w:cs="Arial"/>
                <w:sz w:val="14"/>
                <w:szCs w:val="14"/>
                <w:lang w:val="es-MX" w:eastAsia="es-MX"/>
              </w:rPr>
            </w:pPr>
            <w:r w:rsidRPr="00C44B5E">
              <w:rPr>
                <w:rFonts w:ascii="Arial" w:hAnsi="Arial" w:cs="Arial"/>
                <w:sz w:val="14"/>
                <w:szCs w:val="14"/>
                <w:lang w:val="es-MX" w:eastAsia="es-MX"/>
              </w:rPr>
              <w:t>Remodelación de oficina en Gonzalitos 229 del proyecto gestión documental y archivo.</w:t>
            </w:r>
          </w:p>
        </w:tc>
        <w:tc>
          <w:tcPr>
            <w:tcW w:w="0" w:type="auto"/>
            <w:vAlign w:val="center"/>
            <w:hideMark/>
          </w:tcPr>
          <w:p w:rsidR="00C44B5E" w:rsidRPr="00C44B5E" w:rsidRDefault="00C44B5E" w:rsidP="003279CA">
            <w:pPr>
              <w:rPr>
                <w:rFonts w:ascii="Arial" w:hAnsi="Arial" w:cs="Arial"/>
                <w:sz w:val="14"/>
                <w:szCs w:val="14"/>
                <w:lang w:val="es-MX" w:eastAsia="es-MX"/>
              </w:rPr>
            </w:pPr>
            <w:r w:rsidRPr="00C44B5E">
              <w:rPr>
                <w:rFonts w:ascii="Arial" w:hAnsi="Arial" w:cs="Arial"/>
                <w:sz w:val="14"/>
                <w:szCs w:val="14"/>
                <w:lang w:val="es-MX" w:eastAsia="es-MX"/>
              </w:rPr>
              <w:t>$</w:t>
            </w:r>
          </w:p>
        </w:tc>
        <w:tc>
          <w:tcPr>
            <w:tcW w:w="0" w:type="auto"/>
            <w:vAlign w:val="center"/>
            <w:hideMark/>
          </w:tcPr>
          <w:p w:rsidR="00C44B5E" w:rsidRPr="00C44B5E" w:rsidRDefault="00C44B5E" w:rsidP="003279CA">
            <w:pPr>
              <w:jc w:val="right"/>
              <w:rPr>
                <w:rFonts w:ascii="Arial" w:hAnsi="Arial" w:cs="Arial"/>
                <w:sz w:val="14"/>
                <w:szCs w:val="14"/>
                <w:lang w:val="es-MX" w:eastAsia="es-MX"/>
              </w:rPr>
            </w:pPr>
            <w:r w:rsidRPr="00C44B5E">
              <w:rPr>
                <w:rFonts w:ascii="Arial" w:hAnsi="Arial" w:cs="Arial"/>
                <w:sz w:val="14"/>
                <w:szCs w:val="14"/>
                <w:lang w:val="es-MX" w:eastAsia="es-MX"/>
              </w:rPr>
              <w:t>262,151</w:t>
            </w:r>
          </w:p>
        </w:tc>
      </w:tr>
      <w:tr w:rsidR="00C44B5E" w:rsidRPr="00C44B5E" w:rsidTr="00C44B5E">
        <w:trPr>
          <w:tblCellSpacing w:w="15" w:type="dxa"/>
          <w:jc w:val="center"/>
        </w:trPr>
        <w:tc>
          <w:tcPr>
            <w:tcW w:w="0" w:type="auto"/>
            <w:vAlign w:val="center"/>
            <w:hideMark/>
          </w:tcPr>
          <w:p w:rsidR="00C44B5E" w:rsidRPr="00C44B5E" w:rsidRDefault="00C44B5E" w:rsidP="003279CA">
            <w:pPr>
              <w:jc w:val="center"/>
              <w:rPr>
                <w:rFonts w:ascii="Arial" w:hAnsi="Arial" w:cs="Arial"/>
                <w:sz w:val="14"/>
                <w:szCs w:val="14"/>
                <w:lang w:val="es-MX" w:eastAsia="es-MX"/>
              </w:rPr>
            </w:pPr>
            <w:r w:rsidRPr="00C44B5E">
              <w:rPr>
                <w:rFonts w:ascii="Arial" w:hAnsi="Arial" w:cs="Arial"/>
                <w:sz w:val="14"/>
                <w:szCs w:val="14"/>
                <w:lang w:val="es-MX" w:eastAsia="es-MX"/>
              </w:rPr>
              <w:t>130</w:t>
            </w:r>
          </w:p>
        </w:tc>
        <w:tc>
          <w:tcPr>
            <w:tcW w:w="0" w:type="auto"/>
            <w:vAlign w:val="center"/>
            <w:hideMark/>
          </w:tcPr>
          <w:p w:rsidR="00C44B5E" w:rsidRPr="00C44B5E" w:rsidRDefault="00C44B5E" w:rsidP="003279CA">
            <w:pPr>
              <w:jc w:val="center"/>
              <w:rPr>
                <w:rFonts w:ascii="Arial" w:hAnsi="Arial" w:cs="Arial"/>
                <w:sz w:val="14"/>
                <w:szCs w:val="14"/>
                <w:lang w:val="es-MX" w:eastAsia="es-MX"/>
              </w:rPr>
            </w:pPr>
            <w:r w:rsidRPr="00C44B5E">
              <w:rPr>
                <w:rFonts w:ascii="Arial" w:hAnsi="Arial" w:cs="Arial"/>
                <w:sz w:val="14"/>
                <w:szCs w:val="14"/>
                <w:lang w:val="es-MX" w:eastAsia="es-MX"/>
              </w:rPr>
              <w:t>26/03/2015</w:t>
            </w:r>
          </w:p>
        </w:tc>
        <w:tc>
          <w:tcPr>
            <w:tcW w:w="0" w:type="auto"/>
            <w:vAlign w:val="center"/>
            <w:hideMark/>
          </w:tcPr>
          <w:p w:rsidR="00C44B5E" w:rsidRPr="00C44B5E" w:rsidRDefault="00C44B5E" w:rsidP="003279CA">
            <w:pPr>
              <w:rPr>
                <w:rFonts w:ascii="Arial" w:hAnsi="Arial" w:cs="Arial"/>
                <w:sz w:val="14"/>
                <w:szCs w:val="14"/>
                <w:lang w:val="es-MX" w:eastAsia="es-MX"/>
              </w:rPr>
            </w:pPr>
            <w:r w:rsidRPr="00C44B5E">
              <w:rPr>
                <w:rFonts w:ascii="Arial" w:hAnsi="Arial" w:cs="Arial"/>
                <w:sz w:val="14"/>
                <w:szCs w:val="14"/>
                <w:lang w:val="es-MX" w:eastAsia="es-MX"/>
              </w:rPr>
              <w:t>Proyecto archivo general 66 estanterías metálicas.</w:t>
            </w:r>
          </w:p>
        </w:tc>
        <w:tc>
          <w:tcPr>
            <w:tcW w:w="0" w:type="auto"/>
            <w:vAlign w:val="center"/>
            <w:hideMark/>
          </w:tcPr>
          <w:p w:rsidR="00C44B5E" w:rsidRPr="00C44B5E" w:rsidRDefault="00C44B5E" w:rsidP="003279CA">
            <w:pPr>
              <w:rPr>
                <w:rFonts w:ascii="Arial" w:hAnsi="Arial" w:cs="Arial"/>
                <w:sz w:val="14"/>
                <w:szCs w:val="14"/>
                <w:lang w:val="es-MX" w:eastAsia="es-MX"/>
              </w:rPr>
            </w:pPr>
            <w:r w:rsidRPr="00C44B5E">
              <w:rPr>
                <w:rFonts w:ascii="Arial" w:hAnsi="Arial" w:cs="Arial"/>
                <w:sz w:val="14"/>
                <w:szCs w:val="14"/>
                <w:lang w:val="es-MX" w:eastAsia="es-MX"/>
              </w:rPr>
              <w:t> </w:t>
            </w:r>
          </w:p>
        </w:tc>
        <w:tc>
          <w:tcPr>
            <w:tcW w:w="0" w:type="auto"/>
            <w:vAlign w:val="center"/>
            <w:hideMark/>
          </w:tcPr>
          <w:p w:rsidR="00C44B5E" w:rsidRPr="00C44B5E" w:rsidRDefault="00C44B5E" w:rsidP="003279CA">
            <w:pPr>
              <w:jc w:val="right"/>
              <w:rPr>
                <w:rFonts w:ascii="Arial" w:hAnsi="Arial" w:cs="Arial"/>
                <w:sz w:val="14"/>
                <w:szCs w:val="14"/>
                <w:lang w:val="es-MX" w:eastAsia="es-MX"/>
              </w:rPr>
            </w:pPr>
            <w:r w:rsidRPr="00C44B5E">
              <w:rPr>
                <w:rFonts w:ascii="Arial" w:hAnsi="Arial" w:cs="Arial"/>
                <w:sz w:val="14"/>
                <w:szCs w:val="14"/>
                <w:lang w:val="es-MX" w:eastAsia="es-MX"/>
              </w:rPr>
              <w:t>91,872</w:t>
            </w:r>
          </w:p>
        </w:tc>
      </w:tr>
      <w:tr w:rsidR="00C44B5E" w:rsidRPr="00C44B5E" w:rsidTr="00C44B5E">
        <w:trPr>
          <w:tblCellSpacing w:w="15" w:type="dxa"/>
          <w:jc w:val="center"/>
        </w:trPr>
        <w:tc>
          <w:tcPr>
            <w:tcW w:w="0" w:type="auto"/>
            <w:vAlign w:val="center"/>
            <w:hideMark/>
          </w:tcPr>
          <w:p w:rsidR="00C44B5E" w:rsidRPr="00C44B5E" w:rsidRDefault="00C44B5E" w:rsidP="003279CA">
            <w:pPr>
              <w:jc w:val="center"/>
              <w:rPr>
                <w:rFonts w:ascii="Arial" w:hAnsi="Arial" w:cs="Arial"/>
                <w:sz w:val="14"/>
                <w:szCs w:val="14"/>
                <w:lang w:val="es-MX" w:eastAsia="es-MX"/>
              </w:rPr>
            </w:pPr>
            <w:r w:rsidRPr="00C44B5E">
              <w:rPr>
                <w:rFonts w:ascii="Arial" w:hAnsi="Arial" w:cs="Arial"/>
                <w:sz w:val="14"/>
                <w:szCs w:val="14"/>
                <w:lang w:val="es-MX" w:eastAsia="es-MX"/>
              </w:rPr>
              <w:t>140</w:t>
            </w:r>
          </w:p>
        </w:tc>
        <w:tc>
          <w:tcPr>
            <w:tcW w:w="0" w:type="auto"/>
            <w:vAlign w:val="center"/>
            <w:hideMark/>
          </w:tcPr>
          <w:p w:rsidR="00C44B5E" w:rsidRPr="00C44B5E" w:rsidRDefault="00C44B5E" w:rsidP="003279CA">
            <w:pPr>
              <w:jc w:val="center"/>
              <w:rPr>
                <w:rFonts w:ascii="Arial" w:hAnsi="Arial" w:cs="Arial"/>
                <w:sz w:val="14"/>
                <w:szCs w:val="14"/>
                <w:lang w:val="es-MX" w:eastAsia="es-MX"/>
              </w:rPr>
            </w:pPr>
            <w:r w:rsidRPr="00C44B5E">
              <w:rPr>
                <w:rFonts w:ascii="Arial" w:hAnsi="Arial" w:cs="Arial"/>
                <w:sz w:val="14"/>
                <w:szCs w:val="14"/>
                <w:lang w:val="es-MX" w:eastAsia="es-MX"/>
              </w:rPr>
              <w:t>13/05/2015</w:t>
            </w:r>
          </w:p>
        </w:tc>
        <w:tc>
          <w:tcPr>
            <w:tcW w:w="0" w:type="auto"/>
            <w:vAlign w:val="center"/>
            <w:hideMark/>
          </w:tcPr>
          <w:p w:rsidR="00C44B5E" w:rsidRPr="00C44B5E" w:rsidRDefault="00C44B5E" w:rsidP="003279CA">
            <w:pPr>
              <w:rPr>
                <w:rFonts w:ascii="Arial" w:hAnsi="Arial" w:cs="Arial"/>
                <w:sz w:val="14"/>
                <w:szCs w:val="14"/>
                <w:lang w:val="es-MX" w:eastAsia="es-MX"/>
              </w:rPr>
            </w:pPr>
            <w:r w:rsidRPr="00C44B5E">
              <w:rPr>
                <w:rFonts w:ascii="Arial" w:hAnsi="Arial" w:cs="Arial"/>
                <w:sz w:val="14"/>
                <w:szCs w:val="14"/>
                <w:lang w:val="es-MX" w:eastAsia="es-MX"/>
              </w:rPr>
              <w:t>Remodelación de oficina archivo sobre comedor, según proyecto gestión documental y archivo.</w:t>
            </w:r>
          </w:p>
        </w:tc>
        <w:tc>
          <w:tcPr>
            <w:tcW w:w="0" w:type="auto"/>
            <w:vAlign w:val="center"/>
            <w:hideMark/>
          </w:tcPr>
          <w:p w:rsidR="00C44B5E" w:rsidRPr="00C44B5E" w:rsidRDefault="00C44B5E" w:rsidP="003279CA">
            <w:pPr>
              <w:rPr>
                <w:rFonts w:ascii="Arial" w:hAnsi="Arial" w:cs="Arial"/>
                <w:sz w:val="14"/>
                <w:szCs w:val="14"/>
                <w:lang w:val="es-MX" w:eastAsia="es-MX"/>
              </w:rPr>
            </w:pPr>
            <w:r w:rsidRPr="00C44B5E">
              <w:rPr>
                <w:rFonts w:ascii="Arial" w:hAnsi="Arial" w:cs="Arial"/>
                <w:sz w:val="14"/>
                <w:szCs w:val="14"/>
                <w:lang w:val="es-MX" w:eastAsia="es-MX"/>
              </w:rPr>
              <w:t> </w:t>
            </w:r>
          </w:p>
        </w:tc>
        <w:tc>
          <w:tcPr>
            <w:tcW w:w="0" w:type="auto"/>
            <w:vAlign w:val="center"/>
            <w:hideMark/>
          </w:tcPr>
          <w:p w:rsidR="00C44B5E" w:rsidRPr="00C44B5E" w:rsidRDefault="00C44B5E" w:rsidP="003279CA">
            <w:pPr>
              <w:jc w:val="right"/>
              <w:rPr>
                <w:rFonts w:ascii="Arial" w:hAnsi="Arial" w:cs="Arial"/>
                <w:sz w:val="14"/>
                <w:szCs w:val="14"/>
                <w:lang w:val="es-MX" w:eastAsia="es-MX"/>
              </w:rPr>
            </w:pPr>
            <w:r w:rsidRPr="00C44B5E">
              <w:rPr>
                <w:rFonts w:ascii="Arial" w:hAnsi="Arial" w:cs="Arial"/>
                <w:sz w:val="14"/>
                <w:szCs w:val="14"/>
                <w:lang w:val="es-MX" w:eastAsia="es-MX"/>
              </w:rPr>
              <w:t>324,336</w:t>
            </w:r>
          </w:p>
        </w:tc>
      </w:tr>
      <w:tr w:rsidR="00C44B5E" w:rsidRPr="00C44B5E" w:rsidTr="00C44B5E">
        <w:trPr>
          <w:tblCellSpacing w:w="15" w:type="dxa"/>
          <w:jc w:val="center"/>
        </w:trPr>
        <w:tc>
          <w:tcPr>
            <w:tcW w:w="0" w:type="auto"/>
            <w:vAlign w:val="center"/>
            <w:hideMark/>
          </w:tcPr>
          <w:p w:rsidR="00C44B5E" w:rsidRPr="00C44B5E" w:rsidRDefault="00C44B5E" w:rsidP="003279CA">
            <w:pPr>
              <w:jc w:val="center"/>
              <w:rPr>
                <w:rFonts w:ascii="Arial" w:hAnsi="Arial" w:cs="Arial"/>
                <w:sz w:val="14"/>
                <w:szCs w:val="14"/>
                <w:lang w:val="es-MX" w:eastAsia="es-MX"/>
              </w:rPr>
            </w:pPr>
            <w:r w:rsidRPr="00C44B5E">
              <w:rPr>
                <w:rFonts w:ascii="Arial" w:hAnsi="Arial" w:cs="Arial"/>
                <w:sz w:val="14"/>
                <w:szCs w:val="14"/>
                <w:lang w:val="es-MX" w:eastAsia="es-MX"/>
              </w:rPr>
              <w:lastRenderedPageBreak/>
              <w:t>Total</w:t>
            </w:r>
          </w:p>
        </w:tc>
        <w:tc>
          <w:tcPr>
            <w:tcW w:w="0" w:type="auto"/>
            <w:vAlign w:val="center"/>
            <w:hideMark/>
          </w:tcPr>
          <w:p w:rsidR="00C44B5E" w:rsidRPr="00C44B5E" w:rsidRDefault="00C44B5E" w:rsidP="003279CA">
            <w:pPr>
              <w:jc w:val="center"/>
              <w:rPr>
                <w:rFonts w:ascii="Arial" w:hAnsi="Arial" w:cs="Arial"/>
                <w:sz w:val="14"/>
                <w:szCs w:val="14"/>
                <w:lang w:val="es-MX" w:eastAsia="es-MX"/>
              </w:rPr>
            </w:pPr>
            <w:r w:rsidRPr="00C44B5E">
              <w:rPr>
                <w:rFonts w:ascii="Arial" w:hAnsi="Arial" w:cs="Arial"/>
                <w:sz w:val="14"/>
                <w:szCs w:val="14"/>
                <w:lang w:val="es-MX" w:eastAsia="es-MX"/>
              </w:rPr>
              <w:t> </w:t>
            </w:r>
          </w:p>
        </w:tc>
        <w:tc>
          <w:tcPr>
            <w:tcW w:w="0" w:type="auto"/>
            <w:vAlign w:val="center"/>
            <w:hideMark/>
          </w:tcPr>
          <w:p w:rsidR="00C44B5E" w:rsidRPr="00C44B5E" w:rsidRDefault="00C44B5E" w:rsidP="003279CA">
            <w:pPr>
              <w:rPr>
                <w:rFonts w:ascii="Arial" w:hAnsi="Arial" w:cs="Arial"/>
                <w:sz w:val="14"/>
                <w:szCs w:val="14"/>
                <w:lang w:val="es-MX" w:eastAsia="es-MX"/>
              </w:rPr>
            </w:pPr>
            <w:r w:rsidRPr="00C44B5E">
              <w:rPr>
                <w:rFonts w:ascii="Arial" w:hAnsi="Arial" w:cs="Arial"/>
                <w:sz w:val="14"/>
                <w:szCs w:val="14"/>
                <w:lang w:val="es-MX" w:eastAsia="es-MX"/>
              </w:rPr>
              <w:t> </w:t>
            </w:r>
          </w:p>
        </w:tc>
        <w:tc>
          <w:tcPr>
            <w:tcW w:w="0" w:type="auto"/>
            <w:vAlign w:val="center"/>
            <w:hideMark/>
          </w:tcPr>
          <w:p w:rsidR="00C44B5E" w:rsidRPr="00C44B5E" w:rsidRDefault="00C44B5E" w:rsidP="003279CA">
            <w:pPr>
              <w:rPr>
                <w:rFonts w:ascii="Arial" w:hAnsi="Arial" w:cs="Arial"/>
                <w:sz w:val="14"/>
                <w:szCs w:val="14"/>
                <w:lang w:val="es-MX" w:eastAsia="es-MX"/>
              </w:rPr>
            </w:pPr>
            <w:r w:rsidRPr="00C44B5E">
              <w:rPr>
                <w:rFonts w:ascii="Arial" w:hAnsi="Arial" w:cs="Arial"/>
                <w:sz w:val="14"/>
                <w:szCs w:val="14"/>
                <w:lang w:val="es-MX" w:eastAsia="es-MX"/>
              </w:rPr>
              <w:t>$</w:t>
            </w:r>
          </w:p>
        </w:tc>
        <w:tc>
          <w:tcPr>
            <w:tcW w:w="0" w:type="auto"/>
            <w:vAlign w:val="center"/>
            <w:hideMark/>
          </w:tcPr>
          <w:p w:rsidR="00C44B5E" w:rsidRPr="00C44B5E" w:rsidRDefault="00C44B5E" w:rsidP="003279CA">
            <w:pPr>
              <w:jc w:val="right"/>
              <w:rPr>
                <w:rFonts w:ascii="Arial" w:hAnsi="Arial" w:cs="Arial"/>
                <w:sz w:val="14"/>
                <w:szCs w:val="14"/>
                <w:lang w:val="es-MX" w:eastAsia="es-MX"/>
              </w:rPr>
            </w:pPr>
            <w:r w:rsidRPr="00C44B5E">
              <w:rPr>
                <w:rFonts w:ascii="Arial" w:hAnsi="Arial" w:cs="Arial"/>
                <w:sz w:val="14"/>
                <w:szCs w:val="14"/>
                <w:lang w:val="es-MX" w:eastAsia="es-MX"/>
              </w:rPr>
              <w:t>678,359</w:t>
            </w:r>
          </w:p>
        </w:tc>
      </w:tr>
    </w:tbl>
    <w:p w:rsidR="00C44B5E" w:rsidRPr="00C44B5E" w:rsidRDefault="00C44B5E" w:rsidP="00C44B5E">
      <w:pPr>
        <w:pStyle w:val="Prrafodelista"/>
        <w:spacing w:after="0"/>
        <w:ind w:left="0"/>
        <w:contextualSpacing/>
        <w:jc w:val="both"/>
        <w:rPr>
          <w:rFonts w:ascii="Arial" w:hAnsi="Arial" w:cs="Arial"/>
          <w:bCs/>
          <w:sz w:val="24"/>
        </w:rPr>
      </w:pPr>
    </w:p>
    <w:p w:rsidR="00C44B5E" w:rsidRDefault="00C44B5E" w:rsidP="00166FC5">
      <w:pPr>
        <w:pStyle w:val="Prrafodelista"/>
        <w:spacing w:after="0"/>
        <w:ind w:left="0"/>
        <w:contextualSpacing/>
        <w:jc w:val="both"/>
        <w:rPr>
          <w:rFonts w:ascii="Arial" w:hAnsi="Arial" w:cs="Arial"/>
          <w:b/>
          <w:bCs/>
          <w:sz w:val="24"/>
        </w:rPr>
      </w:pPr>
    </w:p>
    <w:p w:rsidR="00C44B5E" w:rsidRPr="00C44B5E" w:rsidRDefault="00C44B5E" w:rsidP="00166FC5">
      <w:pPr>
        <w:pStyle w:val="Prrafodelista"/>
        <w:spacing w:after="0"/>
        <w:ind w:left="0"/>
        <w:contextualSpacing/>
        <w:jc w:val="both"/>
        <w:rPr>
          <w:rFonts w:ascii="Arial" w:hAnsi="Arial" w:cs="Arial"/>
          <w:bCs/>
          <w:sz w:val="24"/>
        </w:rPr>
      </w:pPr>
      <w:r w:rsidRPr="00C44B5E">
        <w:rPr>
          <w:rFonts w:ascii="Arial" w:hAnsi="Arial" w:cs="Arial"/>
          <w:bCs/>
          <w:sz w:val="24"/>
        </w:rPr>
        <w:t xml:space="preserve">Así mismo, se observa que su registro debió de haberse efectuado dentro de los rubros de Bienes Inmuebles, Infraestructura y Construcciones en Proceso (1.2.3) y Bienes Muebles (1.2.4) según corresponda, contraviniendo lo señalado en el Capítulo III Plan de Cuentas del Manual de Contabilidad Gubernamental emitido por el </w:t>
      </w:r>
      <w:proofErr w:type="spellStart"/>
      <w:r w:rsidRPr="00C44B5E">
        <w:rPr>
          <w:rFonts w:ascii="Arial" w:hAnsi="Arial" w:cs="Arial"/>
          <w:bCs/>
          <w:sz w:val="24"/>
        </w:rPr>
        <w:t>Conac</w:t>
      </w:r>
      <w:proofErr w:type="spellEnd"/>
      <w:r w:rsidRPr="00C44B5E">
        <w:rPr>
          <w:rFonts w:ascii="Arial" w:hAnsi="Arial" w:cs="Arial"/>
          <w:bCs/>
          <w:sz w:val="24"/>
        </w:rPr>
        <w:t>, estableciendo su observancia obligatoria, de conformidad con el artículo 7 de la Ley General de Contabilidad Gubernamental.</w:t>
      </w:r>
    </w:p>
    <w:p w:rsidR="00C44B5E" w:rsidRDefault="00C44B5E" w:rsidP="00166FC5">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
          <w:bCs/>
          <w:sz w:val="24"/>
        </w:rPr>
      </w:pPr>
      <w:r w:rsidRPr="00C44B5E">
        <w:rPr>
          <w:rFonts w:ascii="Arial" w:hAnsi="Arial" w:cs="Arial"/>
          <w:b/>
          <w:bCs/>
          <w:sz w:val="24"/>
        </w:rPr>
        <w:t>Análisis de la Auditoría Superior del Estado</w:t>
      </w:r>
    </w:p>
    <w:p w:rsidR="00C44B5E" w:rsidRDefault="00C44B5E" w:rsidP="00C44B5E">
      <w:pPr>
        <w:pStyle w:val="Prrafodelista"/>
        <w:spacing w:after="0"/>
        <w:ind w:left="0"/>
        <w:contextualSpacing/>
        <w:jc w:val="both"/>
        <w:rPr>
          <w:rFonts w:ascii="Arial" w:hAnsi="Arial" w:cs="Arial"/>
          <w:bCs/>
          <w:sz w:val="24"/>
        </w:rPr>
      </w:pPr>
    </w:p>
    <w:p w:rsidR="00C44B5E" w:rsidRPr="00C44B5E" w:rsidRDefault="00C44B5E" w:rsidP="00C44B5E">
      <w:pPr>
        <w:pStyle w:val="Prrafodelista"/>
        <w:spacing w:after="0"/>
        <w:ind w:left="0"/>
        <w:contextualSpacing/>
        <w:jc w:val="both"/>
        <w:rPr>
          <w:rFonts w:ascii="Arial" w:hAnsi="Arial" w:cs="Arial"/>
          <w:bCs/>
          <w:sz w:val="24"/>
        </w:rPr>
      </w:pPr>
      <w:r w:rsidRPr="00C44B5E">
        <w:rPr>
          <w:rFonts w:ascii="Arial" w:hAnsi="Arial" w:cs="Arial"/>
          <w:bCs/>
          <w:sz w:val="24"/>
        </w:rPr>
        <w:t>Derivado del análisis de la respuesta y de la documentación presentada por el Ente Público</w:t>
      </w:r>
      <w:r>
        <w:rPr>
          <w:rFonts w:ascii="Arial" w:hAnsi="Arial" w:cs="Arial"/>
          <w:bCs/>
          <w:sz w:val="24"/>
        </w:rPr>
        <w:t xml:space="preserve"> la Auditoría determinó que esta observación se solventó</w:t>
      </w:r>
      <w:r w:rsidRPr="00C44B5E">
        <w:rPr>
          <w:rFonts w:ascii="Arial" w:hAnsi="Arial" w:cs="Arial"/>
          <w:bCs/>
          <w:sz w:val="24"/>
        </w:rPr>
        <w:t xml:space="preserve"> parcialmente, ya que</w:t>
      </w:r>
      <w:r>
        <w:rPr>
          <w:rFonts w:ascii="Arial" w:hAnsi="Arial" w:cs="Arial"/>
          <w:bCs/>
          <w:sz w:val="24"/>
        </w:rPr>
        <w:t xml:space="preserve"> durante el proceso de auditoría se observó que se estaban</w:t>
      </w:r>
      <w:r w:rsidRPr="00C44B5E">
        <w:rPr>
          <w:rFonts w:ascii="Arial" w:hAnsi="Arial" w:cs="Arial"/>
          <w:bCs/>
          <w:sz w:val="24"/>
        </w:rPr>
        <w:t xml:space="preserve"> tomando las medidas correctivas para que se cumpla con el procedimiento y elaboración de los contratos en cumplimiento de la Ley de Adquisiciones, Arrendamientos y Contratación de Servicios del Estado de Nuevo León, sin embargo no proporcionó copia de las pólizas que demuestren que se efectuaron los registros de corrección correspondientes.</w:t>
      </w:r>
    </w:p>
    <w:p w:rsidR="00C44B5E" w:rsidRPr="00C44B5E" w:rsidRDefault="00C44B5E" w:rsidP="00C44B5E">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
          <w:bCs/>
          <w:sz w:val="24"/>
        </w:rPr>
      </w:pPr>
    </w:p>
    <w:p w:rsidR="00C44B5E" w:rsidRPr="00C44B5E" w:rsidRDefault="00C44B5E" w:rsidP="00C44B5E">
      <w:pPr>
        <w:pStyle w:val="Prrafodelista"/>
        <w:spacing w:after="0"/>
        <w:ind w:left="0"/>
        <w:contextualSpacing/>
        <w:jc w:val="both"/>
        <w:rPr>
          <w:rFonts w:ascii="Arial" w:hAnsi="Arial" w:cs="Arial"/>
          <w:b/>
          <w:bCs/>
          <w:sz w:val="24"/>
        </w:rPr>
      </w:pPr>
      <w:r w:rsidRPr="00C44B5E">
        <w:rPr>
          <w:rFonts w:ascii="Arial" w:hAnsi="Arial" w:cs="Arial"/>
          <w:b/>
          <w:bCs/>
          <w:sz w:val="24"/>
        </w:rPr>
        <w:t>Acción(es) o recomendación(es) emitida(s)</w:t>
      </w:r>
    </w:p>
    <w:p w:rsidR="00C44B5E" w:rsidRPr="00C44B5E" w:rsidRDefault="00C44B5E" w:rsidP="00C44B5E">
      <w:pPr>
        <w:pStyle w:val="Prrafodelista"/>
        <w:spacing w:after="0"/>
        <w:ind w:left="0"/>
        <w:contextualSpacing/>
        <w:jc w:val="both"/>
        <w:rPr>
          <w:rFonts w:ascii="Arial" w:hAnsi="Arial" w:cs="Arial"/>
          <w:bCs/>
          <w:i/>
          <w:sz w:val="24"/>
        </w:rPr>
      </w:pPr>
      <w:r w:rsidRPr="00C44B5E">
        <w:rPr>
          <w:rFonts w:ascii="Arial" w:hAnsi="Arial" w:cs="Arial"/>
          <w:bCs/>
          <w:i/>
          <w:sz w:val="24"/>
        </w:rPr>
        <w:t>Promoción de Fincamiento de Responsabilidad Administrativa.</w:t>
      </w:r>
    </w:p>
    <w:p w:rsidR="00C44B5E" w:rsidRPr="00C44B5E" w:rsidRDefault="00C44B5E" w:rsidP="00166FC5">
      <w:pPr>
        <w:pStyle w:val="Prrafodelista"/>
        <w:spacing w:after="0"/>
        <w:ind w:left="0"/>
        <w:contextualSpacing/>
        <w:jc w:val="both"/>
        <w:rPr>
          <w:rFonts w:ascii="Arial" w:hAnsi="Arial" w:cs="Arial"/>
          <w:bCs/>
          <w:i/>
          <w:sz w:val="24"/>
        </w:rPr>
      </w:pPr>
    </w:p>
    <w:p w:rsidR="00C44B5E" w:rsidRPr="00C44B5E" w:rsidRDefault="00C44B5E" w:rsidP="00166FC5">
      <w:pPr>
        <w:pStyle w:val="Prrafodelista"/>
        <w:spacing w:after="0"/>
        <w:ind w:left="0"/>
        <w:contextualSpacing/>
        <w:jc w:val="both"/>
        <w:rPr>
          <w:rFonts w:ascii="Arial" w:hAnsi="Arial" w:cs="Arial"/>
          <w:bCs/>
          <w:i/>
          <w:sz w:val="24"/>
        </w:rPr>
      </w:pPr>
    </w:p>
    <w:p w:rsidR="00C44B5E" w:rsidRPr="00C44B5E" w:rsidRDefault="00C44B5E" w:rsidP="00166FC5">
      <w:pPr>
        <w:pStyle w:val="Prrafodelista"/>
        <w:spacing w:after="0"/>
        <w:ind w:left="0"/>
        <w:contextualSpacing/>
        <w:jc w:val="both"/>
        <w:rPr>
          <w:rFonts w:ascii="Arial" w:hAnsi="Arial" w:cs="Arial"/>
          <w:b/>
          <w:bCs/>
          <w:sz w:val="24"/>
          <w:u w:val="single"/>
        </w:rPr>
      </w:pPr>
      <w:r w:rsidRPr="00C44B5E">
        <w:rPr>
          <w:rFonts w:ascii="Arial" w:hAnsi="Arial" w:cs="Arial"/>
          <w:b/>
          <w:bCs/>
          <w:sz w:val="24"/>
          <w:u w:val="single"/>
        </w:rPr>
        <w:t>Servicios financieros y bancarios</w:t>
      </w:r>
    </w:p>
    <w:p w:rsidR="00D21D9B" w:rsidRDefault="00D21D9B" w:rsidP="00166FC5">
      <w:pPr>
        <w:pStyle w:val="Prrafodelista"/>
        <w:spacing w:after="0"/>
        <w:ind w:left="0"/>
        <w:contextualSpacing/>
        <w:jc w:val="both"/>
        <w:rPr>
          <w:rFonts w:ascii="Arial" w:hAnsi="Arial" w:cs="Arial"/>
          <w:b/>
          <w:bCs/>
          <w:sz w:val="24"/>
        </w:rPr>
      </w:pPr>
    </w:p>
    <w:p w:rsidR="00C44B5E" w:rsidRDefault="00C44B5E" w:rsidP="00166FC5">
      <w:pPr>
        <w:pStyle w:val="Prrafodelista"/>
        <w:spacing w:after="0"/>
        <w:ind w:left="0"/>
        <w:contextualSpacing/>
        <w:jc w:val="both"/>
        <w:rPr>
          <w:rFonts w:ascii="Arial" w:hAnsi="Arial" w:cs="Arial"/>
          <w:bCs/>
          <w:sz w:val="24"/>
        </w:rPr>
      </w:pPr>
      <w:r>
        <w:rPr>
          <w:rFonts w:ascii="Arial" w:hAnsi="Arial" w:cs="Arial"/>
          <w:bCs/>
          <w:sz w:val="24"/>
        </w:rPr>
        <w:t xml:space="preserve">36. </w:t>
      </w:r>
      <w:r w:rsidRPr="00C44B5E">
        <w:rPr>
          <w:rFonts w:ascii="Arial" w:hAnsi="Arial" w:cs="Arial"/>
          <w:bCs/>
          <w:sz w:val="24"/>
        </w:rPr>
        <w:t xml:space="preserve">El Ente Público contrató al proveedor Servicios Privados de Seguridad, SA. </w:t>
      </w:r>
      <w:proofErr w:type="gramStart"/>
      <w:r w:rsidRPr="00C44B5E">
        <w:rPr>
          <w:rFonts w:ascii="Arial" w:hAnsi="Arial" w:cs="Arial"/>
          <w:bCs/>
          <w:sz w:val="24"/>
        </w:rPr>
        <w:t>de</w:t>
      </w:r>
      <w:proofErr w:type="gramEnd"/>
      <w:r w:rsidRPr="00C44B5E">
        <w:rPr>
          <w:rFonts w:ascii="Arial" w:hAnsi="Arial" w:cs="Arial"/>
          <w:bCs/>
          <w:sz w:val="24"/>
        </w:rPr>
        <w:t xml:space="preserve"> C.V. para el Servicio de Traslado de Valores, observando que no nos fue </w:t>
      </w:r>
      <w:r w:rsidRPr="00C44B5E">
        <w:rPr>
          <w:rFonts w:ascii="Arial" w:hAnsi="Arial" w:cs="Arial"/>
          <w:bCs/>
          <w:sz w:val="24"/>
        </w:rPr>
        <w:lastRenderedPageBreak/>
        <w:t>proporcionada evidencia del seguro contratado por el prestador del servicio para cubrir el importe de cualquier pérdida o daños causados a los valores mientras permanezcan en su custodia, según los establecido en la cláusula Décima Tercera del Contrato de Servicios, firmado el 1 de enero de 2015.</w:t>
      </w:r>
    </w:p>
    <w:p w:rsidR="003279CA" w:rsidRDefault="003279CA" w:rsidP="00166FC5">
      <w:pPr>
        <w:pStyle w:val="Prrafodelista"/>
        <w:spacing w:after="0"/>
        <w:ind w:left="0"/>
        <w:contextualSpacing/>
        <w:jc w:val="both"/>
        <w:rPr>
          <w:rFonts w:ascii="Arial" w:hAnsi="Arial" w:cs="Arial"/>
          <w:bCs/>
          <w:sz w:val="24"/>
        </w:rPr>
      </w:pPr>
    </w:p>
    <w:p w:rsidR="003279CA" w:rsidRPr="003279CA" w:rsidRDefault="003279CA" w:rsidP="003279CA">
      <w:pPr>
        <w:pStyle w:val="Prrafodelista"/>
        <w:spacing w:after="0"/>
        <w:ind w:left="0"/>
        <w:contextualSpacing/>
        <w:jc w:val="both"/>
        <w:rPr>
          <w:rFonts w:ascii="Arial" w:hAnsi="Arial" w:cs="Arial"/>
          <w:b/>
          <w:bCs/>
          <w:sz w:val="24"/>
        </w:rPr>
      </w:pPr>
      <w:r w:rsidRPr="003279CA">
        <w:rPr>
          <w:rFonts w:ascii="Arial" w:hAnsi="Arial" w:cs="Arial"/>
          <w:b/>
          <w:bCs/>
          <w:sz w:val="24"/>
        </w:rPr>
        <w:t>Análisis de la Auditoría Superior del Estado</w:t>
      </w:r>
    </w:p>
    <w:p w:rsidR="003279CA" w:rsidRDefault="003279CA" w:rsidP="003279CA">
      <w:pPr>
        <w:pStyle w:val="Prrafodelista"/>
        <w:spacing w:after="0"/>
        <w:ind w:left="0"/>
        <w:contextualSpacing/>
        <w:jc w:val="both"/>
        <w:rPr>
          <w:rFonts w:ascii="Arial" w:hAnsi="Arial" w:cs="Arial"/>
          <w:bCs/>
          <w:sz w:val="24"/>
        </w:rPr>
      </w:pPr>
    </w:p>
    <w:p w:rsidR="003279CA" w:rsidRPr="003279CA" w:rsidRDefault="003279CA" w:rsidP="003279CA">
      <w:pPr>
        <w:pStyle w:val="Prrafodelista"/>
        <w:spacing w:after="0"/>
        <w:ind w:left="0"/>
        <w:contextualSpacing/>
        <w:jc w:val="both"/>
        <w:rPr>
          <w:rFonts w:ascii="Arial" w:hAnsi="Arial" w:cs="Arial"/>
          <w:bCs/>
          <w:sz w:val="24"/>
        </w:rPr>
      </w:pPr>
      <w:r w:rsidRPr="003279CA">
        <w:rPr>
          <w:rFonts w:ascii="Arial" w:hAnsi="Arial" w:cs="Arial"/>
          <w:bCs/>
          <w:sz w:val="24"/>
        </w:rPr>
        <w:t>Derivado del análisis de la respuesta y de la documentación presentada por el Titular y Extitular del Ente Público,</w:t>
      </w:r>
      <w:r>
        <w:rPr>
          <w:rFonts w:ascii="Arial" w:hAnsi="Arial" w:cs="Arial"/>
          <w:bCs/>
          <w:sz w:val="24"/>
        </w:rPr>
        <w:t xml:space="preserve"> la Auditoría determinó que esta observación se solventó</w:t>
      </w:r>
      <w:r w:rsidRPr="003279CA">
        <w:rPr>
          <w:rFonts w:ascii="Arial" w:hAnsi="Arial" w:cs="Arial"/>
          <w:bCs/>
          <w:sz w:val="24"/>
        </w:rPr>
        <w:t xml:space="preserve"> parcialmente, debido a que</w:t>
      </w:r>
      <w:r>
        <w:rPr>
          <w:rFonts w:ascii="Arial" w:hAnsi="Arial" w:cs="Arial"/>
          <w:bCs/>
          <w:sz w:val="24"/>
        </w:rPr>
        <w:t xml:space="preserve"> durante el proceso de auditoría </w:t>
      </w:r>
      <w:r w:rsidRPr="003279CA">
        <w:rPr>
          <w:rFonts w:ascii="Arial" w:hAnsi="Arial" w:cs="Arial"/>
          <w:bCs/>
          <w:sz w:val="24"/>
        </w:rPr>
        <w:t xml:space="preserve"> </w:t>
      </w:r>
      <w:r w:rsidR="00770C0E">
        <w:rPr>
          <w:rFonts w:ascii="Arial" w:hAnsi="Arial" w:cs="Arial"/>
          <w:bCs/>
          <w:sz w:val="24"/>
        </w:rPr>
        <w:t xml:space="preserve">sólo se </w:t>
      </w:r>
      <w:r w:rsidRPr="003279CA">
        <w:rPr>
          <w:rFonts w:ascii="Arial" w:hAnsi="Arial" w:cs="Arial"/>
          <w:bCs/>
          <w:sz w:val="24"/>
        </w:rPr>
        <w:t>proporcionó copia de la póliza de seguro con vigencia del 30 de junio de 2014 al 30 de junio de 2015.</w:t>
      </w:r>
    </w:p>
    <w:p w:rsidR="003279CA" w:rsidRPr="003279CA" w:rsidRDefault="003279CA" w:rsidP="003279CA">
      <w:pPr>
        <w:pStyle w:val="Prrafodelista"/>
        <w:spacing w:after="0"/>
        <w:ind w:left="0"/>
        <w:contextualSpacing/>
        <w:jc w:val="both"/>
        <w:rPr>
          <w:rFonts w:ascii="Arial" w:hAnsi="Arial" w:cs="Arial"/>
          <w:bCs/>
          <w:sz w:val="24"/>
        </w:rPr>
      </w:pPr>
    </w:p>
    <w:p w:rsidR="003279CA" w:rsidRPr="003279CA" w:rsidRDefault="003279CA" w:rsidP="003279CA">
      <w:pPr>
        <w:pStyle w:val="Prrafodelista"/>
        <w:spacing w:after="0"/>
        <w:ind w:left="0"/>
        <w:contextualSpacing/>
        <w:jc w:val="both"/>
        <w:rPr>
          <w:rFonts w:ascii="Arial" w:hAnsi="Arial" w:cs="Arial"/>
          <w:b/>
          <w:bCs/>
          <w:sz w:val="24"/>
        </w:rPr>
      </w:pPr>
      <w:r w:rsidRPr="003279CA">
        <w:rPr>
          <w:rFonts w:ascii="Arial" w:hAnsi="Arial" w:cs="Arial"/>
          <w:b/>
          <w:bCs/>
          <w:sz w:val="24"/>
        </w:rPr>
        <w:t>Acción(es) o recomendación(es) emitida(s)</w:t>
      </w:r>
    </w:p>
    <w:p w:rsidR="003279CA" w:rsidRPr="003279CA" w:rsidRDefault="003279CA" w:rsidP="003279CA">
      <w:pPr>
        <w:pStyle w:val="Prrafodelista"/>
        <w:spacing w:after="0"/>
        <w:ind w:left="0"/>
        <w:contextualSpacing/>
        <w:jc w:val="both"/>
        <w:rPr>
          <w:rFonts w:ascii="Arial" w:hAnsi="Arial" w:cs="Arial"/>
          <w:bCs/>
          <w:i/>
          <w:sz w:val="24"/>
        </w:rPr>
      </w:pPr>
      <w:r w:rsidRPr="003279CA">
        <w:rPr>
          <w:rFonts w:ascii="Arial" w:hAnsi="Arial" w:cs="Arial"/>
          <w:bCs/>
          <w:i/>
          <w:sz w:val="24"/>
        </w:rPr>
        <w:t>Recomendaciones en Relación a la Gestión o Control Interno.</w:t>
      </w:r>
    </w:p>
    <w:p w:rsidR="003279CA" w:rsidRDefault="003279CA" w:rsidP="003279CA">
      <w:pPr>
        <w:pStyle w:val="Prrafodelista"/>
        <w:spacing w:after="0"/>
        <w:ind w:left="0"/>
        <w:contextualSpacing/>
        <w:jc w:val="both"/>
        <w:rPr>
          <w:rFonts w:ascii="Arial" w:hAnsi="Arial" w:cs="Arial"/>
          <w:bCs/>
          <w:sz w:val="24"/>
        </w:rPr>
      </w:pPr>
    </w:p>
    <w:p w:rsidR="003279CA" w:rsidRPr="00C44B5E" w:rsidRDefault="003279CA" w:rsidP="00166FC5">
      <w:pPr>
        <w:pStyle w:val="Prrafodelista"/>
        <w:spacing w:after="0"/>
        <w:ind w:left="0"/>
        <w:contextualSpacing/>
        <w:jc w:val="both"/>
        <w:rPr>
          <w:rFonts w:ascii="Arial" w:hAnsi="Arial" w:cs="Arial"/>
          <w:bCs/>
          <w:sz w:val="24"/>
        </w:rPr>
      </w:pPr>
    </w:p>
    <w:p w:rsidR="00770C0E" w:rsidRPr="00770C0E" w:rsidRDefault="00770C0E" w:rsidP="00770C0E">
      <w:pPr>
        <w:pStyle w:val="Prrafodelista"/>
        <w:spacing w:after="0"/>
        <w:ind w:left="0"/>
        <w:contextualSpacing/>
        <w:jc w:val="both"/>
        <w:rPr>
          <w:rFonts w:ascii="Arial" w:hAnsi="Arial" w:cs="Arial"/>
          <w:bCs/>
          <w:sz w:val="24"/>
        </w:rPr>
      </w:pPr>
      <w:r>
        <w:rPr>
          <w:rFonts w:ascii="Arial" w:hAnsi="Arial" w:cs="Arial"/>
          <w:bCs/>
          <w:sz w:val="24"/>
        </w:rPr>
        <w:t xml:space="preserve">37. </w:t>
      </w:r>
      <w:r w:rsidRPr="00770C0E">
        <w:rPr>
          <w:rFonts w:ascii="Arial" w:hAnsi="Arial" w:cs="Arial"/>
          <w:bCs/>
          <w:sz w:val="24"/>
        </w:rPr>
        <w:t>El Ente Público contrató los servicios de Sepúlveda Zambrano, S.C., para llevar a cabo la Auditoría de Estados Financieros correspondientes al ejercicio 2014, observando que no fue provisionado el 20% restante de los Honorarios contratados por importe de $57,420.</w:t>
      </w:r>
    </w:p>
    <w:p w:rsidR="00770C0E" w:rsidRDefault="00770C0E" w:rsidP="00770C0E">
      <w:pPr>
        <w:pStyle w:val="Prrafodelista"/>
        <w:spacing w:after="0"/>
        <w:ind w:left="0"/>
        <w:contextualSpacing/>
        <w:jc w:val="both"/>
        <w:rPr>
          <w:rFonts w:ascii="Arial" w:hAnsi="Arial" w:cs="Arial"/>
          <w:bCs/>
          <w:sz w:val="24"/>
        </w:rPr>
      </w:pPr>
    </w:p>
    <w:p w:rsidR="00770C0E" w:rsidRPr="00770C0E" w:rsidRDefault="00770C0E" w:rsidP="00770C0E">
      <w:pPr>
        <w:pStyle w:val="Prrafodelista"/>
        <w:spacing w:after="0"/>
        <w:ind w:left="0"/>
        <w:contextualSpacing/>
        <w:jc w:val="both"/>
        <w:rPr>
          <w:rFonts w:ascii="Arial" w:hAnsi="Arial" w:cs="Arial"/>
          <w:bCs/>
          <w:sz w:val="24"/>
        </w:rPr>
      </w:pPr>
      <w:r w:rsidRPr="00770C0E">
        <w:rPr>
          <w:rFonts w:ascii="Arial" w:hAnsi="Arial" w:cs="Arial"/>
          <w:bCs/>
          <w:sz w:val="24"/>
        </w:rPr>
        <w:t>Adicionalmente se contrataron los servicios del proveedor SEPRIGEN, S.A. de C.V. por concepto de Vigilancia a las Instalaciones y Oficinas de FOMERREY, observando que el pago correspondiente al mes de diciembre 2015 por $58,390 no fue provisionado.</w:t>
      </w:r>
    </w:p>
    <w:p w:rsidR="00770C0E" w:rsidRDefault="00770C0E" w:rsidP="00770C0E">
      <w:pPr>
        <w:pStyle w:val="Prrafodelista"/>
        <w:spacing w:after="0"/>
        <w:ind w:left="0"/>
        <w:contextualSpacing/>
        <w:jc w:val="both"/>
        <w:rPr>
          <w:rFonts w:ascii="Arial" w:hAnsi="Arial" w:cs="Arial"/>
          <w:bCs/>
          <w:sz w:val="24"/>
        </w:rPr>
      </w:pPr>
    </w:p>
    <w:p w:rsidR="00D21D9B" w:rsidRPr="00770C0E" w:rsidRDefault="00770C0E" w:rsidP="00770C0E">
      <w:pPr>
        <w:pStyle w:val="Prrafodelista"/>
        <w:spacing w:after="0"/>
        <w:ind w:left="0"/>
        <w:contextualSpacing/>
        <w:jc w:val="both"/>
        <w:rPr>
          <w:rFonts w:ascii="Arial" w:hAnsi="Arial" w:cs="Arial"/>
          <w:bCs/>
          <w:sz w:val="24"/>
        </w:rPr>
      </w:pPr>
      <w:r w:rsidRPr="00770C0E">
        <w:rPr>
          <w:rFonts w:ascii="Arial" w:hAnsi="Arial" w:cs="Arial"/>
          <w:bCs/>
          <w:sz w:val="24"/>
        </w:rPr>
        <w:t>Incumpliendo en ambos casos con lo establecido por los artículos 34 y 39 de la Ley General de Contabilidad Gubernamental, que señala que las transacciones de gasto se registrarán conforme a la fecha de su realización, independientemente de la de su pago y que serán materia de registro y valuación, las provisiones que se constituyan para hacer frente a los pasivos de cualquier naturaleza.</w:t>
      </w:r>
    </w:p>
    <w:p w:rsidR="00D21D9B" w:rsidRDefault="00D21D9B" w:rsidP="00166FC5">
      <w:pPr>
        <w:pStyle w:val="Prrafodelista"/>
        <w:spacing w:after="0"/>
        <w:ind w:left="0"/>
        <w:contextualSpacing/>
        <w:jc w:val="both"/>
        <w:rPr>
          <w:rFonts w:ascii="Arial" w:hAnsi="Arial" w:cs="Arial"/>
          <w:b/>
          <w:bCs/>
          <w:sz w:val="24"/>
        </w:rPr>
      </w:pPr>
    </w:p>
    <w:p w:rsidR="00770C0E" w:rsidRPr="00770C0E" w:rsidRDefault="00770C0E" w:rsidP="00770C0E">
      <w:pPr>
        <w:pStyle w:val="Prrafodelista"/>
        <w:spacing w:after="0"/>
        <w:ind w:left="0"/>
        <w:contextualSpacing/>
        <w:jc w:val="both"/>
        <w:rPr>
          <w:rFonts w:ascii="Arial" w:hAnsi="Arial" w:cs="Arial"/>
          <w:b/>
          <w:bCs/>
          <w:sz w:val="24"/>
        </w:rPr>
      </w:pPr>
      <w:r w:rsidRPr="00770C0E">
        <w:rPr>
          <w:rFonts w:ascii="Arial" w:hAnsi="Arial" w:cs="Arial"/>
          <w:b/>
          <w:bCs/>
          <w:sz w:val="24"/>
        </w:rPr>
        <w:t>Análisis de la Auditoría Superior del Estado</w:t>
      </w:r>
    </w:p>
    <w:p w:rsidR="00770C0E" w:rsidRDefault="00770C0E" w:rsidP="00770C0E">
      <w:pPr>
        <w:pStyle w:val="Prrafodelista"/>
        <w:spacing w:after="0"/>
        <w:ind w:left="0"/>
        <w:contextualSpacing/>
        <w:jc w:val="both"/>
        <w:rPr>
          <w:rFonts w:ascii="Arial" w:hAnsi="Arial" w:cs="Arial"/>
          <w:b/>
          <w:bCs/>
          <w:sz w:val="24"/>
        </w:rPr>
      </w:pPr>
    </w:p>
    <w:p w:rsidR="00770C0E" w:rsidRPr="00770C0E" w:rsidRDefault="00770C0E" w:rsidP="00770C0E">
      <w:pPr>
        <w:pStyle w:val="Prrafodelista"/>
        <w:spacing w:after="0"/>
        <w:ind w:left="0"/>
        <w:contextualSpacing/>
        <w:jc w:val="both"/>
        <w:rPr>
          <w:rFonts w:ascii="Arial" w:hAnsi="Arial" w:cs="Arial"/>
          <w:bCs/>
          <w:sz w:val="24"/>
        </w:rPr>
      </w:pPr>
      <w:r w:rsidRPr="00770C0E">
        <w:rPr>
          <w:rFonts w:ascii="Arial" w:hAnsi="Arial" w:cs="Arial"/>
          <w:bCs/>
          <w:sz w:val="24"/>
        </w:rPr>
        <w:t>Derivado del análisis de la respuesta y de la documentación proporcionada por el Ente Público</w:t>
      </w:r>
      <w:r>
        <w:rPr>
          <w:rFonts w:ascii="Arial" w:hAnsi="Arial" w:cs="Arial"/>
          <w:bCs/>
          <w:sz w:val="24"/>
        </w:rPr>
        <w:t>, la Auditoría determinó que</w:t>
      </w:r>
      <w:r w:rsidRPr="00770C0E">
        <w:rPr>
          <w:rFonts w:ascii="Arial" w:hAnsi="Arial" w:cs="Arial"/>
          <w:bCs/>
          <w:sz w:val="24"/>
        </w:rPr>
        <w:t xml:space="preserve"> esta observación se solvent</w:t>
      </w:r>
      <w:r>
        <w:rPr>
          <w:rFonts w:ascii="Arial" w:hAnsi="Arial" w:cs="Arial"/>
          <w:bCs/>
          <w:sz w:val="24"/>
        </w:rPr>
        <w:t>ó</w:t>
      </w:r>
      <w:r w:rsidRPr="00770C0E">
        <w:rPr>
          <w:rFonts w:ascii="Arial" w:hAnsi="Arial" w:cs="Arial"/>
          <w:bCs/>
          <w:sz w:val="24"/>
        </w:rPr>
        <w:t xml:space="preserve"> parcialmente, debido que</w:t>
      </w:r>
      <w:r>
        <w:rPr>
          <w:rFonts w:ascii="Arial" w:hAnsi="Arial" w:cs="Arial"/>
          <w:bCs/>
          <w:sz w:val="24"/>
        </w:rPr>
        <w:t xml:space="preserve"> durante el proceso de auditoría, sólo se proporcionó</w:t>
      </w:r>
      <w:r w:rsidRPr="00770C0E">
        <w:rPr>
          <w:rFonts w:ascii="Arial" w:hAnsi="Arial" w:cs="Arial"/>
          <w:bCs/>
          <w:sz w:val="24"/>
        </w:rPr>
        <w:t xml:space="preserve"> evidencia del registro correspondiente al servicio de vigilancia proporcionado por el proveedor SEPRIGEN, según póliza de diario No. 160116 del 31 de enero de 2016 y no se están tomando las medidas correspondientes para que se provisionen los gastos oportunamente.</w:t>
      </w:r>
    </w:p>
    <w:p w:rsidR="00770C0E" w:rsidRPr="00770C0E" w:rsidRDefault="00770C0E" w:rsidP="00770C0E">
      <w:pPr>
        <w:pStyle w:val="Prrafodelista"/>
        <w:spacing w:after="0"/>
        <w:ind w:left="0"/>
        <w:contextualSpacing/>
        <w:jc w:val="both"/>
        <w:rPr>
          <w:rFonts w:ascii="Arial" w:hAnsi="Arial" w:cs="Arial"/>
          <w:b/>
          <w:bCs/>
          <w:sz w:val="24"/>
        </w:rPr>
      </w:pPr>
    </w:p>
    <w:p w:rsidR="00770C0E" w:rsidRPr="00770C0E" w:rsidRDefault="00770C0E" w:rsidP="00770C0E">
      <w:pPr>
        <w:pStyle w:val="Prrafodelista"/>
        <w:spacing w:after="0"/>
        <w:ind w:left="0"/>
        <w:contextualSpacing/>
        <w:jc w:val="both"/>
        <w:rPr>
          <w:rFonts w:ascii="Arial" w:hAnsi="Arial" w:cs="Arial"/>
          <w:b/>
          <w:bCs/>
          <w:sz w:val="24"/>
        </w:rPr>
      </w:pPr>
      <w:r w:rsidRPr="00770C0E">
        <w:rPr>
          <w:rFonts w:ascii="Arial" w:hAnsi="Arial" w:cs="Arial"/>
          <w:b/>
          <w:bCs/>
          <w:sz w:val="24"/>
        </w:rPr>
        <w:t>Acción(es) o recomendación(es) emitida(s)</w:t>
      </w:r>
    </w:p>
    <w:p w:rsidR="00770C0E" w:rsidRPr="00770C0E" w:rsidRDefault="00770C0E" w:rsidP="00770C0E">
      <w:pPr>
        <w:pStyle w:val="Prrafodelista"/>
        <w:spacing w:after="0"/>
        <w:ind w:left="0"/>
        <w:contextualSpacing/>
        <w:jc w:val="both"/>
        <w:rPr>
          <w:rFonts w:ascii="Arial" w:hAnsi="Arial" w:cs="Arial"/>
          <w:bCs/>
          <w:i/>
          <w:sz w:val="24"/>
        </w:rPr>
      </w:pPr>
      <w:r w:rsidRPr="00770C0E">
        <w:rPr>
          <w:rFonts w:ascii="Arial" w:hAnsi="Arial" w:cs="Arial"/>
          <w:bCs/>
          <w:i/>
          <w:sz w:val="24"/>
        </w:rPr>
        <w:t>Promoción de Fincamiento de Responsabilidad Administrativa.</w:t>
      </w:r>
    </w:p>
    <w:p w:rsidR="00770C0E" w:rsidRDefault="00770C0E" w:rsidP="00166FC5">
      <w:pPr>
        <w:pStyle w:val="Prrafodelista"/>
        <w:spacing w:after="0"/>
        <w:ind w:left="0"/>
        <w:contextualSpacing/>
        <w:jc w:val="both"/>
        <w:rPr>
          <w:rFonts w:ascii="Arial" w:hAnsi="Arial" w:cs="Arial"/>
          <w:b/>
          <w:bCs/>
          <w:sz w:val="24"/>
        </w:rPr>
      </w:pPr>
    </w:p>
    <w:p w:rsidR="00770C0E" w:rsidRPr="00770C0E" w:rsidRDefault="00770C0E" w:rsidP="00770C0E">
      <w:pPr>
        <w:pStyle w:val="Prrafodelista"/>
        <w:spacing w:after="0"/>
        <w:ind w:left="0"/>
        <w:contextualSpacing/>
        <w:jc w:val="both"/>
        <w:rPr>
          <w:rFonts w:ascii="Arial" w:hAnsi="Arial" w:cs="Arial"/>
          <w:b/>
          <w:bCs/>
          <w:sz w:val="24"/>
          <w:u w:val="single"/>
        </w:rPr>
      </w:pPr>
      <w:r w:rsidRPr="00770C0E">
        <w:rPr>
          <w:rFonts w:ascii="Arial" w:hAnsi="Arial" w:cs="Arial"/>
          <w:b/>
          <w:bCs/>
          <w:sz w:val="24"/>
          <w:u w:val="single"/>
        </w:rPr>
        <w:t>Otros gastos y pérdidas extraordinarias</w:t>
      </w:r>
    </w:p>
    <w:p w:rsidR="00770C0E" w:rsidRPr="00770C0E" w:rsidRDefault="00770C0E" w:rsidP="00770C0E">
      <w:pPr>
        <w:pStyle w:val="Prrafodelista"/>
        <w:spacing w:after="0"/>
        <w:ind w:left="0"/>
        <w:contextualSpacing/>
        <w:jc w:val="both"/>
        <w:rPr>
          <w:rFonts w:ascii="Arial" w:hAnsi="Arial" w:cs="Arial"/>
          <w:b/>
          <w:bCs/>
          <w:sz w:val="24"/>
          <w:u w:val="single"/>
        </w:rPr>
      </w:pPr>
      <w:r w:rsidRPr="00770C0E">
        <w:rPr>
          <w:rFonts w:ascii="Arial" w:hAnsi="Arial" w:cs="Arial"/>
          <w:b/>
          <w:bCs/>
          <w:sz w:val="24"/>
          <w:u w:val="single"/>
        </w:rPr>
        <w:t>Otros Gastos</w:t>
      </w:r>
    </w:p>
    <w:p w:rsidR="00C44B5E" w:rsidRPr="00770C0E" w:rsidRDefault="00770C0E" w:rsidP="00770C0E">
      <w:pPr>
        <w:pStyle w:val="Prrafodelista"/>
        <w:spacing w:after="0"/>
        <w:ind w:left="0"/>
        <w:contextualSpacing/>
        <w:jc w:val="both"/>
        <w:rPr>
          <w:rFonts w:ascii="Arial" w:hAnsi="Arial" w:cs="Arial"/>
          <w:b/>
          <w:bCs/>
          <w:sz w:val="24"/>
          <w:u w:val="single"/>
        </w:rPr>
      </w:pPr>
      <w:r w:rsidRPr="00770C0E">
        <w:rPr>
          <w:rFonts w:ascii="Arial" w:hAnsi="Arial" w:cs="Arial"/>
          <w:b/>
          <w:bCs/>
          <w:sz w:val="24"/>
          <w:u w:val="single"/>
        </w:rPr>
        <w:t>Ajustes a cartera de clientes</w:t>
      </w:r>
    </w:p>
    <w:p w:rsidR="00C44B5E" w:rsidRDefault="00C44B5E" w:rsidP="00166FC5">
      <w:pPr>
        <w:pStyle w:val="Prrafodelista"/>
        <w:spacing w:after="0"/>
        <w:ind w:left="0"/>
        <w:contextualSpacing/>
        <w:jc w:val="both"/>
        <w:rPr>
          <w:rFonts w:ascii="Arial" w:hAnsi="Arial" w:cs="Arial"/>
          <w:b/>
          <w:bCs/>
          <w:sz w:val="24"/>
        </w:rPr>
      </w:pPr>
    </w:p>
    <w:p w:rsidR="00C44B5E" w:rsidRDefault="00770C0E" w:rsidP="00166FC5">
      <w:pPr>
        <w:pStyle w:val="Prrafodelista"/>
        <w:spacing w:after="0"/>
        <w:ind w:left="0"/>
        <w:contextualSpacing/>
        <w:jc w:val="both"/>
        <w:rPr>
          <w:rFonts w:ascii="Arial" w:hAnsi="Arial" w:cs="Arial"/>
          <w:bCs/>
          <w:sz w:val="24"/>
        </w:rPr>
      </w:pPr>
      <w:r>
        <w:rPr>
          <w:rFonts w:ascii="Arial" w:hAnsi="Arial" w:cs="Arial"/>
          <w:bCs/>
          <w:sz w:val="24"/>
        </w:rPr>
        <w:t xml:space="preserve">38. </w:t>
      </w:r>
      <w:r w:rsidRPr="00770C0E">
        <w:rPr>
          <w:rFonts w:ascii="Arial" w:hAnsi="Arial" w:cs="Arial"/>
          <w:bCs/>
          <w:sz w:val="24"/>
        </w:rPr>
        <w:t xml:space="preserve">En noviembre de 2013 el Ente Público registró un cargo por importe de $49,775 a esta cuenta con crédito a la cuenta por pagar por administración de fraccionamientos, mismo que fue cancelado en julio de 2015 en esta misma cuenta, debiendo de haber efectuado su registro en la cuenta de Cambios por Errores Contables (3.2.5.2) dentro del rubro de Rectificaciones de Resultados de Ejercicios Anteriores, según lo establecido en la regla 16.3 del Acuerdo por el que se emiten Las Reglas Específicas de Registro y Valoración del Patrimonio emitido por el </w:t>
      </w:r>
      <w:proofErr w:type="spellStart"/>
      <w:r w:rsidRPr="00770C0E">
        <w:rPr>
          <w:rFonts w:ascii="Arial" w:hAnsi="Arial" w:cs="Arial"/>
          <w:bCs/>
          <w:sz w:val="24"/>
        </w:rPr>
        <w:t>Conac</w:t>
      </w:r>
      <w:proofErr w:type="spellEnd"/>
      <w:r w:rsidRPr="00770C0E">
        <w:rPr>
          <w:rFonts w:ascii="Arial" w:hAnsi="Arial" w:cs="Arial"/>
          <w:bCs/>
          <w:sz w:val="24"/>
        </w:rPr>
        <w:t>, estableciendo su observancia obligatoria, de conformidad con el artículo 7 de la Ley General de Contabilidad Gubernamental.</w:t>
      </w:r>
    </w:p>
    <w:p w:rsidR="00770C0E" w:rsidRDefault="00770C0E" w:rsidP="00166FC5">
      <w:pPr>
        <w:pStyle w:val="Prrafodelista"/>
        <w:spacing w:after="0"/>
        <w:ind w:left="0"/>
        <w:contextualSpacing/>
        <w:jc w:val="both"/>
        <w:rPr>
          <w:rFonts w:ascii="Arial" w:hAnsi="Arial" w:cs="Arial"/>
          <w:bCs/>
          <w:sz w:val="24"/>
        </w:rPr>
      </w:pPr>
    </w:p>
    <w:p w:rsidR="00770C0E" w:rsidRPr="00770C0E" w:rsidRDefault="00770C0E" w:rsidP="00770C0E">
      <w:pPr>
        <w:pStyle w:val="Prrafodelista"/>
        <w:spacing w:after="0"/>
        <w:ind w:left="0"/>
        <w:contextualSpacing/>
        <w:jc w:val="both"/>
        <w:rPr>
          <w:rFonts w:ascii="Arial" w:hAnsi="Arial" w:cs="Arial"/>
          <w:b/>
          <w:bCs/>
          <w:sz w:val="24"/>
        </w:rPr>
      </w:pPr>
      <w:r w:rsidRPr="00770C0E">
        <w:rPr>
          <w:rFonts w:ascii="Arial" w:hAnsi="Arial" w:cs="Arial"/>
          <w:b/>
          <w:bCs/>
          <w:sz w:val="24"/>
        </w:rPr>
        <w:t>Acción(es) o recomendación(es) emitida(s)</w:t>
      </w:r>
    </w:p>
    <w:p w:rsidR="00770C0E" w:rsidRPr="00770C0E" w:rsidRDefault="00770C0E" w:rsidP="00770C0E">
      <w:pPr>
        <w:pStyle w:val="Prrafodelista"/>
        <w:spacing w:after="0"/>
        <w:ind w:left="0"/>
        <w:contextualSpacing/>
        <w:jc w:val="both"/>
        <w:rPr>
          <w:rFonts w:ascii="Arial" w:hAnsi="Arial" w:cs="Arial"/>
          <w:bCs/>
          <w:i/>
          <w:sz w:val="24"/>
        </w:rPr>
      </w:pPr>
      <w:r w:rsidRPr="00770C0E">
        <w:rPr>
          <w:rFonts w:ascii="Arial" w:hAnsi="Arial" w:cs="Arial"/>
          <w:bCs/>
          <w:i/>
          <w:sz w:val="24"/>
        </w:rPr>
        <w:t>Promoción de Fincamiento de Responsabilidad Administrativa.</w:t>
      </w:r>
    </w:p>
    <w:p w:rsidR="00C44B5E" w:rsidRDefault="00C44B5E" w:rsidP="00166FC5">
      <w:pPr>
        <w:pStyle w:val="Prrafodelista"/>
        <w:spacing w:after="0"/>
        <w:ind w:left="0"/>
        <w:contextualSpacing/>
        <w:jc w:val="both"/>
        <w:rPr>
          <w:rFonts w:ascii="Arial" w:hAnsi="Arial" w:cs="Arial"/>
          <w:b/>
          <w:bCs/>
          <w:sz w:val="24"/>
        </w:rPr>
      </w:pPr>
    </w:p>
    <w:p w:rsidR="00D21D9B" w:rsidRDefault="00D21D9B" w:rsidP="00166FC5">
      <w:pPr>
        <w:pStyle w:val="Prrafodelista"/>
        <w:spacing w:after="0"/>
        <w:ind w:left="0"/>
        <w:contextualSpacing/>
        <w:jc w:val="both"/>
        <w:rPr>
          <w:rFonts w:ascii="Arial" w:hAnsi="Arial" w:cs="Arial"/>
          <w:b/>
          <w:bCs/>
          <w:sz w:val="24"/>
        </w:rPr>
      </w:pPr>
    </w:p>
    <w:p w:rsidR="00A14E0B" w:rsidRPr="00B67BEE" w:rsidRDefault="00A14E0B" w:rsidP="00166FC5">
      <w:pPr>
        <w:pStyle w:val="Prrafodelista"/>
        <w:spacing w:after="0"/>
        <w:ind w:left="0"/>
        <w:contextualSpacing/>
        <w:jc w:val="both"/>
        <w:rPr>
          <w:rFonts w:ascii="Arial" w:hAnsi="Arial" w:cs="Arial"/>
          <w:b/>
          <w:sz w:val="24"/>
        </w:rPr>
      </w:pPr>
      <w:r w:rsidRPr="00B67BEE">
        <w:rPr>
          <w:rFonts w:ascii="Arial" w:hAnsi="Arial" w:cs="Arial"/>
          <w:b/>
          <w:bCs/>
          <w:sz w:val="24"/>
        </w:rPr>
        <w:lastRenderedPageBreak/>
        <w:t>Trámite y resultados obtenidos, derivados de las solicitudes formuladas por</w:t>
      </w:r>
      <w:r>
        <w:rPr>
          <w:rFonts w:ascii="Arial" w:hAnsi="Arial" w:cs="Arial"/>
          <w:b/>
          <w:bCs/>
          <w:sz w:val="24"/>
        </w:rPr>
        <w:t xml:space="preserve"> este</w:t>
      </w:r>
      <w:r w:rsidRPr="00B67BEE">
        <w:rPr>
          <w:rFonts w:ascii="Arial" w:hAnsi="Arial" w:cs="Arial"/>
          <w:b/>
          <w:bCs/>
          <w:sz w:val="24"/>
        </w:rPr>
        <w:t xml:space="preserve"> H. Congreso del Estado.</w:t>
      </w:r>
    </w:p>
    <w:p w:rsidR="00A14E0B" w:rsidRPr="00B67BEE" w:rsidRDefault="00A14E0B" w:rsidP="00A14E0B">
      <w:pPr>
        <w:spacing w:after="0"/>
        <w:rPr>
          <w:rFonts w:ascii="Arial" w:hAnsi="Arial" w:cs="Arial"/>
          <w:b/>
          <w:sz w:val="24"/>
        </w:rPr>
      </w:pPr>
    </w:p>
    <w:p w:rsidR="00B0241F" w:rsidRPr="00B0241F" w:rsidRDefault="00B0241F" w:rsidP="00B0241F">
      <w:pPr>
        <w:autoSpaceDE w:val="0"/>
        <w:autoSpaceDN w:val="0"/>
        <w:adjustRightInd w:val="0"/>
        <w:spacing w:line="360" w:lineRule="auto"/>
        <w:jc w:val="both"/>
        <w:rPr>
          <w:rFonts w:ascii="Arial" w:hAnsi="Arial" w:cs="Arial"/>
          <w:sz w:val="24"/>
        </w:rPr>
      </w:pPr>
      <w:r>
        <w:rPr>
          <w:rFonts w:ascii="Arial" w:hAnsi="Arial" w:cs="Arial"/>
          <w:sz w:val="24"/>
        </w:rPr>
        <w:t xml:space="preserve">En el apartado VIII del Informe de resultados, la Auditoría </w:t>
      </w:r>
      <w:r w:rsidR="00A14E0B">
        <w:rPr>
          <w:rFonts w:ascii="Arial" w:hAnsi="Arial" w:cs="Arial"/>
          <w:sz w:val="24"/>
        </w:rPr>
        <w:t>nos informa de una solicitud</w:t>
      </w:r>
      <w:r>
        <w:rPr>
          <w:rFonts w:ascii="Arial" w:hAnsi="Arial" w:cs="Arial"/>
          <w:sz w:val="24"/>
        </w:rPr>
        <w:t xml:space="preserve"> la cual se encontraba</w:t>
      </w:r>
      <w:r w:rsidRPr="00B0241F">
        <w:t xml:space="preserve"> </w:t>
      </w:r>
      <w:r>
        <w:rPr>
          <w:rFonts w:ascii="Arial" w:hAnsi="Arial" w:cs="Arial"/>
          <w:sz w:val="24"/>
        </w:rPr>
        <w:t>c</w:t>
      </w:r>
      <w:r w:rsidRPr="00B0241F">
        <w:rPr>
          <w:rFonts w:ascii="Arial" w:hAnsi="Arial" w:cs="Arial"/>
          <w:sz w:val="24"/>
        </w:rPr>
        <w:t>ontenida en el acuerdo Legislativo número 402, tomado por el Pleno</w:t>
      </w:r>
      <w:r>
        <w:rPr>
          <w:rFonts w:ascii="Arial" w:hAnsi="Arial" w:cs="Arial"/>
          <w:sz w:val="24"/>
        </w:rPr>
        <w:t xml:space="preserve"> de esta Soberanía</w:t>
      </w:r>
      <w:r w:rsidRPr="00B0241F">
        <w:rPr>
          <w:rFonts w:ascii="Arial" w:hAnsi="Arial" w:cs="Arial"/>
          <w:sz w:val="24"/>
        </w:rPr>
        <w:t xml:space="preserve"> en la sesión del</w:t>
      </w:r>
      <w:r>
        <w:rPr>
          <w:rFonts w:ascii="Arial" w:hAnsi="Arial" w:cs="Arial"/>
          <w:sz w:val="24"/>
        </w:rPr>
        <w:t xml:space="preserve"> día</w:t>
      </w:r>
      <w:r w:rsidRPr="00B0241F">
        <w:rPr>
          <w:rFonts w:ascii="Arial" w:hAnsi="Arial" w:cs="Arial"/>
          <w:sz w:val="24"/>
        </w:rPr>
        <w:t xml:space="preserve">  04 de marzo de 2014, publicado en el Periódico Oficial del Estado de fecha 28 de marzo de 2014,</w:t>
      </w:r>
      <w:r>
        <w:rPr>
          <w:rFonts w:ascii="Arial" w:hAnsi="Arial" w:cs="Arial"/>
          <w:sz w:val="24"/>
        </w:rPr>
        <w:t xml:space="preserve"> y remitido a la</w:t>
      </w:r>
      <w:r w:rsidRPr="00B0241F">
        <w:rPr>
          <w:rFonts w:ascii="Arial" w:hAnsi="Arial" w:cs="Arial"/>
          <w:sz w:val="24"/>
        </w:rPr>
        <w:t xml:space="preserve"> Auditoría Superior del Estado, en fecha 03 de abril de 2014 mediante el oficio número C.V. 1922/161/2014, emitido por los CC. Presidenta y Secretario de la Comisión de Vigilancia del H. Congreso del Estado, </w:t>
      </w:r>
      <w:r>
        <w:rPr>
          <w:rFonts w:ascii="Arial" w:hAnsi="Arial" w:cs="Arial"/>
          <w:sz w:val="24"/>
        </w:rPr>
        <w:t>y mediante la</w:t>
      </w:r>
      <w:r w:rsidRPr="00B0241F">
        <w:rPr>
          <w:rFonts w:ascii="Arial" w:hAnsi="Arial" w:cs="Arial"/>
          <w:sz w:val="24"/>
        </w:rPr>
        <w:t xml:space="preserve"> cual se instruye a este Órgano Superior de Fiscalización, para que en cumplimiento a lo preceptuado por la Ley de Fiscalización Superior del Estado de Nuevo León, verifique la aplicación por parte del ente </w:t>
      </w:r>
      <w:proofErr w:type="spellStart"/>
      <w:r w:rsidRPr="00B0241F">
        <w:rPr>
          <w:rFonts w:ascii="Arial" w:hAnsi="Arial" w:cs="Arial"/>
          <w:sz w:val="24"/>
        </w:rPr>
        <w:t>fiscalizado</w:t>
      </w:r>
      <w:proofErr w:type="spellEnd"/>
      <w:r w:rsidRPr="00B0241F">
        <w:rPr>
          <w:rFonts w:ascii="Arial" w:hAnsi="Arial" w:cs="Arial"/>
          <w:sz w:val="24"/>
        </w:rPr>
        <w:t>, de la Ley General de Contabilidad Gubernamental (LGCG), así como las disposiciones normativas emitidas por el Consejo Nacional de Armonización Contable (</w:t>
      </w:r>
      <w:proofErr w:type="spellStart"/>
      <w:r w:rsidRPr="00B0241F">
        <w:rPr>
          <w:rFonts w:ascii="Arial" w:hAnsi="Arial" w:cs="Arial"/>
          <w:sz w:val="24"/>
        </w:rPr>
        <w:t>Conac</w:t>
      </w:r>
      <w:proofErr w:type="spellEnd"/>
      <w:r w:rsidRPr="00B0241F">
        <w:rPr>
          <w:rFonts w:ascii="Arial" w:hAnsi="Arial" w:cs="Arial"/>
          <w:sz w:val="24"/>
        </w:rPr>
        <w:t>).</w:t>
      </w:r>
    </w:p>
    <w:p w:rsidR="00B0241F" w:rsidRPr="00B0241F" w:rsidRDefault="00B0241F" w:rsidP="00B0241F">
      <w:pPr>
        <w:autoSpaceDE w:val="0"/>
        <w:autoSpaceDN w:val="0"/>
        <w:adjustRightInd w:val="0"/>
        <w:spacing w:line="360" w:lineRule="auto"/>
        <w:jc w:val="both"/>
        <w:rPr>
          <w:rFonts w:ascii="Arial" w:hAnsi="Arial" w:cs="Arial"/>
          <w:sz w:val="24"/>
        </w:rPr>
      </w:pPr>
      <w:r>
        <w:rPr>
          <w:rFonts w:ascii="Arial" w:hAnsi="Arial" w:cs="Arial"/>
          <w:sz w:val="24"/>
        </w:rPr>
        <w:t>La Auditoría nos indica que p</w:t>
      </w:r>
      <w:r w:rsidRPr="00B0241F">
        <w:rPr>
          <w:rFonts w:ascii="Arial" w:hAnsi="Arial" w:cs="Arial"/>
          <w:sz w:val="24"/>
        </w:rPr>
        <w:t>ara cumplir con lo solicitado, programó una revisión específica con el objeto de verificar si la operación de los sistemas de registro y contabilidad, se encuentran alineados a la LGCG y a la normativa emit</w:t>
      </w:r>
      <w:r>
        <w:rPr>
          <w:rFonts w:ascii="Arial" w:hAnsi="Arial" w:cs="Arial"/>
          <w:sz w:val="24"/>
        </w:rPr>
        <w:t xml:space="preserve">ida por el </w:t>
      </w:r>
      <w:proofErr w:type="spellStart"/>
      <w:r>
        <w:rPr>
          <w:rFonts w:ascii="Arial" w:hAnsi="Arial" w:cs="Arial"/>
          <w:sz w:val="24"/>
        </w:rPr>
        <w:t>Conac</w:t>
      </w:r>
      <w:proofErr w:type="spellEnd"/>
      <w:r>
        <w:rPr>
          <w:rFonts w:ascii="Arial" w:hAnsi="Arial" w:cs="Arial"/>
          <w:sz w:val="24"/>
        </w:rPr>
        <w:t xml:space="preserve"> en la materia, así mismo explica que p</w:t>
      </w:r>
      <w:r w:rsidRPr="00B0241F">
        <w:rPr>
          <w:rFonts w:ascii="Arial" w:hAnsi="Arial" w:cs="Arial"/>
          <w:sz w:val="24"/>
        </w:rPr>
        <w:t>ara efectuar lo anterior,</w:t>
      </w:r>
      <w:r>
        <w:rPr>
          <w:rFonts w:ascii="Arial" w:hAnsi="Arial" w:cs="Arial"/>
          <w:sz w:val="24"/>
        </w:rPr>
        <w:t xml:space="preserve"> realizó un procedimiento consistente</w:t>
      </w:r>
      <w:r w:rsidRPr="00B0241F">
        <w:rPr>
          <w:rFonts w:ascii="Arial" w:hAnsi="Arial" w:cs="Arial"/>
          <w:sz w:val="24"/>
        </w:rPr>
        <w:t xml:space="preserve"> en aplicar en el Ente Público un cuestionario basado en las Guías de Revisión para el Cumplimiento de la LGCG y los documentos emitidos por el </w:t>
      </w:r>
      <w:proofErr w:type="spellStart"/>
      <w:r w:rsidRPr="00B0241F">
        <w:rPr>
          <w:rFonts w:ascii="Arial" w:hAnsi="Arial" w:cs="Arial"/>
          <w:sz w:val="24"/>
        </w:rPr>
        <w:t>Conac</w:t>
      </w:r>
      <w:proofErr w:type="spellEnd"/>
      <w:r w:rsidRPr="00B0241F">
        <w:rPr>
          <w:rFonts w:ascii="Arial" w:hAnsi="Arial" w:cs="Arial"/>
          <w:sz w:val="24"/>
        </w:rPr>
        <w:t>, recabando evidencia y evaluando el grado de avance en la implementación y observancia de la normativa vigente en la materia.</w:t>
      </w:r>
    </w:p>
    <w:p w:rsidR="00B0241F" w:rsidRDefault="00B0241F" w:rsidP="00B0241F">
      <w:pPr>
        <w:autoSpaceDE w:val="0"/>
        <w:autoSpaceDN w:val="0"/>
        <w:adjustRightInd w:val="0"/>
        <w:spacing w:line="360" w:lineRule="auto"/>
        <w:jc w:val="both"/>
        <w:rPr>
          <w:rFonts w:ascii="Arial" w:hAnsi="Arial" w:cs="Arial"/>
          <w:sz w:val="24"/>
        </w:rPr>
      </w:pPr>
      <w:r>
        <w:rPr>
          <w:rFonts w:ascii="Arial" w:hAnsi="Arial" w:cs="Arial"/>
          <w:sz w:val="24"/>
        </w:rPr>
        <w:lastRenderedPageBreak/>
        <w:t>Por último nos expresa que los</w:t>
      </w:r>
      <w:r w:rsidRPr="00B0241F">
        <w:rPr>
          <w:rFonts w:ascii="Arial" w:hAnsi="Arial" w:cs="Arial"/>
          <w:sz w:val="24"/>
        </w:rPr>
        <w:t xml:space="preserve"> res</w:t>
      </w:r>
      <w:r>
        <w:rPr>
          <w:rFonts w:ascii="Arial" w:hAnsi="Arial" w:cs="Arial"/>
          <w:sz w:val="24"/>
        </w:rPr>
        <w:t>ultados obtenidos de la encomendada</w:t>
      </w:r>
      <w:r w:rsidRPr="00B0241F">
        <w:rPr>
          <w:rFonts w:ascii="Arial" w:hAnsi="Arial" w:cs="Arial"/>
          <w:sz w:val="24"/>
        </w:rPr>
        <w:t xml:space="preserve"> revisión, se</w:t>
      </w:r>
      <w:r>
        <w:rPr>
          <w:rFonts w:ascii="Arial" w:hAnsi="Arial" w:cs="Arial"/>
          <w:sz w:val="24"/>
        </w:rPr>
        <w:t xml:space="preserve"> ven reflejados</w:t>
      </w:r>
      <w:r w:rsidRPr="00B0241F">
        <w:rPr>
          <w:rFonts w:ascii="Arial" w:hAnsi="Arial" w:cs="Arial"/>
          <w:sz w:val="24"/>
        </w:rPr>
        <w:t xml:space="preserve"> en la observación indicada con el número 1,</w:t>
      </w:r>
      <w:r>
        <w:rPr>
          <w:rFonts w:ascii="Arial" w:hAnsi="Arial" w:cs="Arial"/>
          <w:sz w:val="24"/>
        </w:rPr>
        <w:t xml:space="preserve"> dentro del</w:t>
      </w:r>
      <w:r w:rsidRPr="00B0241F">
        <w:rPr>
          <w:rFonts w:ascii="Arial" w:hAnsi="Arial" w:cs="Arial"/>
          <w:sz w:val="24"/>
        </w:rPr>
        <w:t xml:space="preserve"> apartado</w:t>
      </w:r>
      <w:r>
        <w:rPr>
          <w:rFonts w:ascii="Arial" w:hAnsi="Arial" w:cs="Arial"/>
          <w:sz w:val="24"/>
        </w:rPr>
        <w:t xml:space="preserve"> número</w:t>
      </w:r>
      <w:r w:rsidRPr="00B0241F">
        <w:rPr>
          <w:rFonts w:ascii="Arial" w:hAnsi="Arial" w:cs="Arial"/>
          <w:sz w:val="24"/>
        </w:rPr>
        <w:t xml:space="preserve"> VII del </w:t>
      </w:r>
      <w:r>
        <w:rPr>
          <w:rFonts w:ascii="Arial" w:hAnsi="Arial" w:cs="Arial"/>
          <w:sz w:val="24"/>
        </w:rPr>
        <w:t>informe allegado a este Poder Legislativo.</w:t>
      </w:r>
    </w:p>
    <w:p w:rsidR="00A14E0B" w:rsidRPr="00B67BEE" w:rsidRDefault="00A14E0B" w:rsidP="002724D5">
      <w:pPr>
        <w:pStyle w:val="Prrafodelista"/>
        <w:spacing w:after="0"/>
        <w:ind w:left="0"/>
        <w:contextualSpacing/>
        <w:jc w:val="both"/>
        <w:rPr>
          <w:rFonts w:ascii="Arial" w:hAnsi="Arial" w:cs="Arial"/>
          <w:b/>
          <w:bCs/>
          <w:sz w:val="24"/>
        </w:rPr>
      </w:pPr>
      <w:r w:rsidRPr="00B67BEE">
        <w:rPr>
          <w:rFonts w:ascii="Arial" w:hAnsi="Arial" w:cs="Arial"/>
          <w:b/>
          <w:bCs/>
          <w:sz w:val="24"/>
        </w:rPr>
        <w:t>Resultados de la revisión de situación excepcional.</w:t>
      </w:r>
    </w:p>
    <w:p w:rsidR="00A14E0B" w:rsidRPr="00B67BEE" w:rsidRDefault="00A14E0B" w:rsidP="00A14E0B">
      <w:pPr>
        <w:spacing w:after="0"/>
        <w:rPr>
          <w:rFonts w:ascii="Arial" w:hAnsi="Arial" w:cs="Arial"/>
          <w:b/>
          <w:bCs/>
          <w:sz w:val="24"/>
        </w:rPr>
      </w:pPr>
    </w:p>
    <w:p w:rsidR="00A14E0B" w:rsidRPr="00B67BEE" w:rsidRDefault="00A14E0B" w:rsidP="00A14E0B">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Pr>
          <w:rFonts w:ascii="Arial" w:hAnsi="Arial" w:cs="Arial"/>
          <w:bCs/>
          <w:sz w:val="24"/>
        </w:rPr>
        <w:t xml:space="preserve"> el Órgano Técnico Fiscalizador nos indica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Superior del Estado de Nuevo León.</w:t>
      </w:r>
    </w:p>
    <w:p w:rsidR="002724D5" w:rsidRDefault="002724D5" w:rsidP="002724D5">
      <w:pPr>
        <w:pStyle w:val="Prrafodelista"/>
        <w:spacing w:after="0"/>
        <w:ind w:left="426"/>
        <w:contextualSpacing/>
        <w:jc w:val="both"/>
        <w:rPr>
          <w:rFonts w:ascii="Arial" w:hAnsi="Arial" w:cs="Arial"/>
          <w:bCs/>
          <w:sz w:val="24"/>
        </w:rPr>
      </w:pPr>
    </w:p>
    <w:p w:rsidR="00A14E0B" w:rsidRPr="00B67BEE" w:rsidRDefault="00A14E0B" w:rsidP="002724D5">
      <w:pPr>
        <w:pStyle w:val="Prrafodelista"/>
        <w:spacing w:after="0"/>
        <w:ind w:left="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A14E0B" w:rsidRDefault="00A14E0B" w:rsidP="00A14E0B">
      <w:pPr>
        <w:spacing w:after="0"/>
        <w:rPr>
          <w:rFonts w:ascii="Arial" w:hAnsi="Arial" w:cs="Arial"/>
          <w:bCs/>
          <w:sz w:val="24"/>
        </w:rPr>
      </w:pPr>
    </w:p>
    <w:p w:rsidR="00A14E0B" w:rsidRDefault="002724D5" w:rsidP="00A14E0B">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 xml:space="preserve">En el apartado número X del informe de resultados, </w:t>
      </w:r>
      <w:r w:rsidR="00A14E0B">
        <w:rPr>
          <w:rFonts w:ascii="Arial" w:hAnsi="Arial" w:cs="Arial"/>
          <w:bCs/>
          <w:sz w:val="24"/>
        </w:rPr>
        <w:t>la Auditoría nos presenta una síntesis de las acciones y recomendaciones que con motivo de la revisión de las Cuentas Públicas</w:t>
      </w:r>
      <w:r>
        <w:rPr>
          <w:rFonts w:ascii="Arial" w:hAnsi="Arial" w:cs="Arial"/>
          <w:bCs/>
          <w:sz w:val="24"/>
        </w:rPr>
        <w:t xml:space="preserve"> de los ejercicios fiscales anteriores</w:t>
      </w:r>
      <w:r w:rsidR="00A14E0B">
        <w:rPr>
          <w:rFonts w:ascii="Arial" w:hAnsi="Arial" w:cs="Arial"/>
          <w:bCs/>
          <w:sz w:val="24"/>
        </w:rPr>
        <w:t xml:space="preserve"> 2011, </w:t>
      </w:r>
      <w:r w:rsidR="00A14E0B">
        <w:rPr>
          <w:rFonts w:ascii="Arial" w:eastAsia="Times New Roman" w:hAnsi="Arial" w:cs="Arial"/>
          <w:bCs/>
          <w:sz w:val="24"/>
          <w:szCs w:val="24"/>
          <w:lang w:eastAsia="es-MX"/>
        </w:rPr>
        <w:t>2012</w:t>
      </w:r>
      <w:r>
        <w:rPr>
          <w:rFonts w:ascii="Arial" w:eastAsia="Times New Roman" w:hAnsi="Arial" w:cs="Arial"/>
          <w:bCs/>
          <w:sz w:val="24"/>
          <w:szCs w:val="24"/>
          <w:lang w:eastAsia="es-MX"/>
        </w:rPr>
        <w:t>, 2013 y 2014</w:t>
      </w:r>
      <w:r w:rsidR="00A14E0B">
        <w:rPr>
          <w:rFonts w:ascii="Arial" w:eastAsia="Times New Roman" w:hAnsi="Arial" w:cs="Arial"/>
          <w:bCs/>
          <w:sz w:val="24"/>
          <w:szCs w:val="24"/>
          <w:lang w:eastAsia="es-MX"/>
        </w:rPr>
        <w:t xml:space="preserve"> se ejercieron o promovieron por nuestro Órgano auxiliar de Fiscalización.</w:t>
      </w:r>
    </w:p>
    <w:p w:rsidR="00A14E0B" w:rsidRDefault="00A14E0B" w:rsidP="00A14E0B">
      <w:pPr>
        <w:spacing w:after="0" w:line="360" w:lineRule="auto"/>
        <w:ind w:firstLine="709"/>
        <w:jc w:val="both"/>
        <w:rPr>
          <w:rFonts w:ascii="Arial" w:eastAsia="Times New Roman" w:hAnsi="Arial" w:cs="Arial"/>
          <w:bCs/>
          <w:sz w:val="24"/>
          <w:szCs w:val="24"/>
          <w:lang w:eastAsia="es-MX"/>
        </w:rPr>
      </w:pPr>
    </w:p>
    <w:p w:rsidR="00A14E0B" w:rsidRDefault="00A14E0B" w:rsidP="00A14E0B">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Al respecto, </w:t>
      </w:r>
      <w:r w:rsidR="002724D5">
        <w:rPr>
          <w:rFonts w:ascii="Arial" w:eastAsia="Times New Roman" w:hAnsi="Arial" w:cs="Arial"/>
          <w:bCs/>
          <w:sz w:val="24"/>
          <w:szCs w:val="24"/>
          <w:lang w:eastAsia="es-MX"/>
        </w:rPr>
        <w:t xml:space="preserve">y como resultante de esos ejercicios </w:t>
      </w:r>
      <w:r>
        <w:rPr>
          <w:rFonts w:ascii="Arial" w:eastAsia="Times New Roman" w:hAnsi="Arial" w:cs="Arial"/>
          <w:bCs/>
          <w:sz w:val="24"/>
          <w:szCs w:val="24"/>
          <w:lang w:eastAsia="es-MX"/>
        </w:rPr>
        <w:t xml:space="preserve">la </w:t>
      </w:r>
      <w:r w:rsidR="002724D5">
        <w:rPr>
          <w:rFonts w:ascii="Arial" w:eastAsia="Times New Roman" w:hAnsi="Arial" w:cs="Arial"/>
          <w:bCs/>
          <w:sz w:val="24"/>
          <w:szCs w:val="24"/>
          <w:lang w:eastAsia="es-MX"/>
        </w:rPr>
        <w:t xml:space="preserve">Auditoría nos indica que se encuentran dos acciones </w:t>
      </w:r>
      <w:r w:rsidR="00A77138">
        <w:rPr>
          <w:rFonts w:ascii="Arial" w:eastAsia="Times New Roman" w:hAnsi="Arial" w:cs="Arial"/>
          <w:bCs/>
          <w:sz w:val="24"/>
          <w:szCs w:val="24"/>
          <w:lang w:eastAsia="es-MX"/>
        </w:rPr>
        <w:t>derivadas de observaciones con promoción de fincamiento de responsabilidad administrativa, mismas que se encuentran en trámite de sanción dentro del ejercicio 2014.</w:t>
      </w:r>
      <w:r>
        <w:rPr>
          <w:rFonts w:ascii="Arial" w:eastAsia="Times New Roman" w:hAnsi="Arial" w:cs="Arial"/>
          <w:bCs/>
          <w:sz w:val="24"/>
          <w:szCs w:val="24"/>
          <w:lang w:eastAsia="es-MX"/>
        </w:rPr>
        <w:t xml:space="preserve"> </w:t>
      </w:r>
    </w:p>
    <w:p w:rsidR="00A14E0B" w:rsidRDefault="00A14E0B" w:rsidP="00A14E0B">
      <w:pPr>
        <w:spacing w:before="240" w:after="20" w:line="360" w:lineRule="auto"/>
        <w:ind w:firstLine="708"/>
        <w:jc w:val="both"/>
        <w:rPr>
          <w:rFonts w:ascii="Arial" w:hAnsi="Arial" w:cs="Arial"/>
          <w:sz w:val="24"/>
        </w:rPr>
      </w:pPr>
      <w:r w:rsidRPr="006C36DE">
        <w:rPr>
          <w:rFonts w:ascii="Arial" w:hAnsi="Arial" w:cs="Arial"/>
          <w:sz w:val="24"/>
        </w:rPr>
        <w:lastRenderedPageBreak/>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tar el resolutivo que se propuesto en la parte resolutiva del presente 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w:t>
      </w:r>
      <w:r w:rsidRPr="006C36DE">
        <w:rPr>
          <w:rFonts w:ascii="Arial" w:hAnsi="Arial" w:cs="Arial"/>
          <w:sz w:val="24"/>
        </w:rPr>
        <w:t xml:space="preserve"> siguientes:</w:t>
      </w:r>
    </w:p>
    <w:p w:rsidR="00A14E0B" w:rsidRDefault="00A14E0B" w:rsidP="00A14E0B">
      <w:pPr>
        <w:shd w:val="clear" w:color="auto" w:fill="FFFFFF"/>
        <w:spacing w:after="324"/>
        <w:jc w:val="both"/>
        <w:rPr>
          <w:rFonts w:ascii="Arial" w:hAnsi="Arial" w:cs="Arial"/>
          <w:b/>
          <w:bCs/>
          <w:sz w:val="24"/>
          <w:szCs w:val="24"/>
        </w:rPr>
      </w:pPr>
    </w:p>
    <w:p w:rsidR="00A14E0B" w:rsidRDefault="00A14E0B" w:rsidP="00A14E0B">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A14E0B" w:rsidRPr="00295C16" w:rsidRDefault="00A14E0B" w:rsidP="00A14E0B">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A14E0B" w:rsidRPr="00295C16" w:rsidRDefault="00A14E0B" w:rsidP="00A14E0B">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A14E0B" w:rsidRDefault="00A14E0B" w:rsidP="00A14E0B">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w:t>
      </w:r>
      <w:r w:rsidR="005E3E45">
        <w:rPr>
          <w:rFonts w:ascii="Arial" w:hAnsi="Arial" w:cs="Arial"/>
          <w:bCs/>
          <w:sz w:val="24"/>
          <w:szCs w:val="24"/>
        </w:rPr>
        <w:t xml:space="preserve">el Informe del </w:t>
      </w:r>
      <w:r w:rsidR="005E3E45" w:rsidRPr="009B1E3E">
        <w:rPr>
          <w:rFonts w:ascii="Arial" w:hAnsi="Arial" w:cs="Arial"/>
          <w:b/>
          <w:bCs/>
          <w:sz w:val="24"/>
          <w:szCs w:val="24"/>
        </w:rPr>
        <w:t>FIDEICOMISO FOMENTO</w:t>
      </w:r>
      <w:r w:rsidRPr="009B1E3E">
        <w:rPr>
          <w:rFonts w:ascii="Arial" w:hAnsi="Arial" w:cs="Arial"/>
          <w:b/>
          <w:bCs/>
          <w:sz w:val="24"/>
          <w:szCs w:val="24"/>
        </w:rPr>
        <w:t xml:space="preserve"> METROPOLITANO DE MONTERREY</w:t>
      </w:r>
      <w:r>
        <w:rPr>
          <w:rFonts w:ascii="Arial" w:hAnsi="Arial" w:cs="Arial"/>
          <w:bCs/>
          <w:sz w:val="24"/>
          <w:szCs w:val="24"/>
        </w:rPr>
        <w:t xml:space="preserve">, </w:t>
      </w:r>
      <w:r w:rsidRPr="002261B0">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w:t>
      </w:r>
      <w:r w:rsidRPr="002261B0">
        <w:rPr>
          <w:rFonts w:ascii="Arial" w:hAnsi="Arial" w:cs="Arial"/>
          <w:bCs/>
          <w:sz w:val="24"/>
          <w:szCs w:val="24"/>
        </w:rPr>
        <w:lastRenderedPageBreak/>
        <w:t xml:space="preserve">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Pr="002261B0">
        <w:rPr>
          <w:rFonts w:ascii="Arial" w:hAnsi="Arial" w:cs="Arial"/>
          <w:bCs/>
          <w:sz w:val="24"/>
          <w:szCs w:val="24"/>
        </w:rPr>
        <w:t>fiscalizado</w:t>
      </w:r>
      <w:proofErr w:type="spellEnd"/>
      <w:r w:rsidRPr="002261B0">
        <w:rPr>
          <w:rFonts w:ascii="Arial" w:hAnsi="Arial" w:cs="Arial"/>
          <w:bCs/>
          <w:sz w:val="24"/>
          <w:szCs w:val="24"/>
        </w:rPr>
        <w:t xml:space="preserve"> se ajustó a los criterios señalados en las Leyes, presupuestos y demás disposiciones aplicables, así como al cumplimiento de los objetivos generales y metas de los programas y subprogramas aprobados.</w:t>
      </w:r>
    </w:p>
    <w:p w:rsidR="00E64E8A" w:rsidRPr="00E64E8A" w:rsidRDefault="00E64E8A" w:rsidP="00E64E8A">
      <w:pPr>
        <w:spacing w:before="240" w:line="360" w:lineRule="auto"/>
        <w:ind w:firstLine="709"/>
        <w:jc w:val="both"/>
        <w:rPr>
          <w:rFonts w:ascii="Arial" w:hAnsi="Arial" w:cs="Arial"/>
          <w:bCs/>
          <w:sz w:val="24"/>
          <w:szCs w:val="24"/>
        </w:rPr>
      </w:pPr>
      <w:r>
        <w:rPr>
          <w:rFonts w:ascii="Arial" w:hAnsi="Arial" w:cs="Arial"/>
          <w:bCs/>
          <w:sz w:val="24"/>
          <w:szCs w:val="24"/>
        </w:rPr>
        <w:t xml:space="preserve">Adicionalmente, el Auditor Superior del Estado, no informó que el </w:t>
      </w:r>
      <w:r w:rsidRPr="00E64E8A">
        <w:rPr>
          <w:rFonts w:ascii="Arial" w:hAnsi="Arial" w:cs="Arial"/>
          <w:bCs/>
          <w:sz w:val="24"/>
          <w:szCs w:val="24"/>
        </w:rPr>
        <w:t>examen</w:t>
      </w:r>
      <w:r>
        <w:rPr>
          <w:rFonts w:ascii="Arial" w:hAnsi="Arial" w:cs="Arial"/>
          <w:bCs/>
          <w:sz w:val="24"/>
          <w:szCs w:val="24"/>
        </w:rPr>
        <w:t xml:space="preserve"> de Auditoría</w:t>
      </w:r>
      <w:r w:rsidRPr="00E64E8A">
        <w:rPr>
          <w:rFonts w:ascii="Arial" w:hAnsi="Arial" w:cs="Arial"/>
          <w:bCs/>
          <w:sz w:val="24"/>
          <w:szCs w:val="24"/>
        </w:rPr>
        <w:t xml:space="preserve"> fue realizado de acuerdo con las Normas Internacionales de Auditoría, las c</w:t>
      </w:r>
      <w:r>
        <w:rPr>
          <w:rFonts w:ascii="Arial" w:hAnsi="Arial" w:cs="Arial"/>
          <w:bCs/>
          <w:sz w:val="24"/>
          <w:szCs w:val="24"/>
        </w:rPr>
        <w:t>uales requieren que la misma</w:t>
      </w:r>
      <w:r w:rsidRPr="00E64E8A">
        <w:rPr>
          <w:rFonts w:ascii="Arial" w:hAnsi="Arial" w:cs="Arial"/>
          <w:bCs/>
          <w:sz w:val="24"/>
          <w:szCs w:val="24"/>
        </w:rPr>
        <w:t xml:space="preserve"> sea planeada y realizada de tal manera que permita obtener una seguridad razonable de que los Estados Financieros no contienen errores importantes y de que están preparados de acuerdo con la Ley General de Contabilidad Gubernamental y las normas contables emitidas por el Consejo Nacional de Armonización Contable (</w:t>
      </w:r>
      <w:proofErr w:type="spellStart"/>
      <w:r w:rsidRPr="00E64E8A">
        <w:rPr>
          <w:rFonts w:ascii="Arial" w:hAnsi="Arial" w:cs="Arial"/>
          <w:bCs/>
          <w:sz w:val="24"/>
          <w:szCs w:val="24"/>
        </w:rPr>
        <w:t>Conac</w:t>
      </w:r>
      <w:proofErr w:type="spellEnd"/>
      <w:r w:rsidRPr="00E64E8A">
        <w:rPr>
          <w:rFonts w:ascii="Arial" w:hAnsi="Arial" w:cs="Arial"/>
          <w:bCs/>
          <w:sz w:val="24"/>
          <w:szCs w:val="24"/>
        </w:rPr>
        <w:t xml:space="preserve">), así como, con las Normas de Información Financiera aplicables. </w:t>
      </w:r>
    </w:p>
    <w:p w:rsidR="00E64E8A" w:rsidRPr="00E64E8A" w:rsidRDefault="00E64E8A" w:rsidP="00E64E8A">
      <w:pPr>
        <w:spacing w:before="240" w:line="360" w:lineRule="auto"/>
        <w:ind w:firstLine="709"/>
        <w:jc w:val="both"/>
        <w:rPr>
          <w:rFonts w:ascii="Arial" w:hAnsi="Arial" w:cs="Arial"/>
          <w:bCs/>
          <w:sz w:val="24"/>
          <w:szCs w:val="24"/>
        </w:rPr>
      </w:pPr>
      <w:r w:rsidRPr="00E64E8A">
        <w:rPr>
          <w:rFonts w:ascii="Arial" w:hAnsi="Arial" w:cs="Arial"/>
          <w:bCs/>
          <w:sz w:val="24"/>
          <w:szCs w:val="24"/>
        </w:rPr>
        <w:t>A</w:t>
      </w:r>
      <w:r>
        <w:rPr>
          <w:rFonts w:ascii="Arial" w:hAnsi="Arial" w:cs="Arial"/>
          <w:bCs/>
          <w:sz w:val="24"/>
          <w:szCs w:val="24"/>
        </w:rPr>
        <w:t>l 31 de diciembre de 2015 existía</w:t>
      </w:r>
      <w:r w:rsidRPr="00E64E8A">
        <w:rPr>
          <w:rFonts w:ascii="Arial" w:hAnsi="Arial" w:cs="Arial"/>
          <w:bCs/>
          <w:sz w:val="24"/>
          <w:szCs w:val="24"/>
        </w:rPr>
        <w:t xml:space="preserve"> una insuficiencia en la Estimación para cuentas incobrables, debido a que en esa fecha su cartera vencida ascendió a $270</w:t>
      </w:r>
      <w:proofErr w:type="gramStart"/>
      <w:r w:rsidRPr="00E64E8A">
        <w:rPr>
          <w:rFonts w:ascii="Arial" w:hAnsi="Arial" w:cs="Arial"/>
          <w:bCs/>
          <w:sz w:val="24"/>
          <w:szCs w:val="24"/>
        </w:rPr>
        <w:t>,873,487</w:t>
      </w:r>
      <w:proofErr w:type="gramEnd"/>
      <w:r w:rsidRPr="00E64E8A">
        <w:rPr>
          <w:rFonts w:ascii="Arial" w:hAnsi="Arial" w:cs="Arial"/>
          <w:bCs/>
          <w:sz w:val="24"/>
          <w:szCs w:val="24"/>
        </w:rPr>
        <w:t xml:space="preserve"> y su estimación fue de $15,732,361; la cual no </w:t>
      </w:r>
      <w:r>
        <w:rPr>
          <w:rFonts w:ascii="Arial" w:hAnsi="Arial" w:cs="Arial"/>
          <w:bCs/>
          <w:sz w:val="24"/>
          <w:szCs w:val="24"/>
        </w:rPr>
        <w:t>permitió</w:t>
      </w:r>
      <w:r w:rsidRPr="00E64E8A">
        <w:rPr>
          <w:rFonts w:ascii="Arial" w:hAnsi="Arial" w:cs="Arial"/>
          <w:bCs/>
          <w:sz w:val="24"/>
          <w:szCs w:val="24"/>
        </w:rPr>
        <w:t xml:space="preserve"> cubrir las pérdidas derivadas de la falta de recupera</w:t>
      </w:r>
      <w:r>
        <w:rPr>
          <w:rFonts w:ascii="Arial" w:hAnsi="Arial" w:cs="Arial"/>
          <w:bCs/>
          <w:sz w:val="24"/>
          <w:szCs w:val="24"/>
        </w:rPr>
        <w:t>ción de las cuentas por cobrar.</w:t>
      </w:r>
    </w:p>
    <w:p w:rsidR="005E3E45" w:rsidRDefault="00E64E8A" w:rsidP="00E64E8A">
      <w:pPr>
        <w:spacing w:before="240" w:line="360" w:lineRule="auto"/>
        <w:ind w:firstLine="709"/>
        <w:jc w:val="both"/>
        <w:rPr>
          <w:rFonts w:ascii="Arial" w:hAnsi="Arial" w:cs="Arial"/>
          <w:bCs/>
          <w:sz w:val="24"/>
          <w:szCs w:val="24"/>
        </w:rPr>
      </w:pPr>
      <w:r>
        <w:rPr>
          <w:rFonts w:ascii="Arial" w:hAnsi="Arial" w:cs="Arial"/>
          <w:bCs/>
          <w:sz w:val="24"/>
          <w:szCs w:val="24"/>
        </w:rPr>
        <w:t>En forma general el Auditor indica que a excepción de</w:t>
      </w:r>
      <w:r w:rsidRPr="00E64E8A">
        <w:rPr>
          <w:rFonts w:ascii="Arial" w:hAnsi="Arial" w:cs="Arial"/>
          <w:bCs/>
          <w:sz w:val="24"/>
          <w:szCs w:val="24"/>
        </w:rPr>
        <w:t xml:space="preserve"> </w:t>
      </w:r>
      <w:r>
        <w:rPr>
          <w:rFonts w:ascii="Arial" w:hAnsi="Arial" w:cs="Arial"/>
          <w:bCs/>
          <w:sz w:val="24"/>
          <w:szCs w:val="24"/>
        </w:rPr>
        <w:t xml:space="preserve">lo que </w:t>
      </w:r>
      <w:r w:rsidRPr="00E64E8A">
        <w:rPr>
          <w:rFonts w:ascii="Arial" w:hAnsi="Arial" w:cs="Arial"/>
          <w:bCs/>
          <w:sz w:val="24"/>
          <w:szCs w:val="24"/>
        </w:rPr>
        <w:t>se expresa en el párrafo anterior los Estados Financieros adjuntos,</w:t>
      </w:r>
      <w:r>
        <w:rPr>
          <w:rFonts w:ascii="Arial" w:hAnsi="Arial" w:cs="Arial"/>
          <w:bCs/>
          <w:sz w:val="24"/>
          <w:szCs w:val="24"/>
        </w:rPr>
        <w:t xml:space="preserve"> fueron  presentados</w:t>
      </w:r>
      <w:r w:rsidRPr="00E64E8A">
        <w:rPr>
          <w:rFonts w:ascii="Arial" w:hAnsi="Arial" w:cs="Arial"/>
          <w:bCs/>
          <w:sz w:val="24"/>
          <w:szCs w:val="24"/>
        </w:rPr>
        <w:t xml:space="preserve"> razonablemente, en</w:t>
      </w:r>
      <w:r>
        <w:rPr>
          <w:rFonts w:ascii="Arial" w:hAnsi="Arial" w:cs="Arial"/>
          <w:bCs/>
          <w:sz w:val="24"/>
          <w:szCs w:val="24"/>
        </w:rPr>
        <w:t xml:space="preserve"> todos los aspectos importantes de</w:t>
      </w:r>
      <w:r w:rsidRPr="00E64E8A">
        <w:rPr>
          <w:rFonts w:ascii="Arial" w:hAnsi="Arial" w:cs="Arial"/>
          <w:bCs/>
          <w:sz w:val="24"/>
          <w:szCs w:val="24"/>
        </w:rPr>
        <w:t xml:space="preserve"> la situación financiera </w:t>
      </w:r>
      <w:r w:rsidRPr="00E64E8A">
        <w:rPr>
          <w:rFonts w:ascii="Arial" w:hAnsi="Arial" w:cs="Arial"/>
          <w:bCs/>
          <w:sz w:val="24"/>
          <w:szCs w:val="24"/>
        </w:rPr>
        <w:lastRenderedPageBreak/>
        <w:t>del Ente Público, al 31 de diciembre de 2015, el resultado de sus actividades por el año terminado en esa fecha, de conformidad con la Ley General de Contabilidad Gubernamental y Normas de Inf</w:t>
      </w:r>
      <w:r>
        <w:rPr>
          <w:rFonts w:ascii="Arial" w:hAnsi="Arial" w:cs="Arial"/>
          <w:bCs/>
          <w:sz w:val="24"/>
          <w:szCs w:val="24"/>
        </w:rPr>
        <w:t>ormación Financiera aplicables.</w:t>
      </w:r>
    </w:p>
    <w:p w:rsidR="00A14E0B" w:rsidRPr="005E3E45" w:rsidRDefault="00E01620" w:rsidP="005E3E45">
      <w:pPr>
        <w:spacing w:line="360" w:lineRule="auto"/>
        <w:ind w:firstLine="708"/>
        <w:jc w:val="both"/>
        <w:rPr>
          <w:rFonts w:ascii="Arial" w:hAnsi="Arial" w:cs="Arial"/>
          <w:sz w:val="24"/>
          <w:szCs w:val="24"/>
        </w:rPr>
      </w:pPr>
      <w:r>
        <w:rPr>
          <w:rFonts w:ascii="Arial" w:hAnsi="Arial" w:cs="Arial"/>
          <w:b/>
          <w:bCs/>
          <w:sz w:val="24"/>
          <w:szCs w:val="24"/>
        </w:rPr>
        <w:t>TERCERA</w:t>
      </w:r>
      <w:proofErr w:type="gramStart"/>
      <w:r>
        <w:rPr>
          <w:rFonts w:ascii="Arial" w:hAnsi="Arial" w:cs="Arial"/>
          <w:b/>
          <w:bCs/>
          <w:sz w:val="24"/>
          <w:szCs w:val="24"/>
        </w:rPr>
        <w:t xml:space="preserve">: </w:t>
      </w:r>
      <w:r w:rsidR="005E3E45">
        <w:rPr>
          <w:rFonts w:ascii="Arial" w:hAnsi="Arial" w:cs="Arial"/>
          <w:b/>
          <w:bCs/>
          <w:sz w:val="24"/>
          <w:szCs w:val="24"/>
        </w:rPr>
        <w:t xml:space="preserve"> </w:t>
      </w:r>
      <w:r w:rsidR="00A14E0B">
        <w:rPr>
          <w:rFonts w:ascii="Arial" w:hAnsi="Arial" w:cs="Arial"/>
          <w:sz w:val="24"/>
          <w:szCs w:val="24"/>
        </w:rPr>
        <w:t>La</w:t>
      </w:r>
      <w:proofErr w:type="gramEnd"/>
      <w:r w:rsidR="00A14E0B">
        <w:rPr>
          <w:rFonts w:ascii="Arial" w:hAnsi="Arial" w:cs="Arial"/>
          <w:sz w:val="24"/>
          <w:szCs w:val="24"/>
        </w:rPr>
        <w:t xml:space="preserve"> Auditoría nos informa también que </w:t>
      </w:r>
      <w:r w:rsidR="00A14E0B" w:rsidRPr="00975896">
        <w:rPr>
          <w:rFonts w:ascii="Arial" w:hAnsi="Arial" w:cs="Arial"/>
          <w:sz w:val="24"/>
          <w:szCs w:val="24"/>
        </w:rPr>
        <w:t>respecto al</w:t>
      </w:r>
      <w:r w:rsidR="00A14E0B">
        <w:rPr>
          <w:rFonts w:ascii="Arial" w:hAnsi="Arial" w:cs="Arial"/>
          <w:sz w:val="24"/>
          <w:szCs w:val="24"/>
        </w:rPr>
        <w:t xml:space="preserve"> trámite y resultados obtenidos, </w:t>
      </w:r>
      <w:r w:rsidR="00A14E0B" w:rsidRPr="00975896">
        <w:rPr>
          <w:rFonts w:ascii="Arial" w:hAnsi="Arial" w:cs="Arial"/>
          <w:sz w:val="24"/>
          <w:szCs w:val="24"/>
        </w:rPr>
        <w:t xml:space="preserve">derivados de las solicitudes formuladas </w:t>
      </w:r>
      <w:r w:rsidR="00A14E0B">
        <w:rPr>
          <w:rFonts w:ascii="Arial" w:hAnsi="Arial" w:cs="Arial"/>
          <w:sz w:val="24"/>
          <w:szCs w:val="24"/>
        </w:rPr>
        <w:t xml:space="preserve">que en su caso </w:t>
      </w:r>
      <w:r w:rsidR="00A14E0B" w:rsidRPr="00975896">
        <w:rPr>
          <w:rFonts w:ascii="Arial" w:hAnsi="Arial" w:cs="Arial"/>
          <w:sz w:val="24"/>
          <w:szCs w:val="24"/>
        </w:rPr>
        <w:t xml:space="preserve"> el Congreso del Estado</w:t>
      </w:r>
      <w:r w:rsidR="00A14E0B">
        <w:rPr>
          <w:rFonts w:ascii="Arial" w:hAnsi="Arial" w:cs="Arial"/>
          <w:sz w:val="24"/>
          <w:szCs w:val="24"/>
        </w:rPr>
        <w:t>, la solicitud descrita en el punto número VI</w:t>
      </w:r>
      <w:r w:rsidR="005E3E45">
        <w:rPr>
          <w:rFonts w:ascii="Arial" w:hAnsi="Arial" w:cs="Arial"/>
          <w:sz w:val="24"/>
          <w:szCs w:val="24"/>
        </w:rPr>
        <w:t>II</w:t>
      </w:r>
      <w:r w:rsidR="00A14E0B">
        <w:rPr>
          <w:rFonts w:ascii="Arial" w:hAnsi="Arial" w:cs="Arial"/>
          <w:sz w:val="24"/>
          <w:szCs w:val="24"/>
        </w:rPr>
        <w:t xml:space="preserve"> del Informe de Resultados, fue atendida en su oportunidad y den</w:t>
      </w:r>
      <w:r w:rsidR="005E3E45">
        <w:rPr>
          <w:rFonts w:ascii="Arial" w:hAnsi="Arial" w:cs="Arial"/>
          <w:sz w:val="24"/>
          <w:szCs w:val="24"/>
        </w:rPr>
        <w:t>tro de marco jurídico aplicable para tal efecto.</w:t>
      </w:r>
    </w:p>
    <w:p w:rsidR="00A14E0B" w:rsidRPr="00975896" w:rsidRDefault="00A14E0B" w:rsidP="00A14E0B">
      <w:pPr>
        <w:spacing w:after="0" w:line="360" w:lineRule="auto"/>
        <w:ind w:firstLine="708"/>
        <w:jc w:val="both"/>
        <w:rPr>
          <w:rFonts w:ascii="Arial" w:hAnsi="Arial" w:cs="Arial"/>
          <w:sz w:val="24"/>
          <w:szCs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Pr="007F5756">
        <w:rPr>
          <w:rFonts w:ascii="Arial" w:hAnsi="Arial" w:cs="Arial"/>
          <w:sz w:val="24"/>
          <w:szCs w:val="24"/>
        </w:rPr>
        <w:t>Adicionalmente</w:t>
      </w:r>
      <w:r>
        <w:rPr>
          <w:rFonts w:ascii="Arial" w:hAnsi="Arial" w:cs="Arial"/>
          <w:sz w:val="24"/>
          <w:szCs w:val="24"/>
        </w:rPr>
        <w:t>,</w:t>
      </w:r>
      <w:r w:rsidRPr="007F5756">
        <w:rPr>
          <w:rFonts w:ascii="Arial" w:hAnsi="Arial" w:cs="Arial"/>
          <w:sz w:val="24"/>
          <w:szCs w:val="24"/>
        </w:rPr>
        <w:t xml:space="preserve"> se nos informa que durante </w:t>
      </w:r>
      <w:r w:rsidR="005E3E45">
        <w:rPr>
          <w:rFonts w:ascii="Arial" w:hAnsi="Arial" w:cs="Arial"/>
          <w:sz w:val="24"/>
          <w:szCs w:val="24"/>
        </w:rPr>
        <w:t>el ejercicio 2015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w:t>
      </w:r>
      <w:r>
        <w:rPr>
          <w:rFonts w:ascii="Arial" w:hAnsi="Arial" w:cs="Arial"/>
          <w:sz w:val="24"/>
          <w:szCs w:val="24"/>
        </w:rPr>
        <w:t xml:space="preserve"> del Organismo</w:t>
      </w:r>
      <w:r w:rsidRPr="007F5756">
        <w:rPr>
          <w:rFonts w:ascii="Arial" w:hAnsi="Arial" w:cs="Arial"/>
          <w:sz w:val="24"/>
          <w:szCs w:val="24"/>
        </w:rPr>
        <w:t xml:space="preserve"> </w:t>
      </w:r>
      <w:r>
        <w:rPr>
          <w:rFonts w:ascii="Arial" w:hAnsi="Arial" w:cs="Arial"/>
          <w:sz w:val="24"/>
          <w:szCs w:val="24"/>
        </w:rPr>
        <w:t>auditado.</w:t>
      </w:r>
    </w:p>
    <w:p w:rsidR="00A14E0B" w:rsidRPr="00EB01DD" w:rsidRDefault="00A14E0B" w:rsidP="00A14E0B">
      <w:pPr>
        <w:spacing w:after="0" w:line="360" w:lineRule="auto"/>
        <w:ind w:left="708" w:firstLine="708"/>
        <w:jc w:val="both"/>
        <w:rPr>
          <w:rFonts w:ascii="Arial" w:hAnsi="Arial" w:cs="Arial"/>
        </w:rPr>
      </w:pPr>
    </w:p>
    <w:p w:rsidR="00A14E0B" w:rsidRPr="007F5756" w:rsidRDefault="00A14E0B" w:rsidP="00A14E0B">
      <w:pPr>
        <w:autoSpaceDE w:val="0"/>
        <w:autoSpaceDN w:val="0"/>
        <w:adjustRightInd w:val="0"/>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Pr="005E3E45">
        <w:rPr>
          <w:rFonts w:ascii="Arial" w:hAnsi="Arial" w:cs="Arial"/>
        </w:rPr>
        <w:t>L</w:t>
      </w:r>
      <w:r>
        <w:rPr>
          <w:rFonts w:ascii="Arial" w:eastAsia="Times New Roman" w:hAnsi="Arial" w:cs="Arial"/>
          <w:bCs/>
          <w:sz w:val="24"/>
          <w:szCs w:val="24"/>
          <w:lang w:eastAsia="es-MX"/>
        </w:rPr>
        <w:t>a Aud</w:t>
      </w:r>
      <w:r w:rsidR="005E3E45">
        <w:rPr>
          <w:rFonts w:ascii="Arial" w:eastAsia="Times New Roman" w:hAnsi="Arial" w:cs="Arial"/>
          <w:bCs/>
          <w:sz w:val="24"/>
          <w:szCs w:val="24"/>
          <w:lang w:eastAsia="es-MX"/>
        </w:rPr>
        <w:t>itoría nos indica que existen dos acciones derivadas de observaciones de promoción de fincamiento de responsabilidad administrativa que se encuentran en trámite de sanción por parte de  la Auditoría, lo cual no rompe con la razonabilidad del contenido presentado en el informe de resultados de la cuenta pública 2015.</w:t>
      </w:r>
      <w:r>
        <w:rPr>
          <w:rFonts w:ascii="Arial" w:eastAsia="Times New Roman" w:hAnsi="Arial" w:cs="Arial"/>
          <w:bCs/>
          <w:sz w:val="24"/>
          <w:szCs w:val="24"/>
          <w:lang w:eastAsia="es-MX"/>
        </w:rPr>
        <w:t xml:space="preserve"> </w:t>
      </w:r>
    </w:p>
    <w:p w:rsidR="005E3E45" w:rsidRDefault="005E3E45" w:rsidP="00A14E0B">
      <w:pPr>
        <w:spacing w:after="0" w:line="360" w:lineRule="auto"/>
        <w:ind w:firstLine="708"/>
        <w:jc w:val="both"/>
        <w:rPr>
          <w:rFonts w:ascii="Arial" w:hAnsi="Arial" w:cs="Arial"/>
          <w:b/>
          <w:sz w:val="24"/>
          <w:szCs w:val="24"/>
        </w:rPr>
      </w:pPr>
    </w:p>
    <w:p w:rsidR="00A14E0B" w:rsidRPr="00B91C08" w:rsidRDefault="00A14E0B" w:rsidP="00A14E0B">
      <w:pPr>
        <w:spacing w:after="0" w:line="360" w:lineRule="auto"/>
        <w:ind w:firstLine="708"/>
        <w:jc w:val="both"/>
        <w:rPr>
          <w:rFonts w:ascii="Arial" w:hAnsi="Arial" w:cs="Arial"/>
          <w:b/>
          <w:sz w:val="24"/>
          <w:szCs w:val="24"/>
        </w:rPr>
      </w:pPr>
      <w:r>
        <w:rPr>
          <w:rFonts w:ascii="Arial" w:hAnsi="Arial" w:cs="Arial"/>
          <w:b/>
          <w:sz w:val="24"/>
          <w:szCs w:val="24"/>
        </w:rPr>
        <w:t>SEPTIMA</w:t>
      </w:r>
      <w:r w:rsidRPr="007F779D">
        <w:rPr>
          <w:rFonts w:ascii="Arial" w:hAnsi="Arial" w:cs="Arial"/>
          <w:b/>
          <w:sz w:val="24"/>
          <w:szCs w:val="24"/>
        </w:rPr>
        <w:t>:</w:t>
      </w:r>
      <w:r w:rsidRPr="00975896">
        <w:rPr>
          <w:rFonts w:ascii="Arial" w:hAnsi="Arial" w:cs="Arial"/>
          <w:sz w:val="24"/>
          <w:szCs w:val="24"/>
        </w:rPr>
        <w:t xml:space="preserve"> Ahora bien, queda por resolver sobre la aprobación o rechazo de la cuenta que nos ocupa, a cuyo efecto debemos considerar, en</w:t>
      </w:r>
      <w:r>
        <w:rPr>
          <w:rFonts w:ascii="Arial" w:hAnsi="Arial" w:cs="Arial"/>
          <w:sz w:val="24"/>
          <w:szCs w:val="24"/>
        </w:rPr>
        <w:t xml:space="preserve"> su caso, si las observaciones</w:t>
      </w:r>
      <w:r w:rsidRPr="00975896">
        <w:rPr>
          <w:rFonts w:ascii="Arial" w:hAnsi="Arial" w:cs="Arial"/>
          <w:sz w:val="24"/>
          <w:szCs w:val="24"/>
        </w:rPr>
        <w:t xml:space="preserve">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w:t>
      </w:r>
      <w:r>
        <w:rPr>
          <w:rFonts w:ascii="Arial" w:hAnsi="Arial" w:cs="Arial"/>
          <w:sz w:val="24"/>
          <w:szCs w:val="24"/>
        </w:rPr>
        <w:lastRenderedPageBreak/>
        <w:t xml:space="preserve">normativa que le es aplicable </w:t>
      </w:r>
      <w:r>
        <w:rPr>
          <w:rFonts w:ascii="Arial" w:hAnsi="Arial" w:cs="Arial"/>
          <w:bCs/>
          <w:sz w:val="24"/>
          <w:szCs w:val="24"/>
        </w:rPr>
        <w:t xml:space="preserve">al </w:t>
      </w:r>
      <w:r w:rsidR="005E3E45">
        <w:rPr>
          <w:rFonts w:ascii="Arial" w:hAnsi="Arial" w:cs="Arial"/>
          <w:b/>
          <w:bCs/>
          <w:sz w:val="24"/>
          <w:szCs w:val="24"/>
        </w:rPr>
        <w:t>FIDEICOMISO FOMENTO</w:t>
      </w:r>
      <w:r>
        <w:rPr>
          <w:rFonts w:ascii="Arial" w:hAnsi="Arial" w:cs="Arial"/>
          <w:b/>
          <w:bCs/>
          <w:sz w:val="24"/>
          <w:szCs w:val="24"/>
        </w:rPr>
        <w:t xml:space="preserve"> METROPOLITANO DE MONTERREY.</w:t>
      </w:r>
    </w:p>
    <w:p w:rsidR="00A14E0B" w:rsidRPr="001D5A16" w:rsidRDefault="00A14E0B" w:rsidP="00A14E0B">
      <w:pPr>
        <w:spacing w:before="240" w:line="360" w:lineRule="auto"/>
        <w:ind w:firstLine="709"/>
        <w:jc w:val="both"/>
        <w:rPr>
          <w:rFonts w:ascii="Arial" w:hAnsi="Arial" w:cs="Arial"/>
          <w:sz w:val="24"/>
          <w:szCs w:val="24"/>
          <w:lang w:val="es-MX"/>
        </w:rPr>
      </w:pPr>
      <w:r w:rsidRPr="001D5A16">
        <w:rPr>
          <w:rFonts w:ascii="Arial" w:hAnsi="Arial" w:cs="Arial"/>
          <w:sz w:val="24"/>
          <w:szCs w:val="24"/>
          <w:lang w:val="es-MX"/>
        </w:rPr>
        <w:t>Dado lo anterior, es de estimarse que las observaciones contenidas en el informe de resultados en estudio, no son causa suficiente para considerar que la generalidad de la actuación del ente revisado deba estimarse como deficiente y por lo mismo, la entidad revisada es acreedora a una manifestación de aprobación de parte de este Poder Legislativo respecto a su Cuenta Públi</w:t>
      </w:r>
      <w:r w:rsidR="005E3E45">
        <w:rPr>
          <w:rFonts w:ascii="Arial" w:hAnsi="Arial" w:cs="Arial"/>
          <w:sz w:val="24"/>
          <w:szCs w:val="24"/>
          <w:lang w:val="es-MX"/>
        </w:rPr>
        <w:t>ca para el ejercicio fiscal 2015</w:t>
      </w:r>
      <w:r w:rsidRPr="001D5A16">
        <w:rPr>
          <w:rFonts w:ascii="Arial" w:hAnsi="Arial" w:cs="Arial"/>
          <w:sz w:val="24"/>
          <w:szCs w:val="24"/>
          <w:lang w:val="es-MX"/>
        </w:rPr>
        <w:t>.</w:t>
      </w:r>
    </w:p>
    <w:p w:rsidR="00A14E0B" w:rsidRPr="001D5A16" w:rsidRDefault="00A14E0B" w:rsidP="00A14E0B">
      <w:pPr>
        <w:spacing w:before="240" w:line="360" w:lineRule="auto"/>
        <w:ind w:firstLine="709"/>
        <w:jc w:val="both"/>
        <w:rPr>
          <w:rFonts w:ascii="Arial" w:hAnsi="Arial" w:cs="Arial"/>
          <w:sz w:val="24"/>
          <w:szCs w:val="24"/>
          <w:lang w:val="es-MX"/>
        </w:rPr>
      </w:pPr>
      <w:r w:rsidRPr="001D5A16">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A14E0B" w:rsidRDefault="00A14E0B" w:rsidP="00A14E0B">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A14E0B" w:rsidRDefault="00A14E0B" w:rsidP="00A14E0B">
      <w:pPr>
        <w:spacing w:before="240" w:line="360" w:lineRule="auto"/>
        <w:ind w:firstLine="709"/>
        <w:jc w:val="both"/>
        <w:rPr>
          <w:rFonts w:ascii="Arial" w:hAnsi="Arial" w:cs="Arial"/>
          <w:sz w:val="24"/>
          <w:szCs w:val="24"/>
        </w:rPr>
      </w:pPr>
    </w:p>
    <w:p w:rsidR="00A14E0B" w:rsidRDefault="00A14E0B" w:rsidP="00A14E0B">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A14E0B" w:rsidRPr="00D21822" w:rsidRDefault="00A14E0B" w:rsidP="00A14E0B">
      <w:pPr>
        <w:spacing w:after="0" w:line="360" w:lineRule="auto"/>
        <w:ind w:firstLine="708"/>
        <w:jc w:val="both"/>
        <w:rPr>
          <w:rFonts w:ascii="Arial" w:hAnsi="Arial" w:cs="Arial"/>
          <w:b/>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del Res</w:t>
      </w:r>
      <w:r w:rsidR="005E3E45">
        <w:rPr>
          <w:rFonts w:ascii="Arial" w:hAnsi="Arial" w:cs="Arial"/>
          <w:bCs/>
          <w:sz w:val="24"/>
          <w:szCs w:val="24"/>
        </w:rPr>
        <w:t>ultado de la Cuenta Pública 2015</w:t>
      </w:r>
      <w:r>
        <w:rPr>
          <w:rFonts w:ascii="Arial" w:hAnsi="Arial" w:cs="Arial"/>
          <w:bCs/>
          <w:sz w:val="24"/>
          <w:szCs w:val="24"/>
        </w:rPr>
        <w:t xml:space="preserve">, del </w:t>
      </w:r>
      <w:r w:rsidR="005E3E45">
        <w:rPr>
          <w:rFonts w:ascii="Arial" w:hAnsi="Arial" w:cs="Arial"/>
          <w:b/>
          <w:bCs/>
          <w:sz w:val="24"/>
          <w:szCs w:val="24"/>
        </w:rPr>
        <w:t>FIDEICOMISO FOMENTO</w:t>
      </w:r>
      <w:r>
        <w:rPr>
          <w:rFonts w:ascii="Arial" w:hAnsi="Arial" w:cs="Arial"/>
          <w:b/>
          <w:bCs/>
          <w:sz w:val="24"/>
          <w:szCs w:val="24"/>
        </w:rPr>
        <w:t xml:space="preserve"> METROPOLITANO DE MONTERREY.</w:t>
      </w:r>
    </w:p>
    <w:p w:rsidR="00A14E0B" w:rsidRDefault="00A14E0B" w:rsidP="00A14E0B">
      <w:pPr>
        <w:spacing w:line="360" w:lineRule="auto"/>
        <w:ind w:firstLine="708"/>
        <w:jc w:val="both"/>
        <w:rPr>
          <w:rFonts w:ascii="Arial" w:hAnsi="Arial" w:cs="Arial"/>
          <w:b/>
          <w:bCs/>
          <w:sz w:val="24"/>
          <w:szCs w:val="24"/>
        </w:rPr>
      </w:pPr>
    </w:p>
    <w:p w:rsidR="005E3E45" w:rsidRPr="00E64E8A" w:rsidRDefault="00A14E0B" w:rsidP="00A14E0B">
      <w:pPr>
        <w:spacing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5E3E45">
        <w:rPr>
          <w:rFonts w:ascii="Arial" w:hAnsi="Arial" w:cs="Arial"/>
          <w:bCs/>
          <w:sz w:val="24"/>
          <w:szCs w:val="24"/>
          <w:lang w:val="es-MX"/>
        </w:rPr>
        <w:t>38</w:t>
      </w:r>
      <w:r>
        <w:rPr>
          <w:rFonts w:ascii="Arial" w:hAnsi="Arial" w:cs="Arial"/>
          <w:bCs/>
          <w:sz w:val="24"/>
          <w:szCs w:val="24"/>
          <w:lang w:val="es-MX"/>
        </w:rPr>
        <w:t xml:space="preserve"> </w:t>
      </w:r>
      <w:r w:rsidRPr="00326CE5">
        <w:rPr>
          <w:rFonts w:ascii="Arial" w:hAnsi="Arial" w:cs="Arial"/>
          <w:bCs/>
          <w:sz w:val="24"/>
          <w:szCs w:val="24"/>
          <w:lang w:val="es-MX"/>
        </w:rPr>
        <w:t xml:space="preserve">respecto a las cuales </w:t>
      </w:r>
      <w:r>
        <w:rPr>
          <w:rFonts w:ascii="Arial" w:hAnsi="Arial" w:cs="Arial"/>
          <w:bCs/>
          <w:sz w:val="24"/>
          <w:szCs w:val="24"/>
          <w:lang w:val="es-MX"/>
        </w:rPr>
        <w:t>no</w:t>
      </w:r>
      <w:r w:rsidRPr="00326CE5">
        <w:rPr>
          <w:rFonts w:ascii="Arial" w:hAnsi="Arial" w:cs="Arial"/>
          <w:bCs/>
          <w:sz w:val="24"/>
          <w:szCs w:val="24"/>
          <w:lang w:val="es-MX"/>
        </w:rPr>
        <w:t xml:space="preserve"> se determinó emitir pliegos presuntivos de responsabilidades, ya que </w:t>
      </w:r>
      <w:r>
        <w:rPr>
          <w:rFonts w:ascii="Arial" w:hAnsi="Arial" w:cs="Arial"/>
          <w:bCs/>
          <w:sz w:val="24"/>
          <w:szCs w:val="24"/>
          <w:lang w:val="es-MX"/>
        </w:rPr>
        <w:t xml:space="preserve">no </w:t>
      </w:r>
      <w:r w:rsidRPr="00326CE5">
        <w:rPr>
          <w:rFonts w:ascii="Arial" w:hAnsi="Arial" w:cs="Arial"/>
          <w:bCs/>
          <w:sz w:val="24"/>
          <w:szCs w:val="24"/>
          <w:lang w:val="es-MX"/>
        </w:rPr>
        <w:t>se apreci</w:t>
      </w:r>
      <w:r>
        <w:rPr>
          <w:rFonts w:ascii="Arial" w:hAnsi="Arial" w:cs="Arial"/>
          <w:bCs/>
          <w:sz w:val="24"/>
          <w:szCs w:val="24"/>
          <w:lang w:val="es-MX"/>
        </w:rPr>
        <w:t xml:space="preserve">aron </w:t>
      </w:r>
      <w:r w:rsidRPr="00326CE5">
        <w:rPr>
          <w:rFonts w:ascii="Arial" w:hAnsi="Arial" w:cs="Arial"/>
          <w:bCs/>
          <w:sz w:val="24"/>
          <w:szCs w:val="24"/>
          <w:lang w:val="es-MX"/>
        </w:rPr>
        <w:t>observaci</w:t>
      </w:r>
      <w:r w:rsidR="005E3E45">
        <w:rPr>
          <w:rFonts w:ascii="Arial" w:hAnsi="Arial" w:cs="Arial"/>
          <w:bCs/>
          <w:sz w:val="24"/>
          <w:szCs w:val="24"/>
          <w:lang w:val="es-MX"/>
        </w:rPr>
        <w:t xml:space="preserve">ones que </w:t>
      </w:r>
      <w:r w:rsidR="00716C8F">
        <w:rPr>
          <w:rFonts w:ascii="Arial" w:hAnsi="Arial" w:cs="Arial"/>
          <w:bCs/>
          <w:sz w:val="24"/>
          <w:szCs w:val="24"/>
          <w:lang w:val="es-MX"/>
        </w:rPr>
        <w:t>susceptibles de generar una afectación económica.</w:t>
      </w:r>
      <w:r>
        <w:rPr>
          <w:rFonts w:ascii="Arial" w:hAnsi="Arial" w:cs="Arial"/>
          <w:bCs/>
          <w:sz w:val="24"/>
          <w:szCs w:val="24"/>
          <w:lang w:val="es-MX"/>
        </w:rPr>
        <w:t xml:space="preserve"> </w:t>
      </w:r>
    </w:p>
    <w:p w:rsidR="00A14E0B" w:rsidRPr="00190C96" w:rsidRDefault="00A14E0B" w:rsidP="00A14E0B">
      <w:pPr>
        <w:spacing w:line="360" w:lineRule="auto"/>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w:t>
      </w:r>
      <w:r>
        <w:rPr>
          <w:rFonts w:ascii="Arial" w:hAnsi="Arial" w:cs="Arial"/>
          <w:bCs/>
          <w:sz w:val="24"/>
          <w:szCs w:val="24"/>
          <w:lang w:val="es-MX"/>
        </w:rPr>
        <w:t xml:space="preserve">de </w:t>
      </w:r>
      <w:r w:rsidRPr="00190C96">
        <w:rPr>
          <w:rFonts w:ascii="Arial" w:hAnsi="Arial" w:cs="Arial"/>
          <w:bCs/>
          <w:sz w:val="24"/>
          <w:szCs w:val="24"/>
          <w:lang w:val="es-MX"/>
        </w:rPr>
        <w:t>promoción de fincamiento de responsabilidades administrativas y recomendaciones a la gestión</w:t>
      </w:r>
      <w:r>
        <w:rPr>
          <w:rFonts w:ascii="Arial" w:hAnsi="Arial" w:cs="Arial"/>
          <w:bCs/>
          <w:sz w:val="24"/>
          <w:szCs w:val="24"/>
          <w:lang w:val="es-MX"/>
        </w:rPr>
        <w:t xml:space="preserve"> o control interno</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w:t>
      </w:r>
      <w:r w:rsidRPr="00190C96">
        <w:rPr>
          <w:rFonts w:ascii="Arial" w:hAnsi="Arial" w:cs="Arial"/>
          <w:bCs/>
          <w:sz w:val="24"/>
          <w:szCs w:val="24"/>
          <w:lang w:val="es-MX"/>
        </w:rPr>
        <w:t xml:space="preserve">y </w:t>
      </w:r>
      <w:r>
        <w:rPr>
          <w:rFonts w:ascii="Arial" w:hAnsi="Arial" w:cs="Arial"/>
          <w:bCs/>
          <w:sz w:val="24"/>
          <w:szCs w:val="24"/>
          <w:lang w:val="es-MX"/>
        </w:rPr>
        <w:t xml:space="preserve">considerando que no afectan la gestión del </w:t>
      </w:r>
      <w:proofErr w:type="gramStart"/>
      <w:r>
        <w:rPr>
          <w:rFonts w:ascii="Arial" w:hAnsi="Arial" w:cs="Arial"/>
          <w:bCs/>
          <w:sz w:val="24"/>
          <w:szCs w:val="24"/>
          <w:lang w:val="es-MX"/>
        </w:rPr>
        <w:t>ente</w:t>
      </w:r>
      <w:r w:rsidRPr="00190C96">
        <w:rPr>
          <w:rFonts w:ascii="Arial" w:hAnsi="Arial" w:cs="Arial"/>
          <w:bCs/>
          <w:sz w:val="24"/>
          <w:szCs w:val="24"/>
          <w:lang w:val="es-MX"/>
        </w:rPr>
        <w:t xml:space="preserve">  </w:t>
      </w:r>
      <w:proofErr w:type="spellStart"/>
      <w:r w:rsidRPr="00190C96">
        <w:rPr>
          <w:rFonts w:ascii="Arial" w:hAnsi="Arial" w:cs="Arial"/>
          <w:bCs/>
          <w:sz w:val="24"/>
          <w:szCs w:val="24"/>
          <w:lang w:val="es-MX"/>
        </w:rPr>
        <w:t>fiscalizado</w:t>
      </w:r>
      <w:proofErr w:type="spellEnd"/>
      <w:proofErr w:type="gramEnd"/>
      <w:r w:rsidRPr="00190C96">
        <w:rPr>
          <w:rFonts w:ascii="Arial" w:hAnsi="Arial" w:cs="Arial"/>
          <w:bCs/>
          <w:sz w:val="24"/>
          <w:szCs w:val="24"/>
          <w:lang w:val="es-MX"/>
        </w:rPr>
        <w:t xml:space="preserve">, se estima que la </w:t>
      </w:r>
      <w:r w:rsidR="003C6759">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l</w:t>
      </w:r>
      <w:r w:rsidRPr="00C35717">
        <w:rPr>
          <w:rFonts w:ascii="Arial" w:hAnsi="Arial" w:cs="Arial"/>
          <w:b/>
          <w:sz w:val="24"/>
          <w:szCs w:val="24"/>
        </w:rPr>
        <w:t xml:space="preserve"> </w:t>
      </w:r>
      <w:r w:rsidR="003C6759">
        <w:rPr>
          <w:rFonts w:ascii="Arial" w:hAnsi="Arial" w:cs="Arial"/>
          <w:b/>
          <w:bCs/>
          <w:sz w:val="24"/>
          <w:szCs w:val="24"/>
        </w:rPr>
        <w:t>FIDEICOMISO FOMENTO</w:t>
      </w:r>
      <w:r>
        <w:rPr>
          <w:rFonts w:ascii="Arial" w:hAnsi="Arial" w:cs="Arial"/>
          <w:b/>
          <w:bCs/>
          <w:sz w:val="24"/>
          <w:szCs w:val="24"/>
        </w:rPr>
        <w:t xml:space="preserve"> METROPOLITANO DE MONTERREY</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A14E0B" w:rsidRPr="00190C96" w:rsidRDefault="00A14E0B" w:rsidP="00A14E0B">
      <w:pPr>
        <w:spacing w:line="360" w:lineRule="auto"/>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DA337D">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SE </w:t>
      </w:r>
      <w:r>
        <w:rPr>
          <w:rFonts w:ascii="Arial" w:hAnsi="Arial" w:cs="Arial"/>
          <w:b/>
          <w:bCs/>
          <w:sz w:val="24"/>
          <w:szCs w:val="24"/>
          <w:lang w:val="es-MX"/>
        </w:rPr>
        <w:t>APRUEBA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sidR="003C6759">
        <w:rPr>
          <w:rFonts w:ascii="Arial" w:hAnsi="Arial" w:cs="Arial"/>
          <w:b/>
          <w:bCs/>
          <w:sz w:val="24"/>
          <w:szCs w:val="24"/>
          <w:lang w:val="es-MX"/>
        </w:rPr>
        <w:t xml:space="preserve"> 2015 DEL</w:t>
      </w:r>
      <w:r>
        <w:rPr>
          <w:rFonts w:ascii="Arial" w:hAnsi="Arial" w:cs="Arial"/>
          <w:b/>
          <w:bCs/>
          <w:sz w:val="24"/>
          <w:szCs w:val="24"/>
          <w:lang w:val="es-MX"/>
        </w:rPr>
        <w:t xml:space="preserve"> </w:t>
      </w:r>
      <w:r w:rsidR="003C6759">
        <w:rPr>
          <w:rFonts w:ascii="Arial" w:hAnsi="Arial" w:cs="Arial"/>
          <w:b/>
          <w:bCs/>
          <w:sz w:val="24"/>
          <w:szCs w:val="24"/>
        </w:rPr>
        <w:t>FIDEICOMISO FOMENTO</w:t>
      </w:r>
      <w:r>
        <w:rPr>
          <w:rFonts w:ascii="Arial" w:hAnsi="Arial" w:cs="Arial"/>
          <w:b/>
          <w:bCs/>
          <w:sz w:val="24"/>
          <w:szCs w:val="24"/>
        </w:rPr>
        <w:t xml:space="preserve"> METROPOLITANO DE MONTERREY</w:t>
      </w:r>
      <w:r>
        <w:rPr>
          <w:rFonts w:ascii="Arial" w:hAnsi="Arial" w:cs="Arial"/>
          <w:b/>
          <w:sz w:val="24"/>
          <w:szCs w:val="24"/>
          <w:lang w:val="es-MX" w:eastAsia="es-ES"/>
        </w:rPr>
        <w:t>.</w:t>
      </w:r>
    </w:p>
    <w:p w:rsidR="00A14E0B" w:rsidRPr="00190C96" w:rsidRDefault="00A14E0B" w:rsidP="00A14E0B">
      <w:pPr>
        <w:spacing w:line="360" w:lineRule="auto"/>
        <w:ind w:firstLine="708"/>
        <w:jc w:val="both"/>
        <w:rPr>
          <w:rFonts w:ascii="Arial" w:hAnsi="Arial" w:cs="Arial"/>
          <w:b/>
          <w:bCs/>
          <w:sz w:val="24"/>
          <w:szCs w:val="24"/>
        </w:rPr>
      </w:pPr>
      <w:r w:rsidRPr="00190C96">
        <w:rPr>
          <w:rFonts w:ascii="Arial" w:hAnsi="Arial" w:cs="Arial"/>
          <w:b/>
          <w:bCs/>
          <w:sz w:val="24"/>
          <w:szCs w:val="24"/>
        </w:rPr>
        <w:t xml:space="preserve">CUARTO.- </w:t>
      </w:r>
      <w:r w:rsidRPr="00190C96">
        <w:rPr>
          <w:rFonts w:ascii="Arial" w:hAnsi="Arial" w:cs="Arial"/>
          <w:bCs/>
          <w:sz w:val="24"/>
          <w:szCs w:val="24"/>
        </w:rPr>
        <w:t>Se instruye a la Auditoria Superior del Estado para que en términos del párrafo segundo del artículo 52 de la</w:t>
      </w:r>
      <w:r w:rsidRPr="00190C96">
        <w:rPr>
          <w:rFonts w:ascii="Arial" w:hAnsi="Arial" w:cs="Arial"/>
          <w:bCs/>
          <w:sz w:val="24"/>
          <w:szCs w:val="24"/>
          <w:lang w:val="es-ES_tradnl"/>
        </w:rPr>
        <w:t xml:space="preserve"> </w:t>
      </w:r>
      <w:r w:rsidRPr="00190C96">
        <w:rPr>
          <w:rFonts w:ascii="Arial" w:hAnsi="Arial" w:cs="Arial"/>
          <w:bCs/>
          <w:sz w:val="24"/>
          <w:szCs w:val="24"/>
        </w:rPr>
        <w:t>Ley de Fiscalización Superior del Estado de Nuevo León</w:t>
      </w:r>
      <w:r w:rsidRPr="00190C96">
        <w:rPr>
          <w:rFonts w:ascii="Arial" w:hAnsi="Arial" w:cs="Arial"/>
          <w:b/>
          <w:bCs/>
          <w:sz w:val="24"/>
          <w:szCs w:val="24"/>
        </w:rPr>
        <w:t xml:space="preserve"> EXPIDA EL FINIQUITO CORRESPONDIENTE, </w:t>
      </w:r>
      <w:r w:rsidRPr="00190C96">
        <w:rPr>
          <w:rFonts w:ascii="Arial" w:hAnsi="Arial" w:cs="Arial"/>
          <w:bCs/>
          <w:sz w:val="24"/>
          <w:szCs w:val="24"/>
        </w:rPr>
        <w:t xml:space="preserve">quedando a salvo los derechos del Órgano de Fiscalización en los términos del artículo 51 de la Ley de Fiscalización Superior del Estado de Nuevo León, a fin </w:t>
      </w:r>
      <w:r w:rsidRPr="00190C96">
        <w:rPr>
          <w:rFonts w:ascii="Arial" w:hAnsi="Arial" w:cs="Arial"/>
          <w:bCs/>
          <w:sz w:val="24"/>
          <w:szCs w:val="24"/>
        </w:rPr>
        <w:lastRenderedPageBreak/>
        <w:t>de continuar con cualquier acción de las señaladas en el artículo 53 de la citada Ley, derivadas de la revisión de la cuenta pública de</w:t>
      </w:r>
      <w:r>
        <w:rPr>
          <w:rFonts w:ascii="Arial" w:hAnsi="Arial" w:cs="Arial"/>
          <w:bCs/>
          <w:sz w:val="24"/>
          <w:szCs w:val="24"/>
        </w:rPr>
        <w:t>l</w:t>
      </w:r>
      <w:r w:rsidRPr="00C35717">
        <w:rPr>
          <w:rFonts w:ascii="Arial" w:hAnsi="Arial" w:cs="Arial"/>
          <w:b/>
          <w:sz w:val="24"/>
          <w:szCs w:val="24"/>
        </w:rPr>
        <w:t xml:space="preserve"> </w:t>
      </w:r>
      <w:r w:rsidR="003C6759">
        <w:rPr>
          <w:rFonts w:ascii="Arial" w:hAnsi="Arial" w:cs="Arial"/>
          <w:b/>
          <w:bCs/>
          <w:sz w:val="24"/>
          <w:szCs w:val="24"/>
        </w:rPr>
        <w:t>FIDEICOMISO FOMENTO</w:t>
      </w:r>
      <w:r>
        <w:rPr>
          <w:rFonts w:ascii="Arial" w:hAnsi="Arial" w:cs="Arial"/>
          <w:b/>
          <w:bCs/>
          <w:sz w:val="24"/>
          <w:szCs w:val="24"/>
        </w:rPr>
        <w:t xml:space="preserve"> METROPOLITANO DE MONTERREY</w:t>
      </w:r>
      <w:r w:rsidRPr="00190C96">
        <w:rPr>
          <w:rFonts w:ascii="Arial" w:hAnsi="Arial" w:cs="Arial"/>
          <w:bCs/>
          <w:sz w:val="24"/>
          <w:szCs w:val="24"/>
        </w:rPr>
        <w:t xml:space="preserve"> correspondiente al ejercicio </w:t>
      </w:r>
      <w:r>
        <w:rPr>
          <w:rFonts w:ascii="Arial" w:hAnsi="Arial" w:cs="Arial"/>
          <w:b/>
          <w:bCs/>
          <w:sz w:val="24"/>
          <w:szCs w:val="24"/>
        </w:rPr>
        <w:t>201</w:t>
      </w:r>
      <w:r w:rsidR="00716C8F">
        <w:rPr>
          <w:rFonts w:ascii="Arial" w:hAnsi="Arial" w:cs="Arial"/>
          <w:b/>
          <w:bCs/>
          <w:sz w:val="24"/>
          <w:szCs w:val="24"/>
        </w:rPr>
        <w:t>5</w:t>
      </w:r>
      <w:r w:rsidRPr="00190C96">
        <w:rPr>
          <w:rFonts w:ascii="Arial" w:hAnsi="Arial" w:cs="Arial"/>
          <w:b/>
          <w:bCs/>
          <w:sz w:val="24"/>
          <w:szCs w:val="24"/>
        </w:rPr>
        <w:t xml:space="preserve">. </w:t>
      </w:r>
    </w:p>
    <w:p w:rsidR="00A14E0B" w:rsidRPr="00D21822" w:rsidRDefault="00A14E0B" w:rsidP="00A14E0B">
      <w:pPr>
        <w:spacing w:after="0" w:line="360" w:lineRule="auto"/>
        <w:ind w:firstLine="708"/>
        <w:jc w:val="both"/>
        <w:rPr>
          <w:rFonts w:ascii="Arial" w:hAnsi="Arial" w:cs="Arial"/>
          <w:b/>
          <w:sz w:val="24"/>
          <w:szCs w:val="24"/>
        </w:rPr>
      </w:pPr>
      <w:r>
        <w:rPr>
          <w:rFonts w:ascii="Arial" w:hAnsi="Arial" w:cs="Arial"/>
          <w:b/>
          <w:bCs/>
          <w:sz w:val="24"/>
          <w:szCs w:val="24"/>
        </w:rPr>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al </w:t>
      </w:r>
      <w:r w:rsidR="003C6759">
        <w:rPr>
          <w:rFonts w:ascii="Arial" w:hAnsi="Arial" w:cs="Arial"/>
          <w:b/>
          <w:bCs/>
          <w:sz w:val="24"/>
          <w:szCs w:val="24"/>
        </w:rPr>
        <w:t>FIDEICOMISO FOMENTO</w:t>
      </w:r>
      <w:r>
        <w:rPr>
          <w:rFonts w:ascii="Arial" w:hAnsi="Arial" w:cs="Arial"/>
          <w:b/>
          <w:bCs/>
          <w:sz w:val="24"/>
          <w:szCs w:val="24"/>
        </w:rPr>
        <w:t xml:space="preserve"> METROPOLITANO DE MONTERREY, </w:t>
      </w:r>
      <w:r>
        <w:rPr>
          <w:rFonts w:ascii="Arial" w:hAnsi="Arial" w:cs="Arial"/>
          <w:bCs/>
          <w:sz w:val="24"/>
          <w:szCs w:val="24"/>
        </w:rPr>
        <w:t>para su conocimiento y efectos legales a que haya lugar.</w:t>
      </w:r>
    </w:p>
    <w:p w:rsidR="00A14E0B" w:rsidRDefault="00A14E0B" w:rsidP="00A14E0B">
      <w:pPr>
        <w:spacing w:line="360" w:lineRule="auto"/>
        <w:ind w:firstLine="709"/>
        <w:jc w:val="both"/>
        <w:rPr>
          <w:rFonts w:ascii="Arial" w:hAnsi="Arial" w:cs="Arial"/>
          <w:bCs/>
          <w:sz w:val="24"/>
          <w:szCs w:val="24"/>
        </w:rPr>
      </w:pPr>
    </w:p>
    <w:p w:rsidR="003C6759" w:rsidRPr="009A7A82" w:rsidRDefault="003C6759" w:rsidP="00A14E0B">
      <w:pPr>
        <w:spacing w:line="360" w:lineRule="auto"/>
        <w:ind w:firstLine="709"/>
        <w:jc w:val="both"/>
        <w:rPr>
          <w:rFonts w:ascii="Arial" w:hAnsi="Arial" w:cs="Arial"/>
          <w:bCs/>
          <w:sz w:val="24"/>
          <w:szCs w:val="24"/>
        </w:rPr>
      </w:pPr>
    </w:p>
    <w:p w:rsidR="00A14E0B" w:rsidRPr="007F749B" w:rsidRDefault="00A14E0B" w:rsidP="00A14E0B">
      <w:pPr>
        <w:spacing w:line="240" w:lineRule="auto"/>
        <w:jc w:val="center"/>
        <w:rPr>
          <w:rFonts w:ascii="Arial" w:hAnsi="Arial" w:cs="Arial"/>
        </w:rPr>
      </w:pPr>
      <w:r>
        <w:rPr>
          <w:rFonts w:ascii="Arial" w:hAnsi="Arial" w:cs="Arial"/>
          <w:b/>
          <w:bCs/>
        </w:rPr>
        <w:t>MONTERREY</w:t>
      </w:r>
      <w:r w:rsidRPr="007F749B">
        <w:rPr>
          <w:rFonts w:ascii="Arial" w:hAnsi="Arial" w:cs="Arial"/>
          <w:b/>
          <w:bCs/>
        </w:rPr>
        <w:t xml:space="preserve"> NUEVO LEÓN</w:t>
      </w:r>
      <w:r>
        <w:rPr>
          <w:rFonts w:ascii="Arial" w:hAnsi="Arial" w:cs="Arial"/>
          <w:b/>
          <w:bCs/>
        </w:rPr>
        <w:t xml:space="preserve"> </w:t>
      </w:r>
      <w:r w:rsidR="00603C51">
        <w:rPr>
          <w:rFonts w:ascii="Arial" w:hAnsi="Arial" w:cs="Arial"/>
          <w:b/>
          <w:bCs/>
        </w:rPr>
        <w:t xml:space="preserve"> </w:t>
      </w:r>
      <w:bookmarkStart w:id="0" w:name="_GoBack"/>
      <w:bookmarkEnd w:id="0"/>
      <w:r w:rsidRPr="007F749B">
        <w:rPr>
          <w:rFonts w:ascii="Arial" w:hAnsi="Arial" w:cs="Arial"/>
        </w:rPr>
        <w:t xml:space="preserve"> </w:t>
      </w:r>
    </w:p>
    <w:p w:rsidR="00A14E0B" w:rsidRPr="00FE07C7" w:rsidRDefault="00A14E0B" w:rsidP="00A14E0B">
      <w:pPr>
        <w:pStyle w:val="Ttulo1"/>
        <w:rPr>
          <w:rFonts w:ascii="Arial" w:hAnsi="Arial" w:cs="Arial"/>
          <w:b/>
          <w:sz w:val="22"/>
          <w:szCs w:val="22"/>
          <w:u w:val="none"/>
        </w:rPr>
      </w:pPr>
      <w:r w:rsidRPr="00FE07C7">
        <w:rPr>
          <w:rFonts w:ascii="Arial" w:hAnsi="Arial" w:cs="Arial"/>
          <w:b/>
          <w:sz w:val="22"/>
          <w:szCs w:val="22"/>
          <w:u w:val="none"/>
        </w:rPr>
        <w:t>COMISIÓN DE HACIENDA DEL ESTADO</w:t>
      </w:r>
    </w:p>
    <w:p w:rsidR="00A14E0B" w:rsidRDefault="00A14E0B" w:rsidP="00A14E0B">
      <w:pPr>
        <w:pStyle w:val="Ttulo1"/>
        <w:spacing w:line="360" w:lineRule="auto"/>
        <w:rPr>
          <w:rFonts w:ascii="Arial" w:hAnsi="Arial" w:cs="Arial"/>
          <w:b/>
          <w:sz w:val="22"/>
          <w:szCs w:val="22"/>
          <w:u w:val="none"/>
        </w:rPr>
      </w:pPr>
    </w:p>
    <w:p w:rsidR="00A14E0B" w:rsidRPr="009A7A82" w:rsidRDefault="00A14E0B" w:rsidP="00A14E0B">
      <w:pPr>
        <w:rPr>
          <w:lang w:val="es-ES_tradnl" w:eastAsia="ar-SA"/>
        </w:rPr>
      </w:pPr>
    </w:p>
    <w:p w:rsidR="00A14E0B" w:rsidRDefault="00A14E0B" w:rsidP="00A14E0B">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A14E0B" w:rsidRDefault="00A14E0B" w:rsidP="00A14E0B">
      <w:pPr>
        <w:pStyle w:val="Body1"/>
        <w:widowControl w:val="0"/>
        <w:tabs>
          <w:tab w:val="left" w:pos="3828"/>
        </w:tabs>
        <w:suppressAutoHyphens/>
        <w:spacing w:after="120" w:line="360" w:lineRule="auto"/>
        <w:jc w:val="center"/>
        <w:rPr>
          <w:rFonts w:ascii="Arial" w:hAnsi="Arial" w:cs="Arial"/>
          <w:b/>
          <w:sz w:val="22"/>
          <w:lang w:val="es-ES_tradnl"/>
        </w:rPr>
      </w:pPr>
    </w:p>
    <w:p w:rsidR="00A14E0B" w:rsidRDefault="00A14E0B" w:rsidP="00A14E0B">
      <w:pPr>
        <w:pStyle w:val="Body1"/>
        <w:widowControl w:val="0"/>
        <w:tabs>
          <w:tab w:val="left" w:pos="3828"/>
        </w:tabs>
        <w:suppressAutoHyphens/>
        <w:spacing w:after="120" w:line="360" w:lineRule="auto"/>
        <w:jc w:val="center"/>
        <w:rPr>
          <w:rFonts w:ascii="Arial" w:hAnsi="Arial" w:cs="Arial"/>
          <w:b/>
          <w:sz w:val="22"/>
          <w:lang w:val="es-ES_tradnl"/>
        </w:rPr>
      </w:pPr>
    </w:p>
    <w:p w:rsidR="00A14E0B" w:rsidRPr="006743D1" w:rsidRDefault="003C6759" w:rsidP="00A14E0B">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SALZAR</w:t>
      </w:r>
    </w:p>
    <w:tbl>
      <w:tblPr>
        <w:tblW w:w="0" w:type="auto"/>
        <w:jc w:val="center"/>
        <w:tblLayout w:type="fixed"/>
        <w:tblLook w:val="04A0" w:firstRow="1" w:lastRow="0" w:firstColumn="1" w:lastColumn="0" w:noHBand="0" w:noVBand="1"/>
      </w:tblPr>
      <w:tblGrid>
        <w:gridCol w:w="4322"/>
        <w:gridCol w:w="4322"/>
      </w:tblGrid>
      <w:tr w:rsidR="00A14E0B" w:rsidTr="00A14E0B">
        <w:trPr>
          <w:cantSplit/>
          <w:trHeight w:val="340"/>
          <w:jc w:val="center"/>
        </w:trPr>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A14E0B" w:rsidRDefault="00A14E0B" w:rsidP="00A14E0B">
            <w:pPr>
              <w:outlineLvl w:val="0"/>
              <w:rPr>
                <w:rFonts w:ascii="Arial" w:eastAsia="Arial Unicode MS" w:hAnsi="Arial" w:cs="Arial"/>
                <w:b/>
                <w:color w:val="000000"/>
                <w:lang w:val="es-MX"/>
              </w:rPr>
            </w:pP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A14E0B" w:rsidTr="00A14E0B">
        <w:trPr>
          <w:cantSplit/>
          <w:trHeight w:val="340"/>
          <w:jc w:val="center"/>
        </w:trPr>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es-MX"/>
              </w:rPr>
            </w:pPr>
          </w:p>
          <w:p w:rsidR="00A14E0B" w:rsidRDefault="00A14E0B" w:rsidP="00A14E0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14E0B" w:rsidRDefault="00A14E0B" w:rsidP="00A14E0B">
            <w:pPr>
              <w:jc w:val="center"/>
              <w:outlineLvl w:val="0"/>
              <w:rPr>
                <w:rFonts w:ascii="Arial" w:eastAsia="Arial Unicode MS" w:hAnsi="Arial" w:cs="Arial"/>
                <w:b/>
                <w:color w:val="000000"/>
                <w:lang w:val="es-MX"/>
              </w:rPr>
            </w:pP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A14E0B" w:rsidTr="00A14E0B">
        <w:trPr>
          <w:cantSplit/>
          <w:trHeight w:val="340"/>
          <w:jc w:val="center"/>
        </w:trPr>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14E0B" w:rsidRDefault="00A14E0B" w:rsidP="00A14E0B">
            <w:pPr>
              <w:jc w:val="center"/>
              <w:outlineLvl w:val="0"/>
              <w:rPr>
                <w:rFonts w:ascii="Arial" w:eastAsia="Arial Unicode MS" w:hAnsi="Arial" w:cs="Arial"/>
                <w:b/>
                <w:color w:val="000000"/>
                <w:lang w:val="es-MX"/>
              </w:rPr>
            </w:pP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14E0B" w:rsidRDefault="00A14E0B" w:rsidP="00A14E0B">
            <w:pPr>
              <w:jc w:val="center"/>
              <w:outlineLvl w:val="0"/>
              <w:rPr>
                <w:rFonts w:ascii="Arial" w:eastAsia="Arial Unicode MS" w:hAnsi="Arial" w:cs="Arial"/>
                <w:b/>
                <w:color w:val="000000"/>
                <w:lang w:val="es-MX"/>
              </w:rPr>
            </w:pP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A14E0B" w:rsidTr="00A14E0B">
        <w:trPr>
          <w:cantSplit/>
          <w:trHeight w:val="340"/>
          <w:jc w:val="center"/>
        </w:trPr>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14E0B" w:rsidRDefault="00A14E0B" w:rsidP="00A14E0B">
            <w:pPr>
              <w:outlineLvl w:val="0"/>
              <w:rPr>
                <w:rFonts w:ascii="Arial" w:eastAsia="Arial Unicode MS" w:hAnsi="Arial" w:cs="Arial"/>
                <w:b/>
                <w:color w:val="000000"/>
                <w:lang w:val="es-MX"/>
              </w:rPr>
            </w:pP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A14E0B" w:rsidRDefault="00A14E0B" w:rsidP="00A14E0B">
            <w:pPr>
              <w:jc w:val="center"/>
              <w:outlineLvl w:val="0"/>
              <w:rPr>
                <w:rFonts w:ascii="Arial" w:eastAsia="Arial Unicode MS" w:hAnsi="Arial" w:cs="Arial"/>
                <w:b/>
                <w:color w:val="000000"/>
                <w:lang w:val="it-IT"/>
              </w:rPr>
            </w:pPr>
          </w:p>
          <w:p w:rsidR="00A14E0B" w:rsidRDefault="00A14E0B" w:rsidP="00A14E0B">
            <w:pPr>
              <w:outlineLvl w:val="0"/>
              <w:rPr>
                <w:rFonts w:ascii="Arial" w:eastAsia="Arial Unicode MS" w:hAnsi="Arial" w:cs="Arial"/>
                <w:b/>
                <w:color w:val="000000"/>
                <w:lang w:val="it-IT"/>
              </w:rPr>
            </w:pPr>
          </w:p>
          <w:p w:rsidR="00A14E0B" w:rsidRDefault="00A14E0B" w:rsidP="00A14E0B">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A14E0B" w:rsidTr="00A14E0B">
        <w:trPr>
          <w:cantSplit/>
          <w:trHeight w:val="340"/>
          <w:jc w:val="center"/>
        </w:trPr>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14E0B" w:rsidRDefault="00A14E0B" w:rsidP="00A14E0B">
            <w:pPr>
              <w:jc w:val="center"/>
              <w:outlineLvl w:val="0"/>
              <w:rPr>
                <w:rFonts w:ascii="Arial" w:eastAsia="Arial Unicode MS" w:hAnsi="Arial" w:cs="Arial"/>
                <w:b/>
                <w:color w:val="000000"/>
                <w:lang w:val="es-MX"/>
              </w:rPr>
            </w:pP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A14E0B" w:rsidRDefault="00A14E0B" w:rsidP="00A14E0B">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14E0B" w:rsidRDefault="00A14E0B" w:rsidP="00A14E0B">
            <w:pP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b/>
                <w:color w:val="000000"/>
                <w:lang w:val="es-MX"/>
              </w:rPr>
            </w:pPr>
          </w:p>
          <w:p w:rsidR="00A14E0B" w:rsidRDefault="00A14E0B" w:rsidP="00A14E0B">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A14E0B" w:rsidRDefault="00A14E0B" w:rsidP="00603C51"/>
    <w:sectPr w:rsidR="00A14E0B" w:rsidSect="00603C51">
      <w:footerReference w:type="default" r:id="rId14"/>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8B" w:rsidRDefault="003B208B" w:rsidP="00864192">
      <w:pPr>
        <w:spacing w:after="0" w:line="240" w:lineRule="auto"/>
      </w:pPr>
      <w:r>
        <w:separator/>
      </w:r>
    </w:p>
  </w:endnote>
  <w:endnote w:type="continuationSeparator" w:id="0">
    <w:p w:rsidR="003B208B" w:rsidRDefault="003B208B" w:rsidP="0086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CA" w:rsidRPr="0088072B" w:rsidRDefault="003279CA">
    <w:pPr>
      <w:pStyle w:val="Piedepgina"/>
      <w:jc w:val="right"/>
      <w:rPr>
        <w:rFonts w:ascii="Century Gothic" w:hAnsi="Century Gothic"/>
        <w:sz w:val="20"/>
        <w:szCs w:val="20"/>
      </w:rPr>
    </w:pPr>
  </w:p>
  <w:p w:rsidR="003279CA" w:rsidRPr="00513CE9" w:rsidRDefault="003279CA" w:rsidP="00A14E0B">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3279CA" w:rsidRPr="003B498C" w:rsidRDefault="003279CA" w:rsidP="00A14E0B">
    <w:pPr>
      <w:pStyle w:val="Piedepgina"/>
      <w:jc w:val="center"/>
      <w:rPr>
        <w:rFonts w:ascii="Arial" w:hAnsi="Arial" w:cs="Arial"/>
        <w:sz w:val="14"/>
        <w:szCs w:val="14"/>
      </w:rPr>
    </w:pPr>
    <w:r>
      <w:rPr>
        <w:rFonts w:ascii="Arial" w:hAnsi="Arial" w:cs="Arial"/>
        <w:sz w:val="14"/>
        <w:szCs w:val="14"/>
      </w:rPr>
      <w:t>Dictamen del Expediente 10468/LXXIV Cuenta Pública 2015</w:t>
    </w:r>
    <w:r w:rsidRPr="00513CE9">
      <w:rPr>
        <w:rFonts w:ascii="Arial" w:hAnsi="Arial" w:cs="Arial"/>
        <w:sz w:val="14"/>
        <w:szCs w:val="14"/>
      </w:rPr>
      <w:t xml:space="preserve"> de</w:t>
    </w:r>
    <w:r>
      <w:rPr>
        <w:rFonts w:ascii="Arial" w:hAnsi="Arial" w:cs="Arial"/>
        <w:sz w:val="14"/>
        <w:szCs w:val="14"/>
      </w:rPr>
      <w:t>l Fideicomiso Fomento Metropolitano de Monterrey.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8B" w:rsidRDefault="003B208B" w:rsidP="00864192">
      <w:pPr>
        <w:spacing w:after="0" w:line="240" w:lineRule="auto"/>
      </w:pPr>
      <w:r>
        <w:separator/>
      </w:r>
    </w:p>
  </w:footnote>
  <w:footnote w:type="continuationSeparator" w:id="0">
    <w:p w:rsidR="003B208B" w:rsidRDefault="003B208B" w:rsidP="00864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34DD"/>
    <w:multiLevelType w:val="hybridMultilevel"/>
    <w:tmpl w:val="5F70B75A"/>
    <w:lvl w:ilvl="0" w:tplc="A65A47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C373BB"/>
    <w:multiLevelType w:val="hybridMultilevel"/>
    <w:tmpl w:val="2D0C809A"/>
    <w:lvl w:ilvl="0" w:tplc="080A0015">
      <w:start w:val="1"/>
      <w:numFmt w:val="upperLetter"/>
      <w:lvlText w:val="%1."/>
      <w:lvlJc w:val="left"/>
      <w:pPr>
        <w:ind w:left="720" w:hanging="360"/>
      </w:pPr>
      <w:rPr>
        <w:b/>
      </w:rPr>
    </w:lvl>
    <w:lvl w:ilvl="1" w:tplc="080A0017">
      <w:start w:val="1"/>
      <w:numFmt w:val="lowerLetter"/>
      <w:lvlText w:val="%2)"/>
      <w:lvlJc w:val="left"/>
      <w:pPr>
        <w:ind w:left="1440" w:hanging="360"/>
      </w:pPr>
    </w:lvl>
    <w:lvl w:ilvl="2" w:tplc="4CB8BADA">
      <w:start w:val="1"/>
      <w:numFmt w:val="upperLetter"/>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AD44ED4"/>
    <w:multiLevelType w:val="hybridMultilevel"/>
    <w:tmpl w:val="9C1AF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292BAF"/>
    <w:multiLevelType w:val="hybridMultilevel"/>
    <w:tmpl w:val="3B98C8FE"/>
    <w:lvl w:ilvl="0" w:tplc="1820DE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FE08A8"/>
    <w:multiLevelType w:val="hybridMultilevel"/>
    <w:tmpl w:val="96825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16" w15:restartNumberingAfterBreak="0">
    <w:nsid w:val="666737B2"/>
    <w:multiLevelType w:val="hybridMultilevel"/>
    <w:tmpl w:val="D4AEB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3"/>
  </w:num>
  <w:num w:numId="5">
    <w:abstractNumId w:val="9"/>
  </w:num>
  <w:num w:numId="6">
    <w:abstractNumId w:val="10"/>
  </w:num>
  <w:num w:numId="7">
    <w:abstractNumId w:val="14"/>
  </w:num>
  <w:num w:numId="8">
    <w:abstractNumId w:val="4"/>
  </w:num>
  <w:num w:numId="9">
    <w:abstractNumId w:val="13"/>
  </w:num>
  <w:num w:numId="10">
    <w:abstractNumId w:val="7"/>
  </w:num>
  <w:num w:numId="11">
    <w:abstractNumId w:val="16"/>
  </w:num>
  <w:num w:numId="12">
    <w:abstractNumId w:val="8"/>
  </w:num>
  <w:num w:numId="13">
    <w:abstractNumId w:val="12"/>
  </w:num>
  <w:num w:numId="14">
    <w:abstractNumId w:val="15"/>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09"/>
    <w:rsid w:val="000317F4"/>
    <w:rsid w:val="000422F7"/>
    <w:rsid w:val="000D44D5"/>
    <w:rsid w:val="001562E3"/>
    <w:rsid w:val="00166FC5"/>
    <w:rsid w:val="001A6ADA"/>
    <w:rsid w:val="00265A0E"/>
    <w:rsid w:val="002724D5"/>
    <w:rsid w:val="00294DF8"/>
    <w:rsid w:val="002B5D97"/>
    <w:rsid w:val="003279CA"/>
    <w:rsid w:val="003A5CB6"/>
    <w:rsid w:val="003B208B"/>
    <w:rsid w:val="003C6759"/>
    <w:rsid w:val="0040522B"/>
    <w:rsid w:val="005E3E45"/>
    <w:rsid w:val="00603C51"/>
    <w:rsid w:val="00633BE9"/>
    <w:rsid w:val="006445C8"/>
    <w:rsid w:val="006C5857"/>
    <w:rsid w:val="006D2EC4"/>
    <w:rsid w:val="00716C8F"/>
    <w:rsid w:val="00770C0E"/>
    <w:rsid w:val="0081766E"/>
    <w:rsid w:val="00864192"/>
    <w:rsid w:val="008D152D"/>
    <w:rsid w:val="008F541A"/>
    <w:rsid w:val="009B1E3E"/>
    <w:rsid w:val="00A14E0B"/>
    <w:rsid w:val="00A77138"/>
    <w:rsid w:val="00A947B1"/>
    <w:rsid w:val="00AC7809"/>
    <w:rsid w:val="00B0241F"/>
    <w:rsid w:val="00B144F4"/>
    <w:rsid w:val="00B77589"/>
    <w:rsid w:val="00C1326A"/>
    <w:rsid w:val="00C44B5E"/>
    <w:rsid w:val="00D21D9B"/>
    <w:rsid w:val="00DA337D"/>
    <w:rsid w:val="00E01620"/>
    <w:rsid w:val="00E64E8A"/>
    <w:rsid w:val="00EC6087"/>
    <w:rsid w:val="00ED3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941B7-C4CC-4379-A2A6-3527008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0B"/>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A14E0B"/>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A14E0B"/>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A14E0B"/>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A14E0B"/>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A14E0B"/>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A14E0B"/>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A14E0B"/>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A14E0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A14E0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4E0B"/>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A14E0B"/>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A14E0B"/>
    <w:rPr>
      <w:rFonts w:ascii="Cambria" w:eastAsia="Times New Roman" w:hAnsi="Cambria" w:cs="Cambria"/>
      <w:b/>
      <w:bCs/>
      <w:color w:val="4F81BD"/>
      <w:lang w:val="es-ES"/>
    </w:rPr>
  </w:style>
  <w:style w:type="character" w:customStyle="1" w:styleId="Ttulo4Car">
    <w:name w:val="Título 4 Car"/>
    <w:basedOn w:val="Fuentedeprrafopredeter"/>
    <w:link w:val="Ttulo4"/>
    <w:rsid w:val="00A14E0B"/>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A14E0B"/>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A14E0B"/>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A14E0B"/>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A14E0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A14E0B"/>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A14E0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A14E0B"/>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A14E0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A14E0B"/>
    <w:rPr>
      <w:rFonts w:ascii="Calibri" w:eastAsia="Calibri" w:hAnsi="Calibri" w:cs="Calibri"/>
      <w:lang w:val="es-ES"/>
    </w:rPr>
  </w:style>
  <w:style w:type="table" w:styleId="Tablaconcuadrcula">
    <w:name w:val="Table Grid"/>
    <w:basedOn w:val="Tablanormal"/>
    <w:uiPriority w:val="59"/>
    <w:rsid w:val="00A14E0B"/>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A14E0B"/>
    <w:pPr>
      <w:ind w:left="720"/>
    </w:pPr>
  </w:style>
  <w:style w:type="paragraph" w:styleId="Textoindependiente">
    <w:name w:val="Body Text"/>
    <w:aliases w:val="Car Car Car,Car Car Car Car"/>
    <w:basedOn w:val="Normal"/>
    <w:link w:val="TextoindependienteCar"/>
    <w:rsid w:val="00A14E0B"/>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A14E0B"/>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A14E0B"/>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A14E0B"/>
    <w:pPr>
      <w:spacing w:after="120"/>
      <w:ind w:left="283"/>
    </w:pPr>
  </w:style>
  <w:style w:type="character" w:customStyle="1" w:styleId="SangradetextonormalCar">
    <w:name w:val="Sangría de texto normal Car"/>
    <w:basedOn w:val="Fuentedeprrafopredeter"/>
    <w:link w:val="Sangradetextonormal"/>
    <w:rsid w:val="00A14E0B"/>
    <w:rPr>
      <w:rFonts w:ascii="Calibri" w:eastAsia="Calibri" w:hAnsi="Calibri" w:cs="Calibri"/>
      <w:lang w:val="es-ES"/>
    </w:rPr>
  </w:style>
  <w:style w:type="paragraph" w:styleId="HTMLconformatoprevio">
    <w:name w:val="HTML Preformatted"/>
    <w:basedOn w:val="Normal"/>
    <w:link w:val="HTMLconformatoprevioCar"/>
    <w:uiPriority w:val="99"/>
    <w:rsid w:val="00A14E0B"/>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14E0B"/>
    <w:rPr>
      <w:rFonts w:ascii="Courier New" w:eastAsia="Calibri" w:hAnsi="Courier New" w:cs="Courier New"/>
      <w:sz w:val="20"/>
      <w:szCs w:val="20"/>
      <w:lang w:val="es-ES"/>
    </w:rPr>
  </w:style>
  <w:style w:type="paragraph" w:customStyle="1" w:styleId="Prrafodelista1">
    <w:name w:val="Párrafo de lista1"/>
    <w:basedOn w:val="Normal"/>
    <w:uiPriority w:val="99"/>
    <w:rsid w:val="00A14E0B"/>
    <w:pPr>
      <w:ind w:left="720"/>
    </w:pPr>
    <w:rPr>
      <w:rFonts w:eastAsia="Times New Roman"/>
      <w:lang w:val="es-MX"/>
    </w:rPr>
  </w:style>
  <w:style w:type="paragraph" w:styleId="Saludo">
    <w:name w:val="Salutation"/>
    <w:basedOn w:val="Normal"/>
    <w:next w:val="Normal"/>
    <w:link w:val="SaludoCar"/>
    <w:uiPriority w:val="99"/>
    <w:rsid w:val="00A14E0B"/>
    <w:rPr>
      <w:lang w:val="es-MX"/>
    </w:rPr>
  </w:style>
  <w:style w:type="character" w:customStyle="1" w:styleId="SaludoCar">
    <w:name w:val="Saludo Car"/>
    <w:basedOn w:val="Fuentedeprrafopredeter"/>
    <w:link w:val="Saludo"/>
    <w:uiPriority w:val="99"/>
    <w:rsid w:val="00A14E0B"/>
    <w:rPr>
      <w:rFonts w:ascii="Calibri" w:eastAsia="Calibri" w:hAnsi="Calibri" w:cs="Calibri"/>
    </w:rPr>
  </w:style>
  <w:style w:type="character" w:styleId="nfasis">
    <w:name w:val="Emphasis"/>
    <w:basedOn w:val="Fuentedeprrafopredeter"/>
    <w:uiPriority w:val="20"/>
    <w:qFormat/>
    <w:rsid w:val="00A14E0B"/>
    <w:rPr>
      <w:rFonts w:cs="Times New Roman"/>
      <w:i/>
      <w:iCs/>
    </w:rPr>
  </w:style>
  <w:style w:type="paragraph" w:customStyle="1" w:styleId="ecxmsonormal">
    <w:name w:val="ecxmsonormal"/>
    <w:basedOn w:val="Normal"/>
    <w:rsid w:val="00A14E0B"/>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A14E0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A14E0B"/>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A14E0B"/>
  </w:style>
  <w:style w:type="paragraph" w:styleId="Textodeglobo">
    <w:name w:val="Balloon Text"/>
    <w:basedOn w:val="Normal"/>
    <w:link w:val="TextodegloboCar"/>
    <w:uiPriority w:val="99"/>
    <w:unhideWhenUsed/>
    <w:rsid w:val="00A14E0B"/>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A14E0B"/>
    <w:rPr>
      <w:rFonts w:ascii="Tahoma" w:eastAsia="Calibri" w:hAnsi="Tahoma" w:cs="Tahoma"/>
      <w:sz w:val="16"/>
      <w:szCs w:val="16"/>
    </w:rPr>
  </w:style>
  <w:style w:type="table" w:customStyle="1" w:styleId="Tablaconcuadrcula1">
    <w:name w:val="Tabla con cuadrícula1"/>
    <w:basedOn w:val="Tablanormal"/>
    <w:next w:val="Tablaconcuadrcula"/>
    <w:uiPriority w:val="59"/>
    <w:rsid w:val="00A14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14E0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A14E0B"/>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rsid w:val="00A14E0B"/>
    <w:rPr>
      <w:rFonts w:ascii="Calibri" w:eastAsia="Calibri" w:hAnsi="Calibri" w:cs="Times New Roman"/>
      <w:sz w:val="20"/>
      <w:szCs w:val="20"/>
    </w:rPr>
  </w:style>
  <w:style w:type="character" w:styleId="Refdenotaalpie">
    <w:name w:val="footnote reference"/>
    <w:basedOn w:val="Fuentedeprrafopredeter"/>
    <w:unhideWhenUsed/>
    <w:rsid w:val="00A14E0B"/>
    <w:rPr>
      <w:vertAlign w:val="superscript"/>
    </w:rPr>
  </w:style>
  <w:style w:type="table" w:customStyle="1" w:styleId="Sombreadomedio2-nfasis31">
    <w:name w:val="Sombreado medio 2 - Énfasis 31"/>
    <w:basedOn w:val="Tablanormal"/>
    <w:next w:val="Sombreadomedio2-nfasis3"/>
    <w:uiPriority w:val="64"/>
    <w:rsid w:val="00A14E0B"/>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nhideWhenUsed/>
    <w:rsid w:val="00A14E0B"/>
    <w:rPr>
      <w:sz w:val="16"/>
      <w:szCs w:val="16"/>
    </w:rPr>
  </w:style>
  <w:style w:type="paragraph" w:styleId="Textocomentario">
    <w:name w:val="annotation text"/>
    <w:basedOn w:val="Normal"/>
    <w:link w:val="TextocomentarioCar"/>
    <w:unhideWhenUsed/>
    <w:rsid w:val="00A14E0B"/>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rsid w:val="00A14E0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nhideWhenUsed/>
    <w:rsid w:val="00A14E0B"/>
    <w:rPr>
      <w:b/>
      <w:bCs/>
    </w:rPr>
  </w:style>
  <w:style w:type="character" w:customStyle="1" w:styleId="AsuntodelcomentarioCar">
    <w:name w:val="Asunto del comentario Car"/>
    <w:basedOn w:val="TextocomentarioCar"/>
    <w:link w:val="Asuntodelcomentario"/>
    <w:rsid w:val="00A14E0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A14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A14E0B"/>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A14E0B"/>
  </w:style>
  <w:style w:type="paragraph" w:styleId="Sangranormal">
    <w:name w:val="Normal Indent"/>
    <w:basedOn w:val="Normal"/>
    <w:rsid w:val="00A14E0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A14E0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A14E0B"/>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rsid w:val="00A14E0B"/>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rsid w:val="00A14E0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A14E0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A14E0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rsid w:val="00A14E0B"/>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rsid w:val="00A14E0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A14E0B"/>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A14E0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A14E0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A14E0B"/>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A14E0B"/>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A14E0B"/>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A14E0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A14E0B"/>
  </w:style>
  <w:style w:type="paragraph" w:customStyle="1" w:styleId="NormaARIAL">
    <w:name w:val="Norma+ARIAL"/>
    <w:basedOn w:val="Textoindependiente2"/>
    <w:rsid w:val="00A14E0B"/>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A14E0B"/>
    <w:pPr>
      <w:keepNext/>
      <w:numPr>
        <w:numId w:val="7"/>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A14E0B"/>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A14E0B"/>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A14E0B"/>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A14E0B"/>
    <w:rPr>
      <w:rFonts w:ascii="Arial" w:eastAsia="Times New Roman" w:hAnsi="Arial" w:cs="Arial"/>
      <w:sz w:val="28"/>
      <w:szCs w:val="24"/>
      <w:lang w:val="es-ES" w:eastAsia="es-ES"/>
    </w:rPr>
  </w:style>
  <w:style w:type="paragraph" w:customStyle="1" w:styleId="Contenidodelatabla">
    <w:name w:val="Contenido de la tabla"/>
    <w:basedOn w:val="Normal"/>
    <w:rsid w:val="00A14E0B"/>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A14E0B"/>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A14E0B"/>
    <w:rPr>
      <w:color w:val="0000FF"/>
      <w:u w:val="single"/>
    </w:rPr>
  </w:style>
  <w:style w:type="paragraph" w:customStyle="1" w:styleId="NormalJUSTIFICADl">
    <w:name w:val="Normal + JUSTIFICADl"/>
    <w:basedOn w:val="Normal"/>
    <w:rsid w:val="00A14E0B"/>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A14E0B"/>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A14E0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rsid w:val="00A14E0B"/>
    <w:rPr>
      <w:rFonts w:ascii="Helvetica" w:eastAsia="Times New Roman" w:hAnsi="Helvetica"/>
      <w:lang w:val="es-ES_tradnl" w:eastAsia="es-ES"/>
    </w:rPr>
  </w:style>
  <w:style w:type="paragraph" w:customStyle="1" w:styleId="Fuentedeprrafopredeter1">
    <w:name w:val="Fuente de párrafo predeter.1"/>
    <w:next w:val="Normal"/>
    <w:rsid w:val="00A14E0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A14E0B"/>
    <w:rPr>
      <w:rFonts w:ascii="Helvetica" w:hAnsi="Helvetica"/>
      <w:sz w:val="28"/>
      <w:lang w:val="es-ES_tradnl" w:eastAsia="es-ES" w:bidi="ar-SA"/>
    </w:rPr>
  </w:style>
  <w:style w:type="paragraph" w:customStyle="1" w:styleId="Fuentedeprrafopredeter2">
    <w:name w:val="Fuente de párrafo predeter.2"/>
    <w:next w:val="Normal"/>
    <w:rsid w:val="00A14E0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A14E0B"/>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A14E0B"/>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A14E0B"/>
    <w:rPr>
      <w:rFonts w:ascii="Courier New" w:eastAsia="Times New Roman" w:hAnsi="Courier New" w:cs="Courier New"/>
      <w:sz w:val="20"/>
      <w:szCs w:val="20"/>
      <w:lang w:val="es-ES" w:eastAsia="es-ES"/>
    </w:rPr>
  </w:style>
  <w:style w:type="paragraph" w:styleId="Sinespaciado">
    <w:name w:val="No Spacing"/>
    <w:uiPriority w:val="1"/>
    <w:qFormat/>
    <w:rsid w:val="00A14E0B"/>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A14E0B"/>
  </w:style>
  <w:style w:type="table" w:customStyle="1" w:styleId="Tablaconcuadrcula4">
    <w:name w:val="Tabla con cuadrícula4"/>
    <w:basedOn w:val="Tablanormal"/>
    <w:next w:val="Tablaconcuadrcula"/>
    <w:uiPriority w:val="59"/>
    <w:rsid w:val="00A14E0B"/>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A14E0B"/>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A14E0B"/>
  </w:style>
  <w:style w:type="table" w:customStyle="1" w:styleId="Tablaconcuadrcula5">
    <w:name w:val="Tabla con cuadrícula5"/>
    <w:basedOn w:val="Tablanormal"/>
    <w:next w:val="Tablaconcuadrcula"/>
    <w:uiPriority w:val="59"/>
    <w:rsid w:val="00A14E0B"/>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14E0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A14E0B"/>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A14E0B"/>
  </w:style>
  <w:style w:type="table" w:customStyle="1" w:styleId="Tablaconcuadrcula6">
    <w:name w:val="Tabla con cuadrícula6"/>
    <w:basedOn w:val="Tablanormal"/>
    <w:next w:val="Tablaconcuadrcula"/>
    <w:uiPriority w:val="59"/>
    <w:rsid w:val="00A14E0B"/>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14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A14E0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A14E0B"/>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A14E0B"/>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A14E0B"/>
  </w:style>
  <w:style w:type="character" w:customStyle="1" w:styleId="apple-converted-space">
    <w:name w:val="apple-converted-space"/>
    <w:basedOn w:val="Fuentedeprrafopredeter"/>
    <w:rsid w:val="00A14E0B"/>
  </w:style>
  <w:style w:type="character" w:customStyle="1" w:styleId="PrrafodelistaCar">
    <w:name w:val="Párrafo de lista Car"/>
    <w:basedOn w:val="Fuentedeprrafopredeter"/>
    <w:link w:val="Prrafodelista"/>
    <w:uiPriority w:val="34"/>
    <w:rsid w:val="00A14E0B"/>
    <w:rPr>
      <w:rFonts w:ascii="Calibri" w:eastAsia="Calibri" w:hAnsi="Calibri" w:cs="Calibri"/>
      <w:lang w:val="es-ES"/>
    </w:rPr>
  </w:style>
  <w:style w:type="paragraph" w:customStyle="1" w:styleId="Informe">
    <w:name w:val="Informe"/>
    <w:basedOn w:val="Prrafodelista"/>
    <w:link w:val="InformeCar"/>
    <w:qFormat/>
    <w:rsid w:val="00A14E0B"/>
    <w:pPr>
      <w:numPr>
        <w:numId w:val="8"/>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A14E0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A14E0B"/>
    <w:pPr>
      <w:suppressAutoHyphens w:val="0"/>
      <w:spacing w:after="120"/>
    </w:pPr>
    <w:rPr>
      <w:rFonts w:ascii="Arial" w:hAnsi="Arial" w:cs="Arial"/>
      <w:sz w:val="24"/>
      <w:szCs w:val="24"/>
      <w:lang w:eastAsia="es-ES"/>
    </w:rPr>
  </w:style>
  <w:style w:type="character" w:customStyle="1" w:styleId="INFORMECar0">
    <w:name w:val="INFORME Car"/>
    <w:link w:val="INFORME0"/>
    <w:rsid w:val="00A14E0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A14E0B"/>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A14E0B"/>
    <w:pPr>
      <w:numPr>
        <w:numId w:val="9"/>
      </w:numPr>
    </w:pPr>
    <w:rPr>
      <w:rFonts w:ascii="Arial" w:hAnsi="Arial" w:cs="Arial"/>
      <w:bCs/>
      <w:color w:val="333333"/>
      <w:szCs w:val="24"/>
      <w:lang w:val="es-ES"/>
    </w:rPr>
  </w:style>
  <w:style w:type="paragraph" w:styleId="Mapadeldocumento">
    <w:name w:val="Document Map"/>
    <w:basedOn w:val="Normal"/>
    <w:link w:val="MapadeldocumentoCar"/>
    <w:unhideWhenUsed/>
    <w:rsid w:val="00A14E0B"/>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rsid w:val="00A14E0B"/>
    <w:rPr>
      <w:rFonts w:ascii="Tahoma" w:eastAsia="MS Mincho" w:hAnsi="Tahoma" w:cs="Tahoma"/>
      <w:sz w:val="16"/>
      <w:szCs w:val="16"/>
      <w:lang w:val="es-ES" w:eastAsia="ja-JP"/>
    </w:rPr>
  </w:style>
  <w:style w:type="character" w:styleId="Textoennegrita">
    <w:name w:val="Strong"/>
    <w:qFormat/>
    <w:rsid w:val="00A14E0B"/>
    <w:rPr>
      <w:b/>
      <w:bCs/>
    </w:rPr>
  </w:style>
  <w:style w:type="paragraph" w:customStyle="1" w:styleId="informe1">
    <w:name w:val="informe"/>
    <w:basedOn w:val="Prrafodelista"/>
    <w:link w:val="informeCar1"/>
    <w:qFormat/>
    <w:rsid w:val="00A14E0B"/>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A14E0B"/>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A14E0B"/>
  </w:style>
  <w:style w:type="paragraph" w:customStyle="1" w:styleId="Body1">
    <w:name w:val="Body 1"/>
    <w:rsid w:val="00A14E0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DC1">
    <w:name w:val="toc 1"/>
    <w:basedOn w:val="Normal"/>
    <w:next w:val="Normal"/>
    <w:autoRedefine/>
    <w:rsid w:val="00A14E0B"/>
    <w:pPr>
      <w:spacing w:after="0" w:line="240" w:lineRule="auto"/>
      <w:jc w:val="both"/>
    </w:pPr>
    <w:rPr>
      <w:rFonts w:ascii="Helvetica" w:eastAsia="Times New Roman" w:hAnsi="Helvetica" w:cs="Times New Roman"/>
      <w:sz w:val="28"/>
      <w:szCs w:val="20"/>
      <w:lang w:val="es-MX" w:eastAsia="es-ES"/>
    </w:rPr>
  </w:style>
  <w:style w:type="paragraph" w:styleId="TDC2">
    <w:name w:val="toc 2"/>
    <w:basedOn w:val="Normal"/>
    <w:next w:val="Normal"/>
    <w:autoRedefine/>
    <w:rsid w:val="00A14E0B"/>
    <w:pPr>
      <w:spacing w:after="0" w:line="240" w:lineRule="auto"/>
      <w:jc w:val="both"/>
    </w:pPr>
    <w:rPr>
      <w:rFonts w:ascii="Helvetica" w:eastAsia="Times New Roman" w:hAnsi="Helvetica" w:cs="Times New Roman"/>
      <w:sz w:val="28"/>
      <w:szCs w:val="20"/>
      <w:lang w:val="es-MX" w:eastAsia="es-ES"/>
    </w:rPr>
  </w:style>
  <w:style w:type="paragraph" w:styleId="TDC3">
    <w:name w:val="toc 3"/>
    <w:basedOn w:val="Normal"/>
    <w:next w:val="Normal"/>
    <w:autoRedefine/>
    <w:rsid w:val="00A14E0B"/>
    <w:pPr>
      <w:spacing w:after="0" w:line="240" w:lineRule="auto"/>
      <w:ind w:left="560"/>
      <w:jc w:val="both"/>
    </w:pPr>
    <w:rPr>
      <w:rFonts w:ascii="Helvetica" w:eastAsia="Times New Roman" w:hAnsi="Helvetica" w:cs="Times New Roman"/>
      <w:sz w:val="28"/>
      <w:szCs w:val="20"/>
      <w:lang w:val="es-MX" w:eastAsia="es-ES"/>
    </w:rPr>
  </w:style>
  <w:style w:type="paragraph" w:styleId="TDC4">
    <w:name w:val="toc 4"/>
    <w:basedOn w:val="Normal"/>
    <w:next w:val="Normal"/>
    <w:autoRedefine/>
    <w:rsid w:val="00A14E0B"/>
    <w:pPr>
      <w:spacing w:after="0" w:line="240" w:lineRule="auto"/>
      <w:ind w:left="840"/>
      <w:jc w:val="both"/>
    </w:pPr>
    <w:rPr>
      <w:rFonts w:ascii="Helvetica" w:eastAsia="Times New Roman" w:hAnsi="Helvetica" w:cs="Times New Roman"/>
      <w:sz w:val="28"/>
      <w:szCs w:val="20"/>
      <w:lang w:val="es-MX" w:eastAsia="es-ES"/>
    </w:rPr>
  </w:style>
  <w:style w:type="paragraph" w:styleId="TDC5">
    <w:name w:val="toc 5"/>
    <w:basedOn w:val="Normal"/>
    <w:next w:val="Normal"/>
    <w:autoRedefine/>
    <w:rsid w:val="00A14E0B"/>
    <w:pPr>
      <w:spacing w:after="0" w:line="240" w:lineRule="auto"/>
      <w:ind w:left="1120"/>
      <w:jc w:val="both"/>
    </w:pPr>
    <w:rPr>
      <w:rFonts w:ascii="Helvetica" w:eastAsia="Times New Roman" w:hAnsi="Helvetica" w:cs="Times New Roman"/>
      <w:sz w:val="28"/>
      <w:szCs w:val="20"/>
      <w:lang w:val="es-MX" w:eastAsia="es-ES"/>
    </w:rPr>
  </w:style>
  <w:style w:type="paragraph" w:styleId="TDC6">
    <w:name w:val="toc 6"/>
    <w:basedOn w:val="Normal"/>
    <w:next w:val="Normal"/>
    <w:autoRedefine/>
    <w:rsid w:val="00A14E0B"/>
    <w:pPr>
      <w:spacing w:after="0" w:line="240" w:lineRule="auto"/>
      <w:ind w:left="1400"/>
      <w:jc w:val="both"/>
    </w:pPr>
    <w:rPr>
      <w:rFonts w:ascii="Helvetica" w:eastAsia="Times New Roman" w:hAnsi="Helvetica" w:cs="Times New Roman"/>
      <w:sz w:val="28"/>
      <w:szCs w:val="20"/>
      <w:lang w:val="es-MX" w:eastAsia="es-ES"/>
    </w:rPr>
  </w:style>
  <w:style w:type="paragraph" w:styleId="TDC7">
    <w:name w:val="toc 7"/>
    <w:basedOn w:val="Normal"/>
    <w:next w:val="Normal"/>
    <w:autoRedefine/>
    <w:rsid w:val="00A14E0B"/>
    <w:pPr>
      <w:spacing w:after="0" w:line="240" w:lineRule="auto"/>
      <w:ind w:left="1680"/>
      <w:jc w:val="both"/>
    </w:pPr>
    <w:rPr>
      <w:rFonts w:ascii="Helvetica" w:eastAsia="Times New Roman" w:hAnsi="Helvetica" w:cs="Times New Roman"/>
      <w:sz w:val="28"/>
      <w:szCs w:val="20"/>
      <w:lang w:val="es-MX" w:eastAsia="es-ES"/>
    </w:rPr>
  </w:style>
  <w:style w:type="paragraph" w:styleId="TDC8">
    <w:name w:val="toc 8"/>
    <w:basedOn w:val="Normal"/>
    <w:next w:val="Normal"/>
    <w:autoRedefine/>
    <w:rsid w:val="00A14E0B"/>
    <w:pPr>
      <w:spacing w:after="0" w:line="240" w:lineRule="auto"/>
      <w:ind w:left="1960"/>
      <w:jc w:val="both"/>
    </w:pPr>
    <w:rPr>
      <w:rFonts w:ascii="Helvetica" w:eastAsia="Times New Roman" w:hAnsi="Helvetica" w:cs="Times New Roman"/>
      <w:sz w:val="28"/>
      <w:szCs w:val="20"/>
      <w:lang w:val="es-MX" w:eastAsia="es-ES"/>
    </w:rPr>
  </w:style>
  <w:style w:type="paragraph" w:styleId="TDC9">
    <w:name w:val="toc 9"/>
    <w:basedOn w:val="Normal"/>
    <w:next w:val="Normal"/>
    <w:autoRedefine/>
    <w:rsid w:val="00A14E0B"/>
    <w:pPr>
      <w:spacing w:after="0" w:line="240" w:lineRule="auto"/>
      <w:ind w:left="2240"/>
      <w:jc w:val="both"/>
    </w:pPr>
    <w:rPr>
      <w:rFonts w:ascii="Helvetica" w:eastAsia="Times New Roman" w:hAnsi="Helvetica" w:cs="Times New Roman"/>
      <w:sz w:val="28"/>
      <w:szCs w:val="20"/>
      <w:lang w:val="es-MX" w:eastAsia="es-ES"/>
    </w:rPr>
  </w:style>
  <w:style w:type="character" w:styleId="Hipervnculovisitado">
    <w:name w:val="FollowedHyperlink"/>
    <w:basedOn w:val="Fuentedeprrafopredeter"/>
    <w:rsid w:val="00A14E0B"/>
    <w:rPr>
      <w:color w:val="800080"/>
      <w:u w:val="single"/>
    </w:rPr>
  </w:style>
  <w:style w:type="paragraph" w:styleId="ndice1">
    <w:name w:val="index 1"/>
    <w:basedOn w:val="Normal"/>
    <w:next w:val="Normal"/>
    <w:autoRedefine/>
    <w:semiHidden/>
    <w:rsid w:val="00A14E0B"/>
    <w:pPr>
      <w:spacing w:after="0" w:line="240" w:lineRule="auto"/>
      <w:ind w:left="280" w:hanging="280"/>
      <w:jc w:val="both"/>
    </w:pPr>
    <w:rPr>
      <w:rFonts w:ascii="Helvetica" w:eastAsia="Times New Roman" w:hAnsi="Helvetica" w:cs="Times New Roman"/>
      <w:sz w:val="28"/>
      <w:szCs w:val="20"/>
      <w:lang w:val="es-MX" w:eastAsia="es-ES"/>
    </w:rPr>
  </w:style>
  <w:style w:type="paragraph" w:styleId="Textonotaalfinal">
    <w:name w:val="endnote text"/>
    <w:basedOn w:val="Normal"/>
    <w:link w:val="TextonotaalfinalCar"/>
    <w:semiHidden/>
    <w:rsid w:val="00A14E0B"/>
    <w:pPr>
      <w:spacing w:after="0" w:line="240" w:lineRule="auto"/>
      <w:jc w:val="both"/>
    </w:pPr>
    <w:rPr>
      <w:rFonts w:ascii="Helvetica" w:eastAsia="Times New Roman" w:hAnsi="Helvetica" w:cs="Times New Roman"/>
      <w:sz w:val="20"/>
      <w:szCs w:val="20"/>
      <w:lang w:val="es-MX" w:eastAsia="es-ES"/>
    </w:rPr>
  </w:style>
  <w:style w:type="character" w:customStyle="1" w:styleId="TextonotaalfinalCar">
    <w:name w:val="Texto nota al final Car"/>
    <w:basedOn w:val="Fuentedeprrafopredeter"/>
    <w:link w:val="Textonotaalfinal"/>
    <w:semiHidden/>
    <w:rsid w:val="00A14E0B"/>
    <w:rPr>
      <w:rFonts w:ascii="Helvetica" w:eastAsia="Times New Roman" w:hAnsi="Helvetica" w:cs="Times New Roman"/>
      <w:sz w:val="20"/>
      <w:szCs w:val="20"/>
      <w:lang w:eastAsia="es-ES"/>
    </w:rPr>
  </w:style>
  <w:style w:type="character" w:styleId="Refdenotaalfinal">
    <w:name w:val="endnote reference"/>
    <w:basedOn w:val="Fuentedeprrafopredeter"/>
    <w:semiHidden/>
    <w:rsid w:val="00A14E0B"/>
    <w:rPr>
      <w:vertAlign w:val="superscript"/>
    </w:rPr>
  </w:style>
  <w:style w:type="paragraph" w:customStyle="1" w:styleId="xl31">
    <w:name w:val="xl31"/>
    <w:basedOn w:val="Normal"/>
    <w:rsid w:val="00A14E0B"/>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font5">
    <w:name w:val="font5"/>
    <w:basedOn w:val="Normal"/>
    <w:rsid w:val="00A14E0B"/>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25">
    <w:name w:val="xl25"/>
    <w:basedOn w:val="Normal"/>
    <w:rsid w:val="00A14E0B"/>
    <w:pPr>
      <w:pBdr>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29">
    <w:name w:val="xl29"/>
    <w:basedOn w:val="Normal"/>
    <w:rsid w:val="00A14E0B"/>
    <w:pPr>
      <w:pBdr>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3">
    <w:name w:val="xl33"/>
    <w:basedOn w:val="Normal"/>
    <w:rsid w:val="00A14E0B"/>
    <w:pPr>
      <w:pBdr>
        <w:left w:val="single" w:sz="8"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4">
    <w:name w:val="xl34"/>
    <w:basedOn w:val="Normal"/>
    <w:rsid w:val="00A14E0B"/>
    <w:pPr>
      <w:pBdr>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5">
    <w:name w:val="xl35"/>
    <w:basedOn w:val="Normal"/>
    <w:rsid w:val="00A14E0B"/>
    <w:pPr>
      <w:pBdr>
        <w:left w:val="single" w:sz="8" w:space="0" w:color="auto"/>
        <w:bottom w:val="double" w:sz="6"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6">
    <w:name w:val="xl36"/>
    <w:basedOn w:val="Normal"/>
    <w:rsid w:val="00A14E0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A14E0B"/>
    <w:pPr>
      <w:spacing w:before="100" w:beforeAutospacing="1" w:after="100" w:afterAutospacing="1" w:line="240" w:lineRule="auto"/>
    </w:pPr>
    <w:rPr>
      <w:rFonts w:ascii="Arial" w:eastAsia="Times New Roman" w:hAnsi="Arial" w:cs="Arial"/>
      <w:sz w:val="16"/>
      <w:szCs w:val="16"/>
      <w:lang w:eastAsia="es-ES"/>
    </w:rPr>
  </w:style>
  <w:style w:type="paragraph" w:customStyle="1" w:styleId="xl38">
    <w:name w:val="xl38"/>
    <w:basedOn w:val="Normal"/>
    <w:rsid w:val="00A14E0B"/>
    <w:pP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39">
    <w:name w:val="xl39"/>
    <w:basedOn w:val="Normal"/>
    <w:rsid w:val="00A14E0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40">
    <w:name w:val="xl40"/>
    <w:basedOn w:val="Normal"/>
    <w:rsid w:val="00A14E0B"/>
    <w:pP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1">
    <w:name w:val="xl41"/>
    <w:basedOn w:val="Normal"/>
    <w:rsid w:val="00A14E0B"/>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2">
    <w:name w:val="xl42"/>
    <w:basedOn w:val="Normal"/>
    <w:rsid w:val="00A14E0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3">
    <w:name w:val="xl43"/>
    <w:basedOn w:val="Normal"/>
    <w:rsid w:val="00A14E0B"/>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4">
    <w:name w:val="xl44"/>
    <w:basedOn w:val="Normal"/>
    <w:rsid w:val="00A14E0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5">
    <w:name w:val="xl45"/>
    <w:basedOn w:val="Normal"/>
    <w:rsid w:val="00A14E0B"/>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6">
    <w:name w:val="xl46"/>
    <w:basedOn w:val="Normal"/>
    <w:rsid w:val="00A14E0B"/>
    <w:pPr>
      <w:pBdr>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7">
    <w:name w:val="xl47"/>
    <w:basedOn w:val="Normal"/>
    <w:rsid w:val="00A14E0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A14E0B"/>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9">
    <w:name w:val="xl49"/>
    <w:basedOn w:val="Normal"/>
    <w:rsid w:val="00A14E0B"/>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0">
    <w:name w:val="xl50"/>
    <w:basedOn w:val="Normal"/>
    <w:rsid w:val="00A14E0B"/>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1">
    <w:name w:val="xl51"/>
    <w:basedOn w:val="Normal"/>
    <w:rsid w:val="00A14E0B"/>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2">
    <w:name w:val="xl52"/>
    <w:basedOn w:val="Normal"/>
    <w:rsid w:val="00A14E0B"/>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3">
    <w:name w:val="xl53"/>
    <w:basedOn w:val="Normal"/>
    <w:rsid w:val="00A14E0B"/>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4">
    <w:name w:val="xl54"/>
    <w:basedOn w:val="Normal"/>
    <w:rsid w:val="00A14E0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5">
    <w:name w:val="xl55"/>
    <w:basedOn w:val="Normal"/>
    <w:rsid w:val="00A14E0B"/>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6">
    <w:name w:val="xl56"/>
    <w:basedOn w:val="Normal"/>
    <w:rsid w:val="00A14E0B"/>
    <w:pPr>
      <w:pBdr>
        <w:left w:val="single" w:sz="8"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7">
    <w:name w:val="xl57"/>
    <w:basedOn w:val="Normal"/>
    <w:rsid w:val="00A14E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8">
    <w:name w:val="xl58"/>
    <w:basedOn w:val="Normal"/>
    <w:rsid w:val="00A14E0B"/>
    <w:pPr>
      <w:pBdr>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9">
    <w:name w:val="xl59"/>
    <w:basedOn w:val="Normal"/>
    <w:rsid w:val="00A14E0B"/>
    <w:pPr>
      <w:pBdr>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0">
    <w:name w:val="xl60"/>
    <w:basedOn w:val="Normal"/>
    <w:rsid w:val="00A14E0B"/>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1">
    <w:name w:val="xl61"/>
    <w:basedOn w:val="Normal"/>
    <w:rsid w:val="00A14E0B"/>
    <w:pPr>
      <w:pBdr>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2">
    <w:name w:val="xl62"/>
    <w:basedOn w:val="Normal"/>
    <w:rsid w:val="00A14E0B"/>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3">
    <w:name w:val="xl63"/>
    <w:basedOn w:val="Normal"/>
    <w:rsid w:val="00A14E0B"/>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4">
    <w:name w:val="xl64"/>
    <w:basedOn w:val="Normal"/>
    <w:rsid w:val="00A14E0B"/>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5">
    <w:name w:val="xl65"/>
    <w:basedOn w:val="Normal"/>
    <w:rsid w:val="00A14E0B"/>
    <w:pPr>
      <w:pBdr>
        <w:top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6">
    <w:name w:val="xl66"/>
    <w:basedOn w:val="Normal"/>
    <w:rsid w:val="00A14E0B"/>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7">
    <w:name w:val="xl67"/>
    <w:basedOn w:val="Normal"/>
    <w:rsid w:val="00A14E0B"/>
    <w:pPr>
      <w:pBdr>
        <w:top w:val="single" w:sz="4"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8">
    <w:name w:val="xl68"/>
    <w:basedOn w:val="Normal"/>
    <w:rsid w:val="00A14E0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69">
    <w:name w:val="xl69"/>
    <w:basedOn w:val="Normal"/>
    <w:rsid w:val="00A14E0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70">
    <w:name w:val="xl70"/>
    <w:basedOn w:val="Normal"/>
    <w:rsid w:val="00A14E0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1">
    <w:name w:val="xl71"/>
    <w:basedOn w:val="Normal"/>
    <w:rsid w:val="00A14E0B"/>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72">
    <w:name w:val="xl72"/>
    <w:basedOn w:val="Normal"/>
    <w:rsid w:val="00A14E0B"/>
    <w:pPr>
      <w:pBdr>
        <w:lef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3">
    <w:name w:val="xl73"/>
    <w:basedOn w:val="Normal"/>
    <w:rsid w:val="00A14E0B"/>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4">
    <w:name w:val="xl74"/>
    <w:basedOn w:val="Normal"/>
    <w:rsid w:val="00A14E0B"/>
    <w:pPr>
      <w:pBdr>
        <w:lef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5">
    <w:name w:val="xl75"/>
    <w:basedOn w:val="Normal"/>
    <w:rsid w:val="00A14E0B"/>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6">
    <w:name w:val="xl76"/>
    <w:basedOn w:val="Normal"/>
    <w:rsid w:val="00A14E0B"/>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7">
    <w:name w:val="xl77"/>
    <w:basedOn w:val="Normal"/>
    <w:rsid w:val="00A14E0B"/>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8">
    <w:name w:val="xl78"/>
    <w:basedOn w:val="Normal"/>
    <w:rsid w:val="00A14E0B"/>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9">
    <w:name w:val="xl79"/>
    <w:basedOn w:val="Normal"/>
    <w:rsid w:val="00A14E0B"/>
    <w:pPr>
      <w:pBdr>
        <w:left w:val="single" w:sz="8" w:space="0" w:color="auto"/>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80">
    <w:name w:val="xl80"/>
    <w:basedOn w:val="Normal"/>
    <w:rsid w:val="00A14E0B"/>
    <w:pPr>
      <w:pBdr>
        <w:top w:val="double" w:sz="6"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81">
    <w:name w:val="xl81"/>
    <w:basedOn w:val="Normal"/>
    <w:rsid w:val="00A14E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2">
    <w:name w:val="xl82"/>
    <w:basedOn w:val="Normal"/>
    <w:rsid w:val="00A14E0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3">
    <w:name w:val="xl83"/>
    <w:basedOn w:val="Normal"/>
    <w:rsid w:val="00A14E0B"/>
    <w:pPr>
      <w:pBdr>
        <w:top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4">
    <w:name w:val="xl84"/>
    <w:basedOn w:val="Normal"/>
    <w:rsid w:val="00A14E0B"/>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5">
    <w:name w:val="xl85"/>
    <w:basedOn w:val="Normal"/>
    <w:rsid w:val="00A14E0B"/>
    <w:pP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6">
    <w:name w:val="xl86"/>
    <w:basedOn w:val="Normal"/>
    <w:rsid w:val="00A14E0B"/>
    <w:pPr>
      <w:pBdr>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7">
    <w:name w:val="xl87"/>
    <w:basedOn w:val="Normal"/>
    <w:rsid w:val="00A14E0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8">
    <w:name w:val="xl88"/>
    <w:basedOn w:val="Normal"/>
    <w:rsid w:val="00A14E0B"/>
    <w:pPr>
      <w:pBdr>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9">
    <w:name w:val="xl89"/>
    <w:basedOn w:val="Normal"/>
    <w:rsid w:val="00A14E0B"/>
    <w:pPr>
      <w:pBdr>
        <w:bottom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0">
    <w:name w:val="xl90"/>
    <w:basedOn w:val="Normal"/>
    <w:rsid w:val="00A14E0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1">
    <w:name w:val="xl91"/>
    <w:basedOn w:val="Normal"/>
    <w:rsid w:val="00A14E0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styleId="Descripcin">
    <w:name w:val="caption"/>
    <w:basedOn w:val="Normal"/>
    <w:next w:val="Normal"/>
    <w:qFormat/>
    <w:rsid w:val="00A14E0B"/>
    <w:pPr>
      <w:spacing w:after="0" w:line="240" w:lineRule="auto"/>
      <w:jc w:val="both"/>
    </w:pPr>
    <w:rPr>
      <w:rFonts w:ascii="Arial" w:eastAsia="Times New Roman" w:hAnsi="Arial" w:cs="Times New Roman"/>
      <w:b/>
      <w:bCs/>
      <w:sz w:val="20"/>
      <w:szCs w:val="20"/>
      <w:lang w:eastAsia="es-ES"/>
    </w:rPr>
  </w:style>
  <w:style w:type="character" w:customStyle="1" w:styleId="estilo2">
    <w:name w:val="estilo2"/>
    <w:basedOn w:val="Fuentedeprrafopredeter"/>
    <w:rsid w:val="00A14E0B"/>
  </w:style>
  <w:style w:type="character" w:customStyle="1" w:styleId="st1">
    <w:name w:val="st1"/>
    <w:basedOn w:val="Fuentedeprrafopredeter"/>
    <w:rsid w:val="00A14E0B"/>
  </w:style>
  <w:style w:type="paragraph" w:styleId="NormalWeb">
    <w:name w:val="Normal (Web)"/>
    <w:basedOn w:val="Normal"/>
    <w:uiPriority w:val="99"/>
    <w:semiHidden/>
    <w:unhideWhenUsed/>
    <w:rsid w:val="00A14E0B"/>
    <w:pPr>
      <w:spacing w:before="100" w:beforeAutospacing="1" w:after="100" w:afterAutospacing="1" w:line="240" w:lineRule="auto"/>
    </w:pPr>
    <w:rPr>
      <w:rFonts w:ascii="Times New Roman" w:eastAsiaTheme="minorHAnsi" w:hAnsi="Times New Roman" w:cs="Times New Roman"/>
      <w:sz w:val="24"/>
      <w:szCs w:val="24"/>
      <w:lang w:val="es-MX" w:eastAsia="es-MX"/>
    </w:rPr>
  </w:style>
  <w:style w:type="paragraph" w:styleId="Subttulo">
    <w:name w:val="Subtitle"/>
    <w:basedOn w:val="Normal"/>
    <w:link w:val="SubttuloCar"/>
    <w:qFormat/>
    <w:rsid w:val="00A14E0B"/>
    <w:pPr>
      <w:spacing w:after="60" w:line="240" w:lineRule="auto"/>
      <w:jc w:val="center"/>
      <w:outlineLvl w:val="1"/>
    </w:pPr>
    <w:rPr>
      <w:rFonts w:ascii="Arial" w:eastAsia="Times New Roman" w:hAnsi="Arial" w:cs="Arial"/>
      <w:sz w:val="24"/>
      <w:szCs w:val="24"/>
      <w:lang w:val="es-MX" w:eastAsia="es-ES"/>
    </w:rPr>
  </w:style>
  <w:style w:type="character" w:customStyle="1" w:styleId="SubttuloCar">
    <w:name w:val="Subtítulo Car"/>
    <w:basedOn w:val="Fuentedeprrafopredeter"/>
    <w:link w:val="Subttulo"/>
    <w:rsid w:val="00A14E0B"/>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314F-28D1-4988-AB9F-A0D210C0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60</Pages>
  <Words>11491</Words>
  <Characters>63201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26</cp:revision>
  <cp:lastPrinted>2016-12-13T21:52:00Z</cp:lastPrinted>
  <dcterms:created xsi:type="dcterms:W3CDTF">2016-11-30T21:25:00Z</dcterms:created>
  <dcterms:modified xsi:type="dcterms:W3CDTF">2017-03-07T15:23:00Z</dcterms:modified>
</cp:coreProperties>
</file>