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29225D" w:rsidRDefault="0029225D" w:rsidP="00C61E47">
      <w:pPr>
        <w:ind w:firstLine="709"/>
        <w:jc w:val="both"/>
        <w:rPr>
          <w:rFonts w:ascii="Arial" w:hAnsi="Arial" w:cs="Arial"/>
          <w:sz w:val="24"/>
        </w:rPr>
      </w:pPr>
    </w:p>
    <w:p w:rsidR="009C0345" w:rsidRDefault="009C0345" w:rsidP="0004049B">
      <w:pPr>
        <w:autoSpaceDE w:val="0"/>
        <w:autoSpaceDN w:val="0"/>
        <w:adjustRightInd w:val="0"/>
        <w:spacing w:after="0"/>
        <w:ind w:firstLine="708"/>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 xml:space="preserve">Comisión </w:t>
      </w:r>
      <w:r w:rsidR="002959ED" w:rsidRPr="00BC04C0">
        <w:rPr>
          <w:rFonts w:ascii="Arial" w:hAnsi="Arial" w:cs="Arial"/>
          <w:b/>
          <w:bCs/>
          <w:sz w:val="24"/>
          <w:szCs w:val="24"/>
        </w:rPr>
        <w:t>de Hacienda del Estado</w:t>
      </w:r>
      <w:r w:rsidR="0029225D" w:rsidRPr="00BC04C0">
        <w:rPr>
          <w:rFonts w:ascii="Arial" w:hAnsi="Arial" w:cs="Arial"/>
          <w:sz w:val="24"/>
          <w:szCs w:val="24"/>
        </w:rPr>
        <w:t xml:space="preserve"> le fue turnado</w:t>
      </w:r>
      <w:r w:rsidRPr="00BC04C0">
        <w:rPr>
          <w:rFonts w:ascii="Arial" w:hAnsi="Arial" w:cs="Arial"/>
          <w:sz w:val="24"/>
          <w:szCs w:val="24"/>
        </w:rPr>
        <w:t xml:space="preserve"> para su</w:t>
      </w:r>
      <w:r w:rsidR="001A568F">
        <w:rPr>
          <w:rFonts w:ascii="Arial" w:hAnsi="Arial" w:cs="Arial"/>
          <w:sz w:val="24"/>
          <w:szCs w:val="24"/>
        </w:rPr>
        <w:t xml:space="preserve"> estudio y dictamen, en fecha </w:t>
      </w:r>
      <w:r w:rsidR="00574129">
        <w:rPr>
          <w:rFonts w:ascii="Arial" w:hAnsi="Arial" w:cs="Arial"/>
          <w:sz w:val="24"/>
          <w:szCs w:val="24"/>
        </w:rPr>
        <w:t>14 de Noviembre de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006102CD" w:rsidRPr="00BC04C0">
        <w:rPr>
          <w:rFonts w:ascii="Arial" w:hAnsi="Arial" w:cs="Arial"/>
          <w:sz w:val="24"/>
          <w:szCs w:val="24"/>
        </w:rPr>
        <w:t xml:space="preserve"> </w:t>
      </w:r>
      <w:r w:rsidR="001A568F">
        <w:rPr>
          <w:rFonts w:ascii="Arial" w:hAnsi="Arial" w:cs="Arial"/>
          <w:sz w:val="24"/>
          <w:szCs w:val="24"/>
          <w:lang w:eastAsia="es-ES"/>
        </w:rPr>
        <w:t>de</w:t>
      </w:r>
      <w:r w:rsidR="004C3170">
        <w:rPr>
          <w:rFonts w:ascii="Arial" w:hAnsi="Arial" w:cs="Arial"/>
          <w:sz w:val="24"/>
          <w:szCs w:val="24"/>
          <w:lang w:eastAsia="es-ES"/>
        </w:rPr>
        <w:t>l</w:t>
      </w:r>
      <w:r w:rsidR="001A568F">
        <w:rPr>
          <w:rFonts w:ascii="Arial" w:hAnsi="Arial" w:cs="Arial"/>
          <w:sz w:val="24"/>
          <w:szCs w:val="24"/>
          <w:lang w:eastAsia="es-ES"/>
        </w:rPr>
        <w:t xml:space="preserve"> </w:t>
      </w:r>
      <w:r w:rsidR="0004049B">
        <w:rPr>
          <w:rFonts w:ascii="Arial" w:hAnsi="Arial" w:cs="Arial"/>
          <w:b/>
          <w:sz w:val="24"/>
          <w:szCs w:val="32"/>
          <w:lang w:val="es-MX" w:eastAsia="es-ES"/>
        </w:rPr>
        <w:t>INSTITUTO DEL AGUA DEL ESTADO DE NUEVO LEÓN</w:t>
      </w:r>
      <w:r w:rsidR="00472E65" w:rsidRPr="00472E65">
        <w:rPr>
          <w:rFonts w:ascii="Arial" w:hAnsi="Arial" w:cs="Arial"/>
          <w:b/>
          <w:sz w:val="24"/>
          <w:szCs w:val="32"/>
          <w:lang w:val="es-MX" w:eastAsia="es-ES"/>
        </w:rPr>
        <w:t xml:space="preserve"> </w:t>
      </w:r>
      <w:r w:rsidR="004C3170" w:rsidRPr="004C3170">
        <w:rPr>
          <w:rFonts w:ascii="Arial" w:hAnsi="Arial" w:cs="Arial"/>
          <w:sz w:val="24"/>
          <w:szCs w:val="24"/>
          <w:lang w:val="es-MX" w:eastAsia="es-ES"/>
        </w:rPr>
        <w:t>a</w:t>
      </w:r>
      <w:r w:rsidR="004C3170">
        <w:rPr>
          <w:rFonts w:ascii="Arial" w:hAnsi="Arial" w:cs="Arial"/>
          <w:b/>
          <w:sz w:val="24"/>
          <w:szCs w:val="24"/>
          <w:lang w:val="es-MX" w:eastAsia="es-ES"/>
        </w:rPr>
        <w:t xml:space="preserve"> </w:t>
      </w:r>
      <w:r w:rsidRPr="00BC04C0">
        <w:rPr>
          <w:rFonts w:ascii="Arial" w:hAnsi="Arial" w:cs="Arial"/>
          <w:sz w:val="24"/>
          <w:szCs w:val="24"/>
        </w:rPr>
        <w:t xml:space="preserve">su Ejercicio Fiscal </w:t>
      </w:r>
      <w:r w:rsidR="00574129">
        <w:rPr>
          <w:rFonts w:ascii="Arial" w:hAnsi="Arial" w:cs="Arial"/>
          <w:b/>
          <w:bCs/>
          <w:sz w:val="24"/>
          <w:szCs w:val="24"/>
        </w:rPr>
        <w:t>2015</w:t>
      </w:r>
      <w:r w:rsidRPr="00BC04C0">
        <w:rPr>
          <w:rFonts w:ascii="Arial" w:hAnsi="Arial" w:cs="Arial"/>
          <w:sz w:val="24"/>
          <w:szCs w:val="24"/>
        </w:rPr>
        <w:t xml:space="preserve">, bajo el expediente </w:t>
      </w:r>
      <w:r w:rsidR="00574129">
        <w:rPr>
          <w:rFonts w:ascii="Arial" w:hAnsi="Arial" w:cs="Arial"/>
          <w:b/>
          <w:sz w:val="24"/>
          <w:szCs w:val="24"/>
        </w:rPr>
        <w:t>10470</w:t>
      </w:r>
      <w:r w:rsidR="00D24B26">
        <w:rPr>
          <w:rFonts w:ascii="Arial" w:hAnsi="Arial" w:cs="Arial"/>
          <w:b/>
          <w:bCs/>
          <w:sz w:val="24"/>
          <w:szCs w:val="24"/>
        </w:rPr>
        <w:t>/LXXIV</w:t>
      </w:r>
      <w:r w:rsidRPr="00BC04C0">
        <w:rPr>
          <w:rFonts w:ascii="Arial" w:hAnsi="Arial" w:cs="Arial"/>
          <w:b/>
          <w:bCs/>
          <w:sz w:val="24"/>
          <w:szCs w:val="24"/>
        </w:rPr>
        <w:t>.</w:t>
      </w:r>
    </w:p>
    <w:p w:rsidR="00BC04C0" w:rsidRPr="00BC04C0" w:rsidRDefault="00BC04C0" w:rsidP="00BC04C0">
      <w:pPr>
        <w:autoSpaceDE w:val="0"/>
        <w:autoSpaceDN w:val="0"/>
        <w:adjustRightInd w:val="0"/>
        <w:spacing w:after="0"/>
        <w:jc w:val="both"/>
        <w:rPr>
          <w:rFonts w:ascii="Arial" w:hAnsi="Arial" w:cs="Arial"/>
          <w:b/>
          <w:bCs/>
          <w:sz w:val="24"/>
          <w:szCs w:val="24"/>
        </w:rPr>
      </w:pP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w:t>
      </w:r>
      <w:r w:rsidR="0004049B">
        <w:rPr>
          <w:rFonts w:ascii="Arial" w:hAnsi="Arial" w:cs="Arial"/>
          <w:szCs w:val="22"/>
        </w:rPr>
        <w:t xml:space="preserve"> ante este Pleno los siguientes</w:t>
      </w:r>
    </w:p>
    <w:p w:rsidR="009C0345" w:rsidRDefault="0004049B" w:rsidP="00BC04C0">
      <w:pPr>
        <w:jc w:val="both"/>
        <w:rPr>
          <w:rFonts w:ascii="Arial" w:hAnsi="Arial" w:cs="Arial"/>
          <w:b/>
          <w:bCs/>
          <w:sz w:val="24"/>
          <w:szCs w:val="24"/>
        </w:rPr>
      </w:pPr>
      <w:r>
        <w:rPr>
          <w:rFonts w:ascii="Arial" w:hAnsi="Arial" w:cs="Arial"/>
          <w:b/>
          <w:bCs/>
          <w:sz w:val="24"/>
          <w:szCs w:val="24"/>
        </w:rPr>
        <w:t>ANTECEDENTES</w:t>
      </w:r>
    </w:p>
    <w:p w:rsidR="00472E65" w:rsidRPr="00381B3B" w:rsidRDefault="00472E65" w:rsidP="00381B3B">
      <w:pPr>
        <w:pStyle w:val="Prrafodelista"/>
        <w:numPr>
          <w:ilvl w:val="0"/>
          <w:numId w:val="15"/>
        </w:numPr>
        <w:autoSpaceDE w:val="0"/>
        <w:autoSpaceDN w:val="0"/>
        <w:adjustRightInd w:val="0"/>
        <w:spacing w:after="0"/>
        <w:jc w:val="both"/>
        <w:rPr>
          <w:rFonts w:ascii="Arial" w:hAnsi="Arial" w:cs="Arial"/>
          <w:b/>
          <w:bCs/>
          <w:color w:val="000000"/>
          <w:sz w:val="24"/>
          <w:szCs w:val="24"/>
          <w:lang w:val="es-MX" w:eastAsia="es-ES"/>
        </w:rPr>
      </w:pPr>
      <w:r w:rsidRPr="00381B3B">
        <w:rPr>
          <w:rFonts w:ascii="Arial" w:hAnsi="Arial" w:cs="Arial"/>
          <w:b/>
          <w:bCs/>
          <w:color w:val="000000"/>
          <w:sz w:val="24"/>
          <w:szCs w:val="24"/>
          <w:lang w:val="es-MX" w:eastAsia="es-ES"/>
        </w:rPr>
        <w:t>Presentación</w:t>
      </w:r>
    </w:p>
    <w:p w:rsidR="00381B3B" w:rsidRPr="00381B3B" w:rsidRDefault="00381B3B" w:rsidP="00381B3B">
      <w:pPr>
        <w:autoSpaceDE w:val="0"/>
        <w:autoSpaceDN w:val="0"/>
        <w:adjustRightInd w:val="0"/>
        <w:spacing w:after="0"/>
        <w:jc w:val="both"/>
        <w:rPr>
          <w:rFonts w:ascii="Arial" w:hAnsi="Arial" w:cs="Arial"/>
          <w:b/>
          <w:bCs/>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La Auditoría Superior del Estado de Nuevo León, de conformidad con lo establecido en los</w:t>
      </w:r>
      <w:r w:rsidR="00381B3B">
        <w:rPr>
          <w:rFonts w:ascii="Arial" w:hAnsi="Arial" w:cs="Arial"/>
          <w:color w:val="000000"/>
          <w:sz w:val="24"/>
          <w:szCs w:val="24"/>
          <w:lang w:val="es-MX" w:eastAsia="es-ES"/>
        </w:rPr>
        <w:t xml:space="preserve"> </w:t>
      </w:r>
      <w:r>
        <w:rPr>
          <w:rFonts w:ascii="Arial" w:hAnsi="Arial" w:cs="Arial"/>
          <w:color w:val="000000"/>
          <w:sz w:val="24"/>
          <w:szCs w:val="24"/>
          <w:lang w:val="es-MX" w:eastAsia="es-ES"/>
        </w:rPr>
        <w:t>artículos 63 fracción XIII, 136, párrafos primero y segundo de la Constitución Política del Estado, 1,</w:t>
      </w:r>
      <w:r w:rsidR="00381B3B">
        <w:rPr>
          <w:rFonts w:ascii="Arial" w:hAnsi="Arial" w:cs="Arial"/>
          <w:color w:val="000000"/>
          <w:sz w:val="24"/>
          <w:szCs w:val="24"/>
          <w:lang w:val="es-MX" w:eastAsia="es-ES"/>
        </w:rPr>
        <w:t xml:space="preserve"> </w:t>
      </w:r>
      <w:r>
        <w:rPr>
          <w:rFonts w:ascii="Arial" w:hAnsi="Arial" w:cs="Arial"/>
          <w:color w:val="000000"/>
          <w:sz w:val="24"/>
          <w:szCs w:val="24"/>
          <w:lang w:val="es-MX" w:eastAsia="es-ES"/>
        </w:rPr>
        <w:t>2, fracciones I, VIII y X y 3 de la Ley de Fiscalización Superior del Estado de Nuevo León, se</w:t>
      </w:r>
      <w:r w:rsidR="00381B3B">
        <w:rPr>
          <w:rFonts w:ascii="Arial" w:hAnsi="Arial" w:cs="Arial"/>
          <w:color w:val="000000"/>
          <w:sz w:val="24"/>
          <w:szCs w:val="24"/>
          <w:lang w:val="es-MX" w:eastAsia="es-ES"/>
        </w:rPr>
        <w:t xml:space="preserve"> </w:t>
      </w:r>
      <w:r>
        <w:rPr>
          <w:rFonts w:ascii="Arial" w:hAnsi="Arial" w:cs="Arial"/>
          <w:color w:val="000000"/>
          <w:sz w:val="24"/>
          <w:szCs w:val="24"/>
          <w:lang w:val="es-MX" w:eastAsia="es-ES"/>
        </w:rPr>
        <w:t>instituye como un órgano auxiliar del H. Congreso del Estado en su función de fiscalización de las</w:t>
      </w:r>
      <w:r w:rsidR="00381B3B">
        <w:rPr>
          <w:rFonts w:ascii="Arial" w:hAnsi="Arial" w:cs="Arial"/>
          <w:color w:val="000000"/>
          <w:sz w:val="24"/>
          <w:szCs w:val="24"/>
          <w:lang w:val="es-MX" w:eastAsia="es-ES"/>
        </w:rPr>
        <w:t xml:space="preserve"> </w:t>
      </w:r>
      <w:r>
        <w:rPr>
          <w:rFonts w:ascii="Arial" w:hAnsi="Arial" w:cs="Arial"/>
          <w:color w:val="000000"/>
          <w:sz w:val="24"/>
          <w:szCs w:val="24"/>
          <w:lang w:val="es-MX" w:eastAsia="es-ES"/>
        </w:rPr>
        <w:t>Cuentas Públicas presentadas por los Poderes del Estado, los</w:t>
      </w:r>
      <w:r w:rsidR="00381B3B">
        <w:rPr>
          <w:rFonts w:ascii="Arial" w:hAnsi="Arial" w:cs="Arial"/>
          <w:color w:val="000000"/>
          <w:sz w:val="24"/>
          <w:szCs w:val="24"/>
          <w:lang w:val="es-MX" w:eastAsia="es-ES"/>
        </w:rPr>
        <w:t xml:space="preserve"> o</w:t>
      </w:r>
      <w:r>
        <w:rPr>
          <w:rFonts w:ascii="Arial" w:hAnsi="Arial" w:cs="Arial"/>
          <w:color w:val="000000"/>
          <w:sz w:val="24"/>
          <w:szCs w:val="24"/>
          <w:lang w:val="es-MX" w:eastAsia="es-ES"/>
        </w:rPr>
        <w:t>rganismos Constitucionalmente</w:t>
      </w:r>
      <w:r w:rsidR="00381B3B">
        <w:rPr>
          <w:rFonts w:ascii="Arial" w:hAnsi="Arial" w:cs="Arial"/>
          <w:color w:val="000000"/>
          <w:sz w:val="24"/>
          <w:szCs w:val="24"/>
          <w:lang w:val="es-MX" w:eastAsia="es-ES"/>
        </w:rPr>
        <w:t xml:space="preserve"> </w:t>
      </w:r>
      <w:r>
        <w:rPr>
          <w:rFonts w:ascii="Arial" w:hAnsi="Arial" w:cs="Arial"/>
          <w:color w:val="000000"/>
          <w:sz w:val="24"/>
          <w:szCs w:val="24"/>
          <w:lang w:val="es-MX" w:eastAsia="es-ES"/>
        </w:rPr>
        <w:t>Autónomos, los Organismos Públicos Descentralizados y Fideicomisos Públicos de la</w:t>
      </w:r>
      <w:r w:rsidR="00381B3B">
        <w:rPr>
          <w:rFonts w:ascii="Arial" w:hAnsi="Arial" w:cs="Arial"/>
          <w:color w:val="000000"/>
          <w:sz w:val="24"/>
          <w:szCs w:val="24"/>
          <w:lang w:val="es-MX" w:eastAsia="es-ES"/>
        </w:rPr>
        <w:t xml:space="preserve"> </w:t>
      </w:r>
      <w:r>
        <w:rPr>
          <w:rFonts w:ascii="Arial" w:hAnsi="Arial" w:cs="Arial"/>
          <w:color w:val="000000"/>
          <w:sz w:val="24"/>
          <w:szCs w:val="24"/>
          <w:lang w:val="es-MX" w:eastAsia="es-ES"/>
        </w:rPr>
        <w:t>Administración Pública del Estado, los Municipios y sus Organismos Descentralizados, así como</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las Instituciones Públicas de Educación que reciban recursos públicos.</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ejercicio de las referidas funciones, para la revisión de la C</w:t>
      </w:r>
      <w:r w:rsidR="00805203">
        <w:rPr>
          <w:rFonts w:ascii="Arial" w:hAnsi="Arial" w:cs="Arial"/>
          <w:color w:val="000000"/>
          <w:sz w:val="24"/>
          <w:szCs w:val="24"/>
          <w:lang w:val="es-MX" w:eastAsia="es-ES"/>
        </w:rPr>
        <w:t>uenta Pública del ejercicio 2015</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del I</w:t>
      </w:r>
      <w:r w:rsidR="0004049B">
        <w:rPr>
          <w:rFonts w:ascii="Arial" w:hAnsi="Arial" w:cs="Arial"/>
          <w:color w:val="000000"/>
          <w:sz w:val="24"/>
          <w:szCs w:val="24"/>
          <w:lang w:val="es-MX" w:eastAsia="es-ES"/>
        </w:rPr>
        <w:t xml:space="preserve">INSTITUTO DEL AGUA DEL ESTADO DE </w:t>
      </w:r>
      <w:r w:rsidR="0004049B">
        <w:rPr>
          <w:rFonts w:ascii="Arial" w:hAnsi="Arial" w:cs="Arial"/>
          <w:color w:val="000000"/>
          <w:sz w:val="24"/>
          <w:szCs w:val="24"/>
          <w:lang w:val="es-MX" w:eastAsia="es-ES"/>
        </w:rPr>
        <w:lastRenderedPageBreak/>
        <w:t>NUEVO LEÓN</w:t>
      </w:r>
      <w:r w:rsidR="00574129">
        <w:rPr>
          <w:rFonts w:ascii="Arial" w:hAnsi="Arial" w:cs="Arial"/>
          <w:color w:val="000000"/>
          <w:sz w:val="24"/>
          <w:szCs w:val="24"/>
          <w:lang w:val="es-MX" w:eastAsia="es-ES"/>
        </w:rPr>
        <w:t xml:space="preserve"> recibida el 22 de abril de 2016</w:t>
      </w:r>
      <w:r>
        <w:rPr>
          <w:rFonts w:ascii="Arial" w:hAnsi="Arial" w:cs="Arial"/>
          <w:color w:val="000000"/>
          <w:sz w:val="24"/>
          <w:szCs w:val="24"/>
          <w:lang w:val="es-MX" w:eastAsia="es-ES"/>
        </w:rPr>
        <w:t>, la Auditoría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Superior del Estado de conformidad con lo establecido en los artículos 18 y 19 de la Ley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Fiscalización Superior del Estado de Nuevo León, evaluó los resultados de la gestión financiera,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comprobó si el ejercicio de las Leyes de Ingresos y Egresos, y sus respectivos presupuestos se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ajustaron a los criterios señalados en los mismos, verificó el cumplimiento de las leyes, los</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reglamentos y la normatividad aplicables en materia de gestión financiera, así como los planes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desarrollo.</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tal sentido, y en cumplimiento de lo preceptuado en los artículos 137 segundo párrafo de la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Constitución Política del Estado Libre y Soberano de Nuevo León, 20 fracción XXXI, 48 primer</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párrafo y 82 fracción XV de la Ley de Fiscalización Superior del Estado de Nuevo León, </w:t>
      </w:r>
      <w:r w:rsidR="000B3CD1">
        <w:rPr>
          <w:rFonts w:ascii="Arial" w:hAnsi="Arial" w:cs="Arial"/>
          <w:color w:val="000000"/>
          <w:sz w:val="24"/>
          <w:szCs w:val="24"/>
          <w:lang w:val="es-MX" w:eastAsia="es-ES"/>
        </w:rPr>
        <w:t>la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Auditoría Superior del Estado tiene a bien rendir el Informe del Resultado de la revisión practicada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a la C</w:t>
      </w:r>
      <w:r w:rsidR="00805203">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del referido Ente Público, al H. Congreso del Estado.</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Dictamen que se presenta al inicio de este Informe del Resultado, refleja la evaluación</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practicada al manejo y aplicación de los recursos públicos y al cumplimiento de la Ley General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Contabilidad Gubernamental así como las normas contables emitidas por el Consejo Nacional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Armonización Contable (Conac).</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III de este Informe, se incluyen los objetivos y alcances de la revisión practicada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tanto a la gestión como en su caso al desempeño, incluyendo los criterios de selección y</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descripción de los procedimientos de auditoría aplicados.</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IV se presenta una descripción de los elementos revisados y resultados obtenidos</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en la revisión, respecto de:</w:t>
      </w:r>
    </w:p>
    <w:p w:rsidR="00A26A02" w:rsidRDefault="00A26A02" w:rsidP="00381B3B">
      <w:pPr>
        <w:autoSpaceDE w:val="0"/>
        <w:autoSpaceDN w:val="0"/>
        <w:adjustRightInd w:val="0"/>
        <w:spacing w:after="0"/>
        <w:jc w:val="both"/>
        <w:rPr>
          <w:rFonts w:ascii="Arial" w:hAnsi="Arial" w:cs="Arial"/>
          <w:color w:val="000000"/>
          <w:sz w:val="24"/>
          <w:szCs w:val="24"/>
          <w:lang w:val="es-MX" w:eastAsia="es-ES"/>
        </w:rPr>
      </w:pPr>
    </w:p>
    <w:p w:rsidR="00A26A02" w:rsidRDefault="00472E65" w:rsidP="00A26A02">
      <w:pPr>
        <w:pStyle w:val="Prrafodelista"/>
        <w:numPr>
          <w:ilvl w:val="0"/>
          <w:numId w:val="16"/>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La evaluación de la gestión financiera y del gasto público;</w:t>
      </w:r>
    </w:p>
    <w:p w:rsidR="00A26A02" w:rsidRDefault="00472E65" w:rsidP="00A26A02">
      <w:pPr>
        <w:pStyle w:val="Prrafodelista"/>
        <w:numPr>
          <w:ilvl w:val="0"/>
          <w:numId w:val="16"/>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lastRenderedPageBreak/>
        <w:t>Cumplimiento de la Ley General de Contabilidad Gubernamental y de las disposiciones</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contenidas en los ordenamientos y normativa correspondientes;</w:t>
      </w:r>
    </w:p>
    <w:p w:rsidR="00472E65" w:rsidRDefault="00472E65" w:rsidP="00A26A02">
      <w:pPr>
        <w:pStyle w:val="Prrafodelista"/>
        <w:numPr>
          <w:ilvl w:val="0"/>
          <w:numId w:val="16"/>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La evaluación del avance o cumplimiento de los programas y subprogramas aprobados.</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V del presente Informe, se detallan las observaciones no solventadas derivadas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la revisión practicada, con las aclaraciones presentadas por los funcionarios responsables, los</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análisis de las mismas preparados por este Órgano de Fiscalización, así como las acciones que se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ejercerán, recomendaciones que se formularán las cuales se notificarán una vez entregado el</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Informe del Resultado al H. Congreso del Estado, en términos de lo dispuesto en el artículo 54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la Ley de Fiscalización Superior del Estado de Nuevo León.</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Finalmente, se informa sobre la situación que guardan las observaciones, recomendaciones y</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acciones promovidas por </w:t>
      </w:r>
      <w:r w:rsidR="000B3CD1">
        <w:rPr>
          <w:rFonts w:ascii="Arial" w:hAnsi="Arial" w:cs="Arial"/>
          <w:color w:val="000000"/>
          <w:sz w:val="24"/>
          <w:szCs w:val="24"/>
          <w:lang w:val="es-MX" w:eastAsia="es-ES"/>
        </w:rPr>
        <w:t>la</w:t>
      </w:r>
      <w:r>
        <w:rPr>
          <w:rFonts w:ascii="Arial" w:hAnsi="Arial" w:cs="Arial"/>
          <w:color w:val="000000"/>
          <w:sz w:val="24"/>
          <w:szCs w:val="24"/>
          <w:lang w:val="es-MX" w:eastAsia="es-ES"/>
        </w:rPr>
        <w:t xml:space="preserve"> Auditoría Superior del Estado en la fiscalización de las Cuentas</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Públicas de ejercicios anteriores.</w:t>
      </w:r>
    </w:p>
    <w:p w:rsidR="00A26A02" w:rsidRDefault="00A26A02" w:rsidP="00381B3B">
      <w:pPr>
        <w:autoSpaceDE w:val="0"/>
        <w:autoSpaceDN w:val="0"/>
        <w:adjustRightInd w:val="0"/>
        <w:spacing w:after="0"/>
        <w:jc w:val="both"/>
        <w:rPr>
          <w:rFonts w:ascii="Arial" w:hAnsi="Arial" w:cs="Arial"/>
          <w:color w:val="000000"/>
          <w:sz w:val="24"/>
          <w:szCs w:val="24"/>
          <w:lang w:val="es-MX" w:eastAsia="es-ES"/>
        </w:rPr>
      </w:pPr>
    </w:p>
    <w:p w:rsidR="00472E65" w:rsidRPr="00A26A02" w:rsidRDefault="00472E65" w:rsidP="00A26A02">
      <w:pPr>
        <w:pStyle w:val="Prrafodelista"/>
        <w:numPr>
          <w:ilvl w:val="0"/>
          <w:numId w:val="15"/>
        </w:numPr>
        <w:autoSpaceDE w:val="0"/>
        <w:autoSpaceDN w:val="0"/>
        <w:adjustRightInd w:val="0"/>
        <w:spacing w:after="0"/>
        <w:jc w:val="both"/>
        <w:rPr>
          <w:rFonts w:ascii="Arial" w:hAnsi="Arial" w:cs="Arial"/>
          <w:b/>
          <w:bCs/>
          <w:color w:val="000000"/>
          <w:sz w:val="24"/>
          <w:szCs w:val="24"/>
          <w:lang w:val="es-MX" w:eastAsia="es-ES"/>
        </w:rPr>
      </w:pPr>
      <w:r w:rsidRPr="00A26A02">
        <w:rPr>
          <w:rFonts w:ascii="Arial" w:hAnsi="Arial" w:cs="Arial"/>
          <w:b/>
          <w:bCs/>
          <w:color w:val="000000"/>
          <w:sz w:val="24"/>
          <w:szCs w:val="24"/>
          <w:lang w:val="es-MX" w:eastAsia="es-ES"/>
        </w:rPr>
        <w:t>Entidad objeto de la revisión</w:t>
      </w:r>
    </w:p>
    <w:p w:rsidR="00A26A02" w:rsidRPr="00A26A02" w:rsidRDefault="00A26A02" w:rsidP="00A26A02">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I</w:t>
      </w:r>
      <w:r w:rsidR="0004049B">
        <w:rPr>
          <w:rFonts w:ascii="Arial" w:hAnsi="Arial" w:cs="Arial"/>
          <w:color w:val="000000"/>
          <w:sz w:val="24"/>
          <w:szCs w:val="24"/>
          <w:lang w:val="es-MX" w:eastAsia="es-ES"/>
        </w:rPr>
        <w:t>INSTITUTO DEL AGUA DEL ESTADO DE NUEVO LEÓN</w:t>
      </w:r>
      <w:r>
        <w:rPr>
          <w:rFonts w:ascii="Arial" w:hAnsi="Arial" w:cs="Arial"/>
          <w:color w:val="000000"/>
          <w:sz w:val="24"/>
          <w:szCs w:val="24"/>
          <w:lang w:val="es-MX" w:eastAsia="es-ES"/>
        </w:rPr>
        <w:t>, es un Organismo Descentralizado, creado</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mediante acuerdo emitido por el Poder Ejecutivo del Estado y publicado por el Periódico Oficial del</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Estado según decreto 382 del 16 de agosto de 2006, formando parte de la Administración Pública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Estatal, cuenta con personalidad jurídica y patrimonio propio y tiene autonomía técnica y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gestión para el cumplimiento de su objeto.</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decreto de la creación del Ente Público, contempla que dentro del patrimonio del Instituto,</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quedarán los bienes y obligaciones que antes de dicha creación ostentó el I</w:t>
      </w:r>
      <w:r w:rsidR="0004049B">
        <w:rPr>
          <w:rFonts w:ascii="Arial" w:hAnsi="Arial" w:cs="Arial"/>
          <w:color w:val="000000"/>
          <w:sz w:val="24"/>
          <w:szCs w:val="24"/>
          <w:lang w:val="es-MX" w:eastAsia="es-ES"/>
        </w:rPr>
        <w:t>INSTITUTO DEL AGUA DEL ESTADO DE NUEVO LEÓN</w:t>
      </w:r>
      <w:r>
        <w:rPr>
          <w:rFonts w:ascii="Arial" w:hAnsi="Arial" w:cs="Arial"/>
          <w:color w:val="000000"/>
          <w:sz w:val="24"/>
          <w:szCs w:val="24"/>
          <w:lang w:val="es-MX" w:eastAsia="es-ES"/>
        </w:rPr>
        <w:t xml:space="preserve">, Órgano Administrativo Desconcentrado de Servicios de Agua y </w:t>
      </w:r>
      <w:r>
        <w:rPr>
          <w:rFonts w:ascii="Arial" w:hAnsi="Arial" w:cs="Arial"/>
          <w:color w:val="000000"/>
          <w:sz w:val="24"/>
          <w:szCs w:val="24"/>
          <w:lang w:val="es-MX" w:eastAsia="es-ES"/>
        </w:rPr>
        <w:lastRenderedPageBreak/>
        <w:t>Drenaje de</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Monterrey, I.P.D. Lo mencionado con anterioridad cubre activos fijos adquiridos, arrendamientos y</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otros contratos celebrados bajo cualquier figura jurídica, el personal que prestó sus servicios</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también pasa a formar parte del Instituto de nueva creación.</w:t>
      </w: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Ente Público tiene por objeto entre otros:</w:t>
      </w:r>
    </w:p>
    <w:p w:rsidR="00A26A02" w:rsidRDefault="00A26A02" w:rsidP="00381B3B">
      <w:pPr>
        <w:autoSpaceDE w:val="0"/>
        <w:autoSpaceDN w:val="0"/>
        <w:adjustRightInd w:val="0"/>
        <w:spacing w:after="0"/>
        <w:jc w:val="both"/>
        <w:rPr>
          <w:rFonts w:ascii="Arial" w:hAnsi="Arial" w:cs="Arial"/>
          <w:color w:val="000000"/>
          <w:sz w:val="24"/>
          <w:szCs w:val="24"/>
          <w:lang w:val="es-MX" w:eastAsia="es-ES"/>
        </w:rPr>
      </w:pPr>
    </w:p>
    <w:p w:rsidR="00A26A02"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Fomentar la cultura del uso y conservación del agua como un recurso natural, escaso y vital para</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la supervivencia, así como la difusión de métodos de ahorro y buen manejo de este elemento;</w:t>
      </w:r>
    </w:p>
    <w:p w:rsidR="00A26A02"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Desarrollar disciplinas de investigación científica básica aplicada; así como nuevas tecnologías</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y procesos para el conocimiento sustentable del manejo de agua;</w:t>
      </w:r>
    </w:p>
    <w:p w:rsidR="00A26A02"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Otorgar asistencia técnica a los usuarios de los procesos, equipos o productos, resultantes de</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la tecnología del propio Instituto;</w:t>
      </w:r>
    </w:p>
    <w:p w:rsidR="00A26A02"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Proponer lineamientos para una política pública en materia hidráulica de cobertura estatal y</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nacional y contribuir en la solución de la problemática de los temas relacionados con el agua y la</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conservación de mantos acuíferos que aseguren el abasto permanente;</w:t>
      </w:r>
    </w:p>
    <w:p w:rsidR="00A26A02"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Establecer vínculos de información y colaboración científica y tecnológica con entidades</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públicas o privadas, nacionales y extranjeras que se relacionen con la materia;</w:t>
      </w:r>
    </w:p>
    <w:p w:rsidR="00A26A02"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Contribuir en la formación de profesores, especialistas, investigadores y personal de recursos</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humanos calificados en general en las áreas relativas a la conservación, uso, aprovechamiento,</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explotación, manejo y tratamiento adecuado del agua, conjuntamente con universidades y centros</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académicos de investigación, públicos y privados, así como otorgar y administrar becas;</w:t>
      </w:r>
    </w:p>
    <w:p w:rsidR="00A26A02"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Propiciar la participación y compromiso de las instituciones públicas y privadas y, en general,</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de los integrantes de la sociedad, en el desarrollo de actividades relacionadas con el objeto del</w:t>
      </w:r>
      <w:r w:rsidR="00A26A02" w:rsidRPr="00A26A02">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Instituto; y</w:t>
      </w:r>
    </w:p>
    <w:p w:rsidR="00472E65" w:rsidRDefault="00472E65" w:rsidP="00A26A02">
      <w:pPr>
        <w:pStyle w:val="Prrafodelista"/>
        <w:numPr>
          <w:ilvl w:val="0"/>
          <w:numId w:val="17"/>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lastRenderedPageBreak/>
        <w:t>Realizar todo tipo de actos materiales y jurídicos relacionados con las fracciones anteriores.</w:t>
      </w:r>
    </w:p>
    <w:p w:rsidR="00A26A02" w:rsidRPr="00A26A02" w:rsidRDefault="00A26A02" w:rsidP="00A26A02">
      <w:pPr>
        <w:autoSpaceDE w:val="0"/>
        <w:autoSpaceDN w:val="0"/>
        <w:adjustRightInd w:val="0"/>
        <w:spacing w:after="0"/>
        <w:jc w:val="both"/>
        <w:rPr>
          <w:rFonts w:ascii="Arial" w:hAnsi="Arial" w:cs="Arial"/>
          <w:color w:val="000000"/>
          <w:sz w:val="24"/>
          <w:szCs w:val="24"/>
          <w:lang w:val="es-MX" w:eastAsia="es-ES"/>
        </w:rPr>
      </w:pPr>
    </w:p>
    <w:p w:rsidR="00472E65" w:rsidRPr="00A26A02" w:rsidRDefault="00472E65" w:rsidP="00A26A02">
      <w:pPr>
        <w:pStyle w:val="Prrafodelista"/>
        <w:numPr>
          <w:ilvl w:val="0"/>
          <w:numId w:val="15"/>
        </w:numPr>
        <w:autoSpaceDE w:val="0"/>
        <w:autoSpaceDN w:val="0"/>
        <w:adjustRightInd w:val="0"/>
        <w:spacing w:after="0"/>
        <w:jc w:val="both"/>
        <w:rPr>
          <w:rFonts w:ascii="Arial" w:hAnsi="Arial" w:cs="Arial"/>
          <w:b/>
          <w:bCs/>
          <w:color w:val="000000"/>
          <w:sz w:val="24"/>
          <w:szCs w:val="24"/>
          <w:lang w:val="es-MX" w:eastAsia="es-ES"/>
        </w:rPr>
      </w:pPr>
      <w:r w:rsidRPr="00A26A02">
        <w:rPr>
          <w:rFonts w:ascii="Arial" w:hAnsi="Arial" w:cs="Arial"/>
          <w:b/>
          <w:bCs/>
          <w:color w:val="000000"/>
          <w:sz w:val="24"/>
          <w:szCs w:val="24"/>
          <w:lang w:val="es-MX" w:eastAsia="es-ES"/>
        </w:rPr>
        <w:t>Objetivos y alcances de la revisión practicada tanto a la gestión como al desempeño,</w:t>
      </w:r>
      <w:r w:rsidR="00A26A02" w:rsidRPr="00A26A02">
        <w:rPr>
          <w:rFonts w:ascii="Arial" w:hAnsi="Arial" w:cs="Arial"/>
          <w:b/>
          <w:bCs/>
          <w:color w:val="000000"/>
          <w:sz w:val="24"/>
          <w:szCs w:val="24"/>
          <w:lang w:val="es-MX" w:eastAsia="es-ES"/>
        </w:rPr>
        <w:t xml:space="preserve"> </w:t>
      </w:r>
      <w:r w:rsidRPr="00A26A02">
        <w:rPr>
          <w:rFonts w:ascii="Arial" w:hAnsi="Arial" w:cs="Arial"/>
          <w:b/>
          <w:bCs/>
          <w:color w:val="000000"/>
          <w:sz w:val="24"/>
          <w:szCs w:val="24"/>
          <w:lang w:val="es-MX" w:eastAsia="es-ES"/>
        </w:rPr>
        <w:t>incluyendo los criterios de selección y descripción de los procedimientos de auditoría</w:t>
      </w:r>
      <w:r w:rsidR="00A26A02" w:rsidRPr="00A26A02">
        <w:rPr>
          <w:rFonts w:ascii="Arial" w:hAnsi="Arial" w:cs="Arial"/>
          <w:b/>
          <w:bCs/>
          <w:color w:val="000000"/>
          <w:sz w:val="24"/>
          <w:szCs w:val="24"/>
          <w:lang w:val="es-MX" w:eastAsia="es-ES"/>
        </w:rPr>
        <w:t xml:space="preserve"> </w:t>
      </w:r>
      <w:r w:rsidRPr="00A26A02">
        <w:rPr>
          <w:rFonts w:ascii="Arial" w:hAnsi="Arial" w:cs="Arial"/>
          <w:b/>
          <w:bCs/>
          <w:color w:val="000000"/>
          <w:sz w:val="24"/>
          <w:szCs w:val="24"/>
          <w:lang w:val="es-MX" w:eastAsia="es-ES"/>
        </w:rPr>
        <w:t>aplicados</w:t>
      </w:r>
    </w:p>
    <w:p w:rsidR="00A26A02" w:rsidRPr="00A26A02" w:rsidRDefault="00A26A02" w:rsidP="00A26A02">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472E65" w:rsidRPr="00A26A02" w:rsidRDefault="00472E65" w:rsidP="00A26A02">
      <w:pPr>
        <w:pStyle w:val="Prrafodelista"/>
        <w:numPr>
          <w:ilvl w:val="0"/>
          <w:numId w:val="18"/>
        </w:numPr>
        <w:autoSpaceDE w:val="0"/>
        <w:autoSpaceDN w:val="0"/>
        <w:adjustRightInd w:val="0"/>
        <w:spacing w:after="0"/>
        <w:jc w:val="both"/>
        <w:rPr>
          <w:rFonts w:ascii="Arial" w:hAnsi="Arial" w:cs="Arial"/>
          <w:b/>
          <w:bCs/>
          <w:color w:val="000000"/>
          <w:sz w:val="24"/>
          <w:szCs w:val="24"/>
          <w:lang w:val="es-MX" w:eastAsia="es-ES"/>
        </w:rPr>
      </w:pPr>
      <w:r w:rsidRPr="00A26A02">
        <w:rPr>
          <w:rFonts w:ascii="Arial" w:hAnsi="Arial" w:cs="Arial"/>
          <w:b/>
          <w:bCs/>
          <w:color w:val="000000"/>
          <w:sz w:val="24"/>
          <w:szCs w:val="24"/>
          <w:lang w:val="es-MX" w:eastAsia="es-ES"/>
        </w:rPr>
        <w:t>Auditorías programadas por tipo o materia</w:t>
      </w:r>
    </w:p>
    <w:p w:rsidR="00A26A02" w:rsidRDefault="00A26A02" w:rsidP="00381B3B">
      <w:pPr>
        <w:autoSpaceDE w:val="0"/>
        <w:autoSpaceDN w:val="0"/>
        <w:adjustRightInd w:val="0"/>
        <w:spacing w:after="0"/>
        <w:jc w:val="both"/>
        <w:rPr>
          <w:rFonts w:ascii="Arial" w:hAnsi="Arial" w:cs="Arial"/>
          <w:b/>
          <w:bCs/>
          <w:color w:val="000000"/>
          <w:sz w:val="24"/>
          <w:szCs w:val="24"/>
          <w:lang w:val="es-MX" w:eastAsia="es-ES"/>
        </w:rPr>
      </w:pPr>
    </w:p>
    <w:p w:rsidR="00544663" w:rsidRDefault="00472E65" w:rsidP="00A26A02">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Con base en los criterios generales y particulares para la planeación específica utilizada en la</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integración del </w:t>
      </w:r>
      <w:r w:rsidR="00581E10">
        <w:rPr>
          <w:rFonts w:ascii="Arial" w:hAnsi="Arial" w:cs="Arial"/>
          <w:color w:val="000000"/>
          <w:sz w:val="24"/>
          <w:szCs w:val="24"/>
          <w:lang w:val="es-MX" w:eastAsia="es-ES"/>
        </w:rPr>
        <w:t>Programa Anual de Auditoría 2016</w:t>
      </w:r>
      <w:r>
        <w:rPr>
          <w:rFonts w:ascii="Arial" w:hAnsi="Arial" w:cs="Arial"/>
          <w:color w:val="000000"/>
          <w:sz w:val="24"/>
          <w:szCs w:val="24"/>
          <w:lang w:val="es-MX" w:eastAsia="es-ES"/>
        </w:rPr>
        <w:t xml:space="preserve"> para la Fiscalización de las Cuentas Públicas</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correspondientes al ejercicio </w:t>
      </w:r>
      <w:r w:rsidR="00581E10">
        <w:rPr>
          <w:rFonts w:ascii="Arial" w:hAnsi="Arial" w:cs="Arial"/>
          <w:color w:val="000000"/>
          <w:sz w:val="24"/>
          <w:szCs w:val="24"/>
          <w:lang w:val="es-MX" w:eastAsia="es-ES"/>
        </w:rPr>
        <w:t>2015</w:t>
      </w:r>
      <w:r>
        <w:rPr>
          <w:rFonts w:ascii="Arial" w:hAnsi="Arial" w:cs="Arial"/>
          <w:color w:val="000000"/>
          <w:sz w:val="24"/>
          <w:szCs w:val="24"/>
          <w:lang w:val="es-MX" w:eastAsia="es-ES"/>
        </w:rPr>
        <w:t>, presentado ante ese H. Congreso del Estado, para su</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conocimiento, por conducto de la Comisión de Vigilancia, en fecha </w:t>
      </w:r>
      <w:r w:rsidR="00581E10">
        <w:rPr>
          <w:rFonts w:ascii="Arial" w:hAnsi="Arial" w:cs="Arial"/>
          <w:color w:val="000000"/>
          <w:sz w:val="24"/>
          <w:szCs w:val="24"/>
          <w:lang w:val="es-MX" w:eastAsia="es-ES"/>
        </w:rPr>
        <w:t>14 de Junio</w:t>
      </w:r>
      <w:r>
        <w:rPr>
          <w:rFonts w:ascii="Arial" w:hAnsi="Arial" w:cs="Arial"/>
          <w:color w:val="000000"/>
          <w:sz w:val="24"/>
          <w:szCs w:val="24"/>
          <w:lang w:val="es-MX" w:eastAsia="es-ES"/>
        </w:rPr>
        <w:t xml:space="preserve"> del presente año, y</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considerando la importancia, pertinencia y factibilidad de su realización, se determinaron las</w:t>
      </w:r>
      <w:r w:rsidR="00A26A02">
        <w:rPr>
          <w:rFonts w:ascii="Arial" w:hAnsi="Arial" w:cs="Arial"/>
          <w:color w:val="000000"/>
          <w:sz w:val="24"/>
          <w:szCs w:val="24"/>
          <w:lang w:val="es-MX" w:eastAsia="es-ES"/>
        </w:rPr>
        <w:t xml:space="preserve"> </w:t>
      </w:r>
      <w:r>
        <w:rPr>
          <w:rFonts w:ascii="Arial" w:hAnsi="Arial" w:cs="Arial"/>
          <w:color w:val="000000"/>
          <w:sz w:val="24"/>
          <w:szCs w:val="24"/>
          <w:lang w:val="es-MX" w:eastAsia="es-ES"/>
        </w:rPr>
        <w:t>siguientes auditorías a practicar al Ente Público en cuestión, por tipo o materia, a saber:</w:t>
      </w:r>
    </w:p>
    <w:p w:rsidR="00A26A02" w:rsidRDefault="00A26A02" w:rsidP="00381B3B">
      <w:pPr>
        <w:autoSpaceDE w:val="0"/>
        <w:autoSpaceDN w:val="0"/>
        <w:adjustRightInd w:val="0"/>
        <w:spacing w:after="0"/>
        <w:jc w:val="both"/>
        <w:rPr>
          <w:rFonts w:ascii="Arial" w:hAnsi="Arial" w:cs="Arial"/>
          <w:color w:val="000000"/>
          <w:sz w:val="24"/>
          <w:szCs w:val="24"/>
          <w:lang w:val="es-MX"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5"/>
        <w:gridCol w:w="950"/>
        <w:gridCol w:w="936"/>
        <w:gridCol w:w="803"/>
        <w:gridCol w:w="936"/>
        <w:gridCol w:w="936"/>
        <w:gridCol w:w="936"/>
        <w:gridCol w:w="618"/>
      </w:tblGrid>
      <w:tr w:rsidR="00581E10" w:rsidRPr="00190CC1" w:rsidTr="00581E10">
        <w:trPr>
          <w:trHeight w:val="300"/>
          <w:tblHeader/>
          <w:jc w:val="center"/>
        </w:trPr>
        <w:tc>
          <w:tcPr>
            <w:tcW w:w="1192"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581E10" w:rsidRPr="00190CC1" w:rsidRDefault="00581E10" w:rsidP="00805203">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581E10" w:rsidRPr="00190CC1" w:rsidRDefault="00581E10" w:rsidP="00805203">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581E10" w:rsidRPr="00190CC1" w:rsidTr="00581E10">
        <w:trPr>
          <w:trHeight w:val="375"/>
          <w:tblHeader/>
          <w:jc w:val="center"/>
        </w:trPr>
        <w:tc>
          <w:tcPr>
            <w:tcW w:w="1192"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581E10" w:rsidRPr="00190CC1" w:rsidRDefault="00581E10" w:rsidP="00805203">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E10" w:rsidRPr="00190CC1" w:rsidRDefault="00581E10" w:rsidP="0080520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E10" w:rsidRPr="00190CC1" w:rsidRDefault="00581E10" w:rsidP="0080520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E10" w:rsidRPr="00190CC1" w:rsidRDefault="00581E10" w:rsidP="0080520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E10" w:rsidRPr="00190CC1" w:rsidRDefault="00581E10" w:rsidP="0080520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E10" w:rsidRPr="00190CC1" w:rsidRDefault="00581E10" w:rsidP="0080520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E10" w:rsidRPr="00190CC1" w:rsidRDefault="00581E10" w:rsidP="0080520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E10" w:rsidRPr="00190CC1" w:rsidRDefault="00581E10" w:rsidP="00805203">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581E10" w:rsidRPr="006F0BA3" w:rsidTr="00581E10">
        <w:trPr>
          <w:cantSplit/>
          <w:trHeight w:val="315"/>
          <w:jc w:val="center"/>
        </w:trPr>
        <w:tc>
          <w:tcPr>
            <w:tcW w:w="119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81E10" w:rsidRPr="006F0BA3" w:rsidRDefault="00581E10" w:rsidP="00805203">
            <w:pPr>
              <w:jc w:val="center"/>
              <w:rPr>
                <w:rFonts w:ascii="Arial" w:hAnsi="Arial" w:cs="Arial"/>
                <w:b/>
                <w:bCs/>
                <w:sz w:val="14"/>
                <w:szCs w:val="14"/>
                <w:lang w:eastAsia="es-MX"/>
              </w:rPr>
            </w:pPr>
            <w:r w:rsidRPr="006F0BA3">
              <w:rPr>
                <w:rFonts w:ascii="Arial" w:hAnsi="Arial" w:cs="Arial"/>
                <w:sz w:val="16"/>
                <w:szCs w:val="16"/>
              </w:rPr>
              <w:t>Instituto del Agua del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E10" w:rsidRPr="006F0BA3" w:rsidRDefault="00581E10" w:rsidP="00805203">
            <w:pPr>
              <w:jc w:val="center"/>
              <w:rPr>
                <w:rFonts w:ascii="Arial" w:hAnsi="Arial" w:cs="Arial"/>
                <w:b/>
                <w:bCs/>
                <w:sz w:val="14"/>
                <w:szCs w:val="14"/>
                <w:lang w:eastAsia="es-MX"/>
              </w:rPr>
            </w:pPr>
            <w:r w:rsidRPr="006F0BA3">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E10" w:rsidRPr="006F0BA3" w:rsidRDefault="00581E10" w:rsidP="00805203">
            <w:pPr>
              <w:jc w:val="center"/>
              <w:rPr>
                <w:rFonts w:ascii="Arial" w:hAnsi="Arial" w:cs="Arial"/>
                <w:b/>
                <w:bCs/>
                <w:sz w:val="14"/>
                <w:szCs w:val="14"/>
                <w:lang w:eastAsia="es-MX"/>
              </w:rPr>
            </w:pPr>
            <w:r w:rsidRPr="006F0BA3">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E10" w:rsidRPr="006F0BA3" w:rsidRDefault="00581E10" w:rsidP="00805203">
            <w:pPr>
              <w:jc w:val="center"/>
              <w:rPr>
                <w:rFonts w:ascii="Arial" w:hAnsi="Arial" w:cs="Arial"/>
                <w:b/>
                <w:bCs/>
                <w:sz w:val="14"/>
                <w:szCs w:val="14"/>
                <w:lang w:eastAsia="es-MX"/>
              </w:rPr>
            </w:pPr>
            <w:r w:rsidRPr="006F0BA3">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E10" w:rsidRPr="006F0BA3" w:rsidRDefault="00581E10" w:rsidP="00805203">
            <w:pPr>
              <w:jc w:val="center"/>
              <w:rPr>
                <w:rFonts w:ascii="Arial" w:hAnsi="Arial" w:cs="Arial"/>
                <w:b/>
                <w:bCs/>
                <w:sz w:val="14"/>
                <w:szCs w:val="14"/>
                <w:lang w:eastAsia="es-MX"/>
              </w:rPr>
            </w:pPr>
            <w:r w:rsidRPr="006F0BA3">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E10" w:rsidRPr="006F0BA3" w:rsidRDefault="00581E10" w:rsidP="00805203">
            <w:pPr>
              <w:jc w:val="center"/>
              <w:rPr>
                <w:rFonts w:ascii="Arial" w:hAnsi="Arial" w:cs="Arial"/>
                <w:b/>
                <w:bCs/>
                <w:sz w:val="14"/>
                <w:szCs w:val="14"/>
                <w:lang w:eastAsia="es-MX"/>
              </w:rPr>
            </w:pPr>
            <w:r w:rsidRPr="006F0BA3">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E10" w:rsidRPr="006F0BA3" w:rsidRDefault="00581E10" w:rsidP="00805203">
            <w:pPr>
              <w:jc w:val="center"/>
              <w:rPr>
                <w:rFonts w:ascii="Arial" w:hAnsi="Arial" w:cs="Arial"/>
                <w:b/>
                <w:bCs/>
                <w:sz w:val="14"/>
                <w:szCs w:val="14"/>
                <w:lang w:eastAsia="es-MX"/>
              </w:rPr>
            </w:pPr>
            <w:r w:rsidRPr="006F0BA3">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E10" w:rsidRPr="006F0BA3" w:rsidRDefault="00581E10" w:rsidP="00805203">
            <w:pPr>
              <w:jc w:val="center"/>
              <w:rPr>
                <w:rFonts w:ascii="Arial" w:hAnsi="Arial" w:cs="Arial"/>
                <w:b/>
                <w:bCs/>
                <w:sz w:val="14"/>
                <w:szCs w:val="14"/>
                <w:lang w:eastAsia="es-MX"/>
              </w:rPr>
            </w:pPr>
            <w:r w:rsidRPr="006F0BA3">
              <w:rPr>
                <w:rFonts w:ascii="Arial" w:hAnsi="Arial" w:cs="Arial"/>
                <w:b/>
                <w:bCs/>
                <w:sz w:val="14"/>
                <w:szCs w:val="14"/>
                <w:lang w:eastAsia="es-MX"/>
              </w:rPr>
              <w:t>1</w:t>
            </w:r>
          </w:p>
        </w:tc>
      </w:tr>
    </w:tbl>
    <w:p w:rsidR="00581E10" w:rsidRPr="00793CBF" w:rsidRDefault="00581E10" w:rsidP="00581E10">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472E65" w:rsidRDefault="00472E65" w:rsidP="00381B3B">
      <w:pPr>
        <w:autoSpaceDE w:val="0"/>
        <w:autoSpaceDN w:val="0"/>
        <w:adjustRightInd w:val="0"/>
        <w:spacing w:after="0"/>
        <w:jc w:val="both"/>
        <w:rPr>
          <w:rFonts w:ascii="Arial" w:hAnsi="Arial" w:cs="Arial"/>
          <w:sz w:val="24"/>
          <w:szCs w:val="24"/>
          <w:lang w:val="es-MX" w:eastAsia="es-ES"/>
        </w:rPr>
      </w:pPr>
    </w:p>
    <w:p w:rsidR="00A26A02" w:rsidRDefault="00A26A02" w:rsidP="00A26A02">
      <w:pPr>
        <w:pStyle w:val="Prrafodelista"/>
        <w:numPr>
          <w:ilvl w:val="0"/>
          <w:numId w:val="18"/>
        </w:numPr>
        <w:autoSpaceDE w:val="0"/>
        <w:autoSpaceDN w:val="0"/>
        <w:adjustRightInd w:val="0"/>
        <w:spacing w:after="0"/>
        <w:jc w:val="both"/>
        <w:rPr>
          <w:rFonts w:ascii="Arial" w:hAnsi="Arial" w:cs="Arial"/>
          <w:b/>
          <w:bCs/>
          <w:color w:val="000000"/>
          <w:sz w:val="24"/>
          <w:szCs w:val="24"/>
          <w:lang w:val="es-MX" w:eastAsia="es-ES"/>
        </w:rPr>
      </w:pPr>
      <w:r w:rsidRPr="00A26A02">
        <w:rPr>
          <w:rFonts w:ascii="Arial" w:hAnsi="Arial" w:cs="Arial"/>
          <w:b/>
          <w:bCs/>
          <w:color w:val="000000"/>
          <w:sz w:val="24"/>
          <w:szCs w:val="24"/>
          <w:lang w:val="es-MX" w:eastAsia="es-ES"/>
        </w:rPr>
        <w:t>Objetivos y alcances de la revisión practicada</w:t>
      </w:r>
    </w:p>
    <w:p w:rsidR="00A26A02" w:rsidRPr="00A26A02" w:rsidRDefault="00A26A02" w:rsidP="00A26A02">
      <w:pPr>
        <w:pStyle w:val="Prrafodelista"/>
        <w:autoSpaceDE w:val="0"/>
        <w:autoSpaceDN w:val="0"/>
        <w:adjustRightInd w:val="0"/>
        <w:spacing w:after="0"/>
        <w:jc w:val="both"/>
        <w:rPr>
          <w:rFonts w:ascii="Arial" w:hAnsi="Arial" w:cs="Arial"/>
          <w:b/>
          <w:bCs/>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 xml:space="preserve">En la implementación y ejecución del </w:t>
      </w:r>
      <w:r w:rsidR="00581E10">
        <w:rPr>
          <w:rFonts w:ascii="Arial" w:hAnsi="Arial" w:cs="Arial"/>
          <w:color w:val="000000"/>
          <w:sz w:val="24"/>
          <w:szCs w:val="24"/>
          <w:lang w:val="es-MX" w:eastAsia="es-ES"/>
        </w:rPr>
        <w:t>Programa Anual de Auditoría 2016</w:t>
      </w:r>
      <w:r w:rsidRPr="00A26A02">
        <w:rPr>
          <w:rFonts w:ascii="Arial" w:hAnsi="Arial" w:cs="Arial"/>
          <w:color w:val="000000"/>
          <w:sz w:val="24"/>
          <w:szCs w:val="24"/>
          <w:lang w:val="es-MX" w:eastAsia="es-ES"/>
        </w:rPr>
        <w:t xml:space="preserve"> para la revisión y</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 xml:space="preserve">fiscalización de las Cuentas Públicas correspondientes </w:t>
      </w:r>
      <w:r w:rsidR="00581E10">
        <w:rPr>
          <w:rFonts w:ascii="Arial" w:hAnsi="Arial" w:cs="Arial"/>
          <w:color w:val="000000"/>
          <w:sz w:val="24"/>
          <w:szCs w:val="24"/>
          <w:lang w:val="es-MX" w:eastAsia="es-ES"/>
        </w:rPr>
        <w:lastRenderedPageBreak/>
        <w:t>al ejercicio 2015</w:t>
      </w:r>
      <w:r w:rsidRPr="00A26A02">
        <w:rPr>
          <w:rFonts w:ascii="Arial" w:hAnsi="Arial" w:cs="Arial"/>
          <w:color w:val="000000"/>
          <w:sz w:val="24"/>
          <w:szCs w:val="24"/>
          <w:lang w:val="es-MX" w:eastAsia="es-ES"/>
        </w:rPr>
        <w:t>, entre las cuales se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encuentra el Ente Público auditado en cuestión, se observaron métodos y criterios objetivos,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aplicando las mejores prácticas y procedimientos de auditoría.</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En ese sentido, en observancia de lo preceptuado en los artículos 18, 19, 31 y 32 de la Ley de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Fiscalización Superior del Estado de Nuevo León y acorde en cada caso con el tipo o materia de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auditoría practicada, en los términos previamente anunciados, el objeto y alcances de la revisión y</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fiscalización, fue el siguiente:</w:t>
      </w:r>
    </w:p>
    <w:p w:rsidR="00A26A02" w:rsidRPr="00A26A02" w:rsidRDefault="00A26A02" w:rsidP="00A26A02">
      <w:pPr>
        <w:autoSpaceDE w:val="0"/>
        <w:autoSpaceDN w:val="0"/>
        <w:adjustRightInd w:val="0"/>
        <w:spacing w:after="0"/>
        <w:jc w:val="both"/>
        <w:rPr>
          <w:rFonts w:ascii="Arial" w:hAnsi="Arial" w:cs="Arial"/>
          <w:color w:val="000000"/>
          <w:sz w:val="24"/>
          <w:szCs w:val="24"/>
          <w:lang w:val="es-MX" w:eastAsia="es-ES"/>
        </w:rPr>
      </w:pPr>
    </w:p>
    <w:p w:rsidR="00A26A02" w:rsidRPr="00A26A02" w:rsidRDefault="00A26A02" w:rsidP="00A26A02">
      <w:pPr>
        <w:pStyle w:val="Prrafodelista"/>
        <w:numPr>
          <w:ilvl w:val="0"/>
          <w:numId w:val="19"/>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Para evaluar los resultados de la gestión financiera, se verificó:</w:t>
      </w:r>
    </w:p>
    <w:p w:rsidR="00A26A02" w:rsidRPr="00A26A02" w:rsidRDefault="00A26A02" w:rsidP="00A26A02">
      <w:pPr>
        <w:pStyle w:val="Prrafodelista"/>
        <w:autoSpaceDE w:val="0"/>
        <w:autoSpaceDN w:val="0"/>
        <w:adjustRightInd w:val="0"/>
        <w:spacing w:after="0"/>
        <w:ind w:left="1080"/>
        <w:jc w:val="both"/>
        <w:rPr>
          <w:rFonts w:ascii="Arial" w:hAnsi="Arial" w:cs="Arial"/>
          <w:color w:val="000000"/>
          <w:sz w:val="24"/>
          <w:szCs w:val="24"/>
          <w:lang w:val="es-MX" w:eastAsia="es-ES"/>
        </w:rPr>
      </w:pPr>
    </w:p>
    <w:p w:rsidR="00A26A02" w:rsidRDefault="00A26A02" w:rsidP="00A26A02">
      <w:pPr>
        <w:pStyle w:val="Prrafodelista"/>
        <w:numPr>
          <w:ilvl w:val="0"/>
          <w:numId w:val="20"/>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bienes muebles e inmuebles; almacenes y demás activos; recursos materiales, y demás normatividad aplicable al ejercicio del gasto público; y</w:t>
      </w:r>
    </w:p>
    <w:p w:rsidR="00A26A02" w:rsidRDefault="00A26A02" w:rsidP="00A26A02">
      <w:pPr>
        <w:pStyle w:val="Prrafodelista"/>
        <w:numPr>
          <w:ilvl w:val="0"/>
          <w:numId w:val="20"/>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contra de la Hacienda Pública Estatal o Municipal, o al Patrimonio de los Entes Públicos.</w:t>
      </w:r>
    </w:p>
    <w:p w:rsidR="00A26A02" w:rsidRPr="00A26A02" w:rsidRDefault="00A26A02" w:rsidP="00A26A02">
      <w:pPr>
        <w:pStyle w:val="Prrafodelista"/>
        <w:autoSpaceDE w:val="0"/>
        <w:autoSpaceDN w:val="0"/>
        <w:adjustRightInd w:val="0"/>
        <w:spacing w:after="0"/>
        <w:jc w:val="both"/>
        <w:rPr>
          <w:rFonts w:ascii="Arial" w:hAnsi="Arial" w:cs="Arial"/>
          <w:color w:val="000000"/>
          <w:sz w:val="24"/>
          <w:szCs w:val="24"/>
          <w:lang w:val="es-MX" w:eastAsia="es-ES"/>
        </w:rPr>
      </w:pPr>
    </w:p>
    <w:p w:rsidR="00A26A02" w:rsidRPr="00A26A02" w:rsidRDefault="00A26A02" w:rsidP="00A26A02">
      <w:pPr>
        <w:pStyle w:val="Prrafodelista"/>
        <w:numPr>
          <w:ilvl w:val="0"/>
          <w:numId w:val="19"/>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Para comprobar si el ejercicio de las Leyes de Ingresos y Egresos, y sus respectivos presupuestos se ajustaron a los criterios señalados en los mismos; se revisó:</w:t>
      </w:r>
    </w:p>
    <w:p w:rsidR="00A26A02" w:rsidRPr="00A26A02" w:rsidRDefault="00A26A02" w:rsidP="00A26A02">
      <w:pPr>
        <w:pStyle w:val="Prrafodelista"/>
        <w:autoSpaceDE w:val="0"/>
        <w:autoSpaceDN w:val="0"/>
        <w:adjustRightInd w:val="0"/>
        <w:spacing w:after="0"/>
        <w:ind w:left="1080"/>
        <w:jc w:val="both"/>
        <w:rPr>
          <w:rFonts w:ascii="Arial" w:hAnsi="Arial" w:cs="Arial"/>
          <w:color w:val="000000"/>
          <w:sz w:val="24"/>
          <w:szCs w:val="24"/>
          <w:lang w:val="es-MX" w:eastAsia="es-ES"/>
        </w:rPr>
      </w:pPr>
    </w:p>
    <w:p w:rsidR="00A26A02" w:rsidRDefault="00A26A02" w:rsidP="00A26A02">
      <w:pPr>
        <w:pStyle w:val="Prrafodelista"/>
        <w:numPr>
          <w:ilvl w:val="0"/>
          <w:numId w:val="21"/>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lastRenderedPageBreak/>
        <w:t>Si las cantidades correspondientes a los ingresos y a los egresos, se ajustaron o corresponden a los conceptos y a las partidas respectivas;</w:t>
      </w:r>
    </w:p>
    <w:p w:rsidR="00A26A02" w:rsidRDefault="00A26A02" w:rsidP="00A26A02">
      <w:pPr>
        <w:pStyle w:val="Prrafodelista"/>
        <w:numPr>
          <w:ilvl w:val="0"/>
          <w:numId w:val="21"/>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Si los programas y su ejecución se ajustaron a los términos y montos aprobados en el presupuesto; y</w:t>
      </w:r>
    </w:p>
    <w:p w:rsidR="00A26A02" w:rsidRDefault="00A26A02" w:rsidP="00A26A02">
      <w:pPr>
        <w:pStyle w:val="Prrafodelista"/>
        <w:numPr>
          <w:ilvl w:val="0"/>
          <w:numId w:val="21"/>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Si los recursos provenientes de financiamientos se obtuvieron en los términos autorizados y se aplicaron con la periodicidad y formas establecidas por las leyes y demás disposiciones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aplicables, y si se cumplieron los compromisos adquiridos en los actos respectivos.</w:t>
      </w:r>
    </w:p>
    <w:p w:rsidR="00A26A02" w:rsidRPr="00A26A02" w:rsidRDefault="00A26A02" w:rsidP="00A26A02">
      <w:pPr>
        <w:autoSpaceDE w:val="0"/>
        <w:autoSpaceDN w:val="0"/>
        <w:adjustRightInd w:val="0"/>
        <w:spacing w:after="0"/>
        <w:ind w:left="360"/>
        <w:jc w:val="both"/>
        <w:rPr>
          <w:rFonts w:ascii="Arial" w:hAnsi="Arial" w:cs="Arial"/>
          <w:color w:val="000000"/>
          <w:sz w:val="24"/>
          <w:szCs w:val="24"/>
          <w:lang w:val="es-MX" w:eastAsia="es-ES"/>
        </w:rPr>
      </w:pPr>
    </w:p>
    <w:p w:rsidR="00A26A02" w:rsidRDefault="00A26A02" w:rsidP="00A26A02">
      <w:pPr>
        <w:pStyle w:val="Prrafodelista"/>
        <w:numPr>
          <w:ilvl w:val="0"/>
          <w:numId w:val="19"/>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Se realizaron pruebas de auditoría a fin de evaluar el cumplimiento de las leyes, los reglamentos y la normatividad aplicables en la materia de la gestión financiera, así como de los planes de desarrollo y los programas operativos anuales.</w:t>
      </w:r>
    </w:p>
    <w:p w:rsidR="00A26A02" w:rsidRDefault="00A26A02" w:rsidP="00A26A02">
      <w:pPr>
        <w:pStyle w:val="Prrafodelista"/>
        <w:numPr>
          <w:ilvl w:val="0"/>
          <w:numId w:val="19"/>
        </w:numPr>
        <w:autoSpaceDE w:val="0"/>
        <w:autoSpaceDN w:val="0"/>
        <w:adjustRightInd w:val="0"/>
        <w:spacing w:after="0"/>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normativas emitidas por el Consejo Nacional de Armonización Contable.</w:t>
      </w:r>
    </w:p>
    <w:p w:rsidR="00A26A02" w:rsidRPr="00A26A02" w:rsidRDefault="00A26A02" w:rsidP="00A26A02">
      <w:pPr>
        <w:autoSpaceDE w:val="0"/>
        <w:autoSpaceDN w:val="0"/>
        <w:adjustRightInd w:val="0"/>
        <w:spacing w:after="0"/>
        <w:jc w:val="both"/>
        <w:rPr>
          <w:rFonts w:ascii="Arial" w:hAnsi="Arial" w:cs="Arial"/>
          <w:color w:val="000000"/>
          <w:sz w:val="24"/>
          <w:szCs w:val="24"/>
          <w:lang w:val="es-MX" w:eastAsia="es-ES"/>
        </w:rPr>
      </w:pPr>
    </w:p>
    <w:p w:rsidR="00A26A02" w:rsidRDefault="00A26A02" w:rsidP="00A26A02">
      <w:pPr>
        <w:pStyle w:val="Prrafodelista"/>
        <w:numPr>
          <w:ilvl w:val="0"/>
          <w:numId w:val="18"/>
        </w:numPr>
        <w:autoSpaceDE w:val="0"/>
        <w:autoSpaceDN w:val="0"/>
        <w:adjustRightInd w:val="0"/>
        <w:spacing w:after="0"/>
        <w:jc w:val="both"/>
        <w:rPr>
          <w:rFonts w:ascii="Arial" w:hAnsi="Arial" w:cs="Arial"/>
          <w:b/>
          <w:bCs/>
          <w:color w:val="000000"/>
          <w:sz w:val="24"/>
          <w:szCs w:val="24"/>
          <w:lang w:val="es-MX" w:eastAsia="es-ES"/>
        </w:rPr>
      </w:pPr>
      <w:r w:rsidRPr="00A26A02">
        <w:rPr>
          <w:rFonts w:ascii="Arial" w:hAnsi="Arial" w:cs="Arial"/>
          <w:b/>
          <w:bCs/>
          <w:color w:val="000000"/>
          <w:sz w:val="24"/>
          <w:szCs w:val="24"/>
          <w:lang w:val="es-MX" w:eastAsia="es-ES"/>
        </w:rPr>
        <w:t>Criterios de selección y descripción de los procedimientos de auditoría aplicados</w:t>
      </w:r>
    </w:p>
    <w:p w:rsidR="00A26A02" w:rsidRPr="00A26A02" w:rsidRDefault="00A26A02" w:rsidP="00A26A02">
      <w:pPr>
        <w:pStyle w:val="Prrafodelista"/>
        <w:autoSpaceDE w:val="0"/>
        <w:autoSpaceDN w:val="0"/>
        <w:adjustRightInd w:val="0"/>
        <w:spacing w:after="0"/>
        <w:jc w:val="both"/>
        <w:rPr>
          <w:rFonts w:ascii="Arial" w:hAnsi="Arial" w:cs="Arial"/>
          <w:b/>
          <w:bCs/>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Las auditorías practicadas se seleccionaron con base en los criterios establecidos para la</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 xml:space="preserve">planeación específica utilizada en la integración del </w:t>
      </w:r>
      <w:r w:rsidR="00581E10">
        <w:rPr>
          <w:rFonts w:ascii="Arial" w:hAnsi="Arial" w:cs="Arial"/>
          <w:color w:val="000000"/>
          <w:sz w:val="24"/>
          <w:szCs w:val="24"/>
          <w:lang w:val="es-MX" w:eastAsia="es-ES"/>
        </w:rPr>
        <w:t>Programa Anual de Auditoría 2016</w:t>
      </w:r>
      <w:r w:rsidRPr="00A26A02">
        <w:rPr>
          <w:rFonts w:ascii="Arial" w:hAnsi="Arial" w:cs="Arial"/>
          <w:color w:val="000000"/>
          <w:sz w:val="24"/>
          <w:szCs w:val="24"/>
          <w:lang w:val="es-MX" w:eastAsia="es-ES"/>
        </w:rPr>
        <w:t xml:space="preserve"> para la</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fiscalización de las Cuentas Públicas co</w:t>
      </w:r>
      <w:r w:rsidR="00581E10">
        <w:rPr>
          <w:rFonts w:ascii="Arial" w:hAnsi="Arial" w:cs="Arial"/>
          <w:color w:val="000000"/>
          <w:sz w:val="24"/>
          <w:szCs w:val="24"/>
          <w:lang w:val="es-MX" w:eastAsia="es-ES"/>
        </w:rPr>
        <w:t>rrespondientes al ejercicio 2015</w:t>
      </w:r>
      <w:r w:rsidRPr="00A26A02">
        <w:rPr>
          <w:rFonts w:ascii="Arial" w:hAnsi="Arial" w:cs="Arial"/>
          <w:color w:val="000000"/>
          <w:sz w:val="24"/>
          <w:szCs w:val="24"/>
          <w:lang w:val="es-MX" w:eastAsia="es-ES"/>
        </w:rPr>
        <w:t>, considerando la</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importancia, pertinencia y factibilidad de su realización.</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El universo seleccionado para la revisión fue el conjunto de operaciones, registros o movimientos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de entre los cuales, se seleccionaron muestras para aplicarles procedimientos o pruebas de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auditoría, partiendo esencialmente, del presupuesto asignado al Ente Público, y ejercido en los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lastRenderedPageBreak/>
        <w:t>capítulos, conceptos, partidas, proyectos de inversión, programas presupuestarios y fondos, así</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como los conceptos de ingreso, en su caso, y en general cualquier otro concepto que se estimó</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pertinente incluir en el alcance de la revisión.</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La muestra auditada consistió en las operaciones, registros o movimientos fiscalizados a través de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procedimientos o pruebas de auditoría, cuyos resultados permitieron la emisión, debidamente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soportada y fundamentada del dictamen de la revisión. Asimismo, las áreas revisadas, fueron</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esencialmente las unidades administrativas de la entidad fiscalizada responsables de la ejecución</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de las operaciones, actividades o programas objeto de la revisión.</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Con base en lo anterior, en forma específica en el Informe del Resultado, se señalan las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operaciones, registros o movimientos fiscalizados, las técnicas y pruebas de auditoría aplicadas, y</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en su caso, el resultado de las mismas, mediante las cuales se obtuvo evidencia suficiente,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competente, relevante y pertinente acerca del objeto auditado y con base en la cual se</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determinaron los resultados y el dictamen correspondiente.</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A26A02" w:rsidRPr="00A26A02" w:rsidRDefault="00A26A02" w:rsidP="000B3CD1">
      <w:pPr>
        <w:pStyle w:val="Prrafodelista"/>
        <w:numPr>
          <w:ilvl w:val="0"/>
          <w:numId w:val="15"/>
        </w:numPr>
        <w:autoSpaceDE w:val="0"/>
        <w:autoSpaceDN w:val="0"/>
        <w:adjustRightInd w:val="0"/>
        <w:spacing w:after="0"/>
        <w:jc w:val="both"/>
        <w:rPr>
          <w:rFonts w:ascii="Arial" w:hAnsi="Arial" w:cs="Arial"/>
          <w:b/>
          <w:bCs/>
          <w:color w:val="000000"/>
          <w:sz w:val="24"/>
          <w:szCs w:val="24"/>
          <w:lang w:val="es-MX" w:eastAsia="es-ES"/>
        </w:rPr>
      </w:pPr>
      <w:r w:rsidRPr="00A26A02">
        <w:rPr>
          <w:rFonts w:ascii="Arial" w:hAnsi="Arial" w:cs="Arial"/>
          <w:b/>
          <w:bCs/>
          <w:color w:val="000000"/>
          <w:sz w:val="24"/>
          <w:szCs w:val="24"/>
          <w:lang w:val="es-MX" w:eastAsia="es-ES"/>
        </w:rPr>
        <w:t>Descripción de los elementos revisados y resultados obtenidos en la revisión</w:t>
      </w:r>
    </w:p>
    <w:p w:rsidR="00A26A02" w:rsidRPr="00A26A02" w:rsidRDefault="00A26A02" w:rsidP="00A26A02">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A26A02" w:rsidRPr="00A26A02" w:rsidRDefault="00A26A02" w:rsidP="00A26A02">
      <w:pPr>
        <w:pStyle w:val="Prrafodelista"/>
        <w:numPr>
          <w:ilvl w:val="0"/>
          <w:numId w:val="22"/>
        </w:numPr>
        <w:autoSpaceDE w:val="0"/>
        <w:autoSpaceDN w:val="0"/>
        <w:adjustRightInd w:val="0"/>
        <w:spacing w:after="0"/>
        <w:jc w:val="both"/>
        <w:rPr>
          <w:rFonts w:ascii="Arial" w:hAnsi="Arial" w:cs="Arial"/>
          <w:b/>
          <w:bCs/>
          <w:color w:val="000000"/>
          <w:sz w:val="24"/>
          <w:szCs w:val="24"/>
          <w:lang w:val="es-MX" w:eastAsia="es-ES"/>
        </w:rPr>
      </w:pPr>
      <w:r w:rsidRPr="00A26A02">
        <w:rPr>
          <w:rFonts w:ascii="Arial" w:hAnsi="Arial" w:cs="Arial"/>
          <w:b/>
          <w:bCs/>
          <w:color w:val="000000"/>
          <w:sz w:val="24"/>
          <w:szCs w:val="24"/>
          <w:lang w:val="es-MX" w:eastAsia="es-ES"/>
        </w:rPr>
        <w:t>La evaluación de la gestión financiera y del gasto público</w:t>
      </w:r>
    </w:p>
    <w:p w:rsidR="00A26A02" w:rsidRPr="00A26A02" w:rsidRDefault="00A26A02" w:rsidP="00A26A02">
      <w:pPr>
        <w:pStyle w:val="Prrafodelista"/>
        <w:autoSpaceDE w:val="0"/>
        <w:autoSpaceDN w:val="0"/>
        <w:adjustRightInd w:val="0"/>
        <w:spacing w:after="0"/>
        <w:ind w:left="0" w:firstLine="709"/>
        <w:jc w:val="both"/>
        <w:rPr>
          <w:rFonts w:ascii="Arial" w:hAnsi="Arial" w:cs="Arial"/>
          <w:b/>
          <w:bCs/>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Para tal efecto se consideraron los Estados Financieros adjuntos, y su presupuesto por el período</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 xml:space="preserve">del 1 de enero al 31 de </w:t>
      </w:r>
      <w:r w:rsidR="00581E10">
        <w:rPr>
          <w:rFonts w:ascii="Arial" w:hAnsi="Arial" w:cs="Arial"/>
          <w:color w:val="000000"/>
          <w:sz w:val="24"/>
          <w:szCs w:val="24"/>
          <w:lang w:val="es-MX" w:eastAsia="es-ES"/>
        </w:rPr>
        <w:t>diciembre de 2015</w:t>
      </w:r>
      <w:r w:rsidRPr="00A26A02">
        <w:rPr>
          <w:rFonts w:ascii="Arial" w:hAnsi="Arial" w:cs="Arial"/>
          <w:color w:val="000000"/>
          <w:sz w:val="24"/>
          <w:szCs w:val="24"/>
          <w:lang w:val="es-MX" w:eastAsia="es-ES"/>
        </w:rPr>
        <w:t>, que el I</w:t>
      </w:r>
      <w:r w:rsidR="0004049B">
        <w:rPr>
          <w:rFonts w:ascii="Arial" w:hAnsi="Arial" w:cs="Arial"/>
          <w:color w:val="000000"/>
          <w:sz w:val="24"/>
          <w:szCs w:val="24"/>
          <w:lang w:val="es-MX" w:eastAsia="es-ES"/>
        </w:rPr>
        <w:t>INSTITUTO DEL AGUA DEL ESTADO DE NUEVO LEÓN</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presentó como parte de la información que integra la Cuenta Pública.</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 xml:space="preserve">Para el desarrollo de la revisión de la información antes mencionada, </w:t>
      </w:r>
      <w:r w:rsidR="000B3CD1">
        <w:rPr>
          <w:rFonts w:ascii="Arial" w:hAnsi="Arial" w:cs="Arial"/>
          <w:color w:val="000000"/>
          <w:sz w:val="24"/>
          <w:szCs w:val="24"/>
          <w:lang w:val="es-MX" w:eastAsia="es-ES"/>
        </w:rPr>
        <w:t>la</w:t>
      </w:r>
      <w:r w:rsidRPr="00A26A02">
        <w:rPr>
          <w:rFonts w:ascii="Arial" w:hAnsi="Arial" w:cs="Arial"/>
          <w:color w:val="000000"/>
          <w:sz w:val="24"/>
          <w:szCs w:val="24"/>
          <w:lang w:val="es-MX" w:eastAsia="es-ES"/>
        </w:rPr>
        <w:t xml:space="preserve"> Auditoría Superior del</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Estado, aplicó una serie de procedimientos enfocados a asegurarse de la razonabilidad de las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 xml:space="preserve">cifras presentadas que forman parte </w:t>
      </w:r>
      <w:r w:rsidRPr="00A26A02">
        <w:rPr>
          <w:rFonts w:ascii="Arial" w:hAnsi="Arial" w:cs="Arial"/>
          <w:color w:val="000000"/>
          <w:sz w:val="24"/>
          <w:szCs w:val="24"/>
          <w:lang w:val="es-MX" w:eastAsia="es-ES"/>
        </w:rPr>
        <w:lastRenderedPageBreak/>
        <w:t>de la gestión financiera y gasto público, y que su presentación</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y registro estuvo conforme a la normatividad aplicable y que se apegaron al cumplimiento de las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Leyes, Decretos, Reglamentos y demás disposiciones aplicables y al cumplimiento de los objetivos</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y metas establecidas en los programas.</w:t>
      </w:r>
    </w:p>
    <w:p w:rsidR="00A26A02" w:rsidRPr="00A26A02"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p>
    <w:p w:rsidR="00472E65" w:rsidRDefault="00A26A02" w:rsidP="00A26A02">
      <w:pPr>
        <w:autoSpaceDE w:val="0"/>
        <w:autoSpaceDN w:val="0"/>
        <w:adjustRightInd w:val="0"/>
        <w:spacing w:after="0"/>
        <w:ind w:firstLine="709"/>
        <w:jc w:val="both"/>
        <w:rPr>
          <w:rFonts w:ascii="Arial" w:hAnsi="Arial" w:cs="Arial"/>
          <w:color w:val="000000"/>
          <w:sz w:val="24"/>
          <w:szCs w:val="24"/>
          <w:lang w:val="es-MX" w:eastAsia="es-ES"/>
        </w:rPr>
      </w:pPr>
      <w:r w:rsidRPr="00A26A02">
        <w:rPr>
          <w:rFonts w:ascii="Arial" w:hAnsi="Arial" w:cs="Arial"/>
          <w:color w:val="000000"/>
          <w:sz w:val="24"/>
          <w:szCs w:val="24"/>
          <w:lang w:val="es-MX" w:eastAsia="es-ES"/>
        </w:rPr>
        <w:t>Los Estados Financ</w:t>
      </w:r>
      <w:r w:rsidR="008E06E1">
        <w:rPr>
          <w:rFonts w:ascii="Arial" w:hAnsi="Arial" w:cs="Arial"/>
          <w:color w:val="000000"/>
          <w:sz w:val="24"/>
          <w:szCs w:val="24"/>
          <w:lang w:val="es-MX" w:eastAsia="es-ES"/>
        </w:rPr>
        <w:t xml:space="preserve">ieros presentados en pesos del </w:t>
      </w:r>
      <w:r w:rsidR="0004049B">
        <w:rPr>
          <w:rFonts w:ascii="Arial" w:hAnsi="Arial" w:cs="Arial"/>
          <w:color w:val="000000"/>
          <w:sz w:val="24"/>
          <w:szCs w:val="24"/>
          <w:lang w:val="es-MX" w:eastAsia="es-ES"/>
        </w:rPr>
        <w:t>INSTITUTO DEL AGUA DEL ESTADO DE NUEVO LEÓN</w:t>
      </w:r>
      <w:r w:rsidRPr="00A26A02">
        <w:rPr>
          <w:rFonts w:ascii="Arial" w:hAnsi="Arial" w:cs="Arial"/>
          <w:color w:val="000000"/>
          <w:sz w:val="24"/>
          <w:szCs w:val="24"/>
          <w:lang w:val="es-MX" w:eastAsia="es-ES"/>
        </w:rPr>
        <w:t xml:space="preserve"> al</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31</w:t>
      </w:r>
      <w:r w:rsidR="00581E10">
        <w:rPr>
          <w:rFonts w:ascii="Arial" w:hAnsi="Arial" w:cs="Arial"/>
          <w:color w:val="000000"/>
          <w:sz w:val="24"/>
          <w:szCs w:val="24"/>
          <w:lang w:val="es-MX" w:eastAsia="es-ES"/>
        </w:rPr>
        <w:t xml:space="preserve"> de diciembre de 2015</w:t>
      </w:r>
      <w:r w:rsidRPr="00A26A02">
        <w:rPr>
          <w:rFonts w:ascii="Arial" w:hAnsi="Arial" w:cs="Arial"/>
          <w:color w:val="000000"/>
          <w:sz w:val="24"/>
          <w:szCs w:val="24"/>
          <w:lang w:val="es-MX" w:eastAsia="es-ES"/>
        </w:rPr>
        <w:t>, que se mencionan en la Cuenta Pública, son los que se muestran a</w:t>
      </w:r>
      <w:r>
        <w:rPr>
          <w:rFonts w:ascii="Arial" w:hAnsi="Arial" w:cs="Arial"/>
          <w:color w:val="000000"/>
          <w:sz w:val="24"/>
          <w:szCs w:val="24"/>
          <w:lang w:val="es-MX" w:eastAsia="es-ES"/>
        </w:rPr>
        <w:t xml:space="preserve"> </w:t>
      </w:r>
      <w:r w:rsidRPr="00A26A02">
        <w:rPr>
          <w:rFonts w:ascii="Arial" w:hAnsi="Arial" w:cs="Arial"/>
          <w:color w:val="000000"/>
          <w:sz w:val="24"/>
          <w:szCs w:val="24"/>
          <w:lang w:val="es-MX" w:eastAsia="es-ES"/>
        </w:rPr>
        <w:t>continuación:</w:t>
      </w:r>
    </w:p>
    <w:p w:rsidR="00A26A02" w:rsidRDefault="00581E10" w:rsidP="00581E10">
      <w:pPr>
        <w:autoSpaceDE w:val="0"/>
        <w:autoSpaceDN w:val="0"/>
        <w:adjustRightInd w:val="0"/>
        <w:spacing w:after="0"/>
        <w:jc w:val="both"/>
        <w:rPr>
          <w:rFonts w:ascii="Arial" w:hAnsi="Arial" w:cs="Arial"/>
          <w:sz w:val="24"/>
          <w:szCs w:val="24"/>
          <w:lang w:val="es-MX" w:eastAsia="es-ES"/>
        </w:rPr>
      </w:pPr>
      <w:r>
        <w:rPr>
          <w:rFonts w:ascii="Arial" w:hAnsi="Arial" w:cs="Arial"/>
          <w:noProof/>
          <w:sz w:val="24"/>
          <w:szCs w:val="24"/>
          <w:lang w:val="es-MX" w:eastAsia="es-MX"/>
        </w:rPr>
        <w:lastRenderedPageBreak/>
        <w:drawing>
          <wp:inline distT="0" distB="0" distL="0" distR="0" wp14:anchorId="3AB430F7" wp14:editId="2DC7493A">
            <wp:extent cx="5288915" cy="568027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5680272"/>
                    </a:xfrm>
                    <a:prstGeom prst="rect">
                      <a:avLst/>
                    </a:prstGeom>
                    <a:noFill/>
                    <a:ln>
                      <a:noFill/>
                    </a:ln>
                  </pic:spPr>
                </pic:pic>
              </a:graphicData>
            </a:graphic>
          </wp:inline>
        </w:drawing>
      </w:r>
    </w:p>
    <w:p w:rsidR="00581E10" w:rsidRDefault="00581E10" w:rsidP="00581E10">
      <w:pPr>
        <w:autoSpaceDE w:val="0"/>
        <w:autoSpaceDN w:val="0"/>
        <w:adjustRightInd w:val="0"/>
        <w:spacing w:after="0"/>
        <w:jc w:val="both"/>
        <w:rPr>
          <w:rFonts w:ascii="Arial" w:hAnsi="Arial" w:cs="Arial"/>
          <w:sz w:val="24"/>
          <w:szCs w:val="24"/>
          <w:lang w:val="es-MX" w:eastAsia="es-ES"/>
        </w:rPr>
      </w:pPr>
    </w:p>
    <w:p w:rsidR="00581E10" w:rsidRDefault="00581E10" w:rsidP="00581E10">
      <w:pPr>
        <w:autoSpaceDE w:val="0"/>
        <w:autoSpaceDN w:val="0"/>
        <w:adjustRightInd w:val="0"/>
        <w:spacing w:after="0"/>
        <w:jc w:val="both"/>
        <w:rPr>
          <w:rFonts w:ascii="Arial" w:hAnsi="Arial" w:cs="Arial"/>
          <w:sz w:val="24"/>
          <w:szCs w:val="24"/>
          <w:lang w:val="es-MX" w:eastAsia="es-ES"/>
        </w:rPr>
      </w:pPr>
      <w:r>
        <w:rPr>
          <w:rFonts w:ascii="Arial" w:hAnsi="Arial" w:cs="Arial"/>
          <w:noProof/>
          <w:sz w:val="24"/>
          <w:szCs w:val="24"/>
          <w:lang w:val="es-MX" w:eastAsia="es-MX"/>
        </w:rPr>
        <w:lastRenderedPageBreak/>
        <w:drawing>
          <wp:inline distT="0" distB="0" distL="0" distR="0">
            <wp:extent cx="5288915" cy="5539730"/>
            <wp:effectExtent l="0" t="0" r="698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5539730"/>
                    </a:xfrm>
                    <a:prstGeom prst="rect">
                      <a:avLst/>
                    </a:prstGeom>
                    <a:noFill/>
                    <a:ln>
                      <a:noFill/>
                    </a:ln>
                  </pic:spPr>
                </pic:pic>
              </a:graphicData>
            </a:graphic>
          </wp:inline>
        </w:drawing>
      </w:r>
    </w:p>
    <w:p w:rsidR="00581E10" w:rsidRPr="004927AB" w:rsidRDefault="00581E10" w:rsidP="00581E10">
      <w:pPr>
        <w:rPr>
          <w:rFonts w:ascii="Arial" w:hAnsi="Arial" w:cs="Arial"/>
          <w:b/>
          <w:sz w:val="16"/>
          <w:szCs w:val="24"/>
          <w:vertAlign w:val="superscript"/>
        </w:rPr>
      </w:pPr>
      <w:r w:rsidRPr="004927AB">
        <w:rPr>
          <w:rFonts w:ascii="Arial" w:hAnsi="Arial" w:cs="Arial"/>
          <w:b/>
          <w:sz w:val="20"/>
          <w:szCs w:val="16"/>
          <w:lang w:val="es-MX" w:eastAsia="es-MX"/>
        </w:rPr>
        <w:t>[sic]</w:t>
      </w:r>
      <w:r w:rsidRPr="004927AB">
        <w:rPr>
          <w:rFonts w:ascii="Arial" w:hAnsi="Arial" w:cs="Arial"/>
          <w:b/>
          <w:sz w:val="20"/>
          <w:szCs w:val="24"/>
          <w:vertAlign w:val="superscript"/>
        </w:rPr>
        <w:t>1</w:t>
      </w:r>
      <w:r>
        <w:rPr>
          <w:rFonts w:ascii="Arial" w:hAnsi="Arial" w:cs="Arial"/>
          <w:b/>
          <w:sz w:val="20"/>
          <w:szCs w:val="24"/>
          <w:vertAlign w:val="superscript"/>
        </w:rPr>
        <w:t xml:space="preserve"> </w:t>
      </w:r>
      <w:r w:rsidRPr="004927AB">
        <w:rPr>
          <w:rFonts w:ascii="Arial" w:hAnsi="Arial" w:cs="Arial"/>
          <w:sz w:val="24"/>
          <w:szCs w:val="24"/>
        </w:rPr>
        <w:t>E</w:t>
      </w:r>
      <w:r>
        <w:rPr>
          <w:rFonts w:ascii="Arial" w:hAnsi="Arial" w:cs="Arial"/>
          <w:sz w:val="24"/>
          <w:szCs w:val="24"/>
        </w:rPr>
        <w:t>n la columna 2015 debe ser $(22,968,177)</w:t>
      </w:r>
      <w:r w:rsidRPr="004927AB">
        <w:rPr>
          <w:rFonts w:ascii="Arial" w:hAnsi="Arial" w:cs="Arial"/>
          <w:sz w:val="24"/>
          <w:szCs w:val="24"/>
        </w:rPr>
        <w:t xml:space="preserve"> y </w:t>
      </w:r>
      <w:r>
        <w:rPr>
          <w:rFonts w:ascii="Arial" w:hAnsi="Arial" w:cs="Arial"/>
          <w:sz w:val="24"/>
          <w:szCs w:val="24"/>
        </w:rPr>
        <w:t>en la columna 2014 debe ser $(20,934,918).</w:t>
      </w:r>
    </w:p>
    <w:p w:rsidR="00581E10" w:rsidRDefault="00581E10" w:rsidP="00581E10">
      <w:pPr>
        <w:rPr>
          <w:rFonts w:ascii="Arial" w:hAnsi="Arial" w:cs="Arial"/>
          <w:sz w:val="24"/>
          <w:szCs w:val="24"/>
          <w:lang w:val="es-MX"/>
        </w:rPr>
      </w:pPr>
    </w:p>
    <w:p w:rsidR="00581E10" w:rsidRPr="004F71CE" w:rsidRDefault="00581E10" w:rsidP="00581E10">
      <w:pPr>
        <w:rPr>
          <w:rFonts w:ascii="Arial" w:hAnsi="Arial" w:cs="Arial"/>
          <w:sz w:val="24"/>
          <w:szCs w:val="24"/>
          <w:lang w:val="es-MX"/>
        </w:rPr>
      </w:pPr>
      <w:r w:rsidRPr="004F71CE">
        <w:rPr>
          <w:rFonts w:ascii="Arial" w:hAnsi="Arial" w:cs="Arial"/>
          <w:sz w:val="24"/>
          <w:szCs w:val="24"/>
          <w:lang w:val="es-MX"/>
        </w:rPr>
        <w:lastRenderedPageBreak/>
        <w:t>Los datos sobresalientes de los Estados Financ</w:t>
      </w:r>
      <w:r>
        <w:rPr>
          <w:rFonts w:ascii="Arial" w:hAnsi="Arial" w:cs="Arial"/>
          <w:sz w:val="24"/>
          <w:szCs w:val="24"/>
          <w:lang w:val="es-MX"/>
        </w:rPr>
        <w:t>ieros al 31 de diciembre de 2015</w:t>
      </w:r>
      <w:r w:rsidRPr="004F71CE">
        <w:rPr>
          <w:rFonts w:ascii="Arial" w:hAnsi="Arial" w:cs="Arial"/>
          <w:sz w:val="24"/>
          <w:szCs w:val="24"/>
          <w:lang w:val="es-MX"/>
        </w:rPr>
        <w:t>, son los que se indican a continuación y están presentados en pesos:</w:t>
      </w:r>
    </w:p>
    <w:tbl>
      <w:tblPr>
        <w:tblW w:w="0" w:type="auto"/>
        <w:jc w:val="center"/>
        <w:tblLayout w:type="fixed"/>
        <w:tblCellMar>
          <w:left w:w="70" w:type="dxa"/>
          <w:right w:w="70" w:type="dxa"/>
        </w:tblCellMar>
        <w:tblLook w:val="0000" w:firstRow="0" w:lastRow="0" w:firstColumn="0" w:lastColumn="0" w:noHBand="0" w:noVBand="0"/>
      </w:tblPr>
      <w:tblGrid>
        <w:gridCol w:w="4309"/>
        <w:gridCol w:w="254"/>
        <w:gridCol w:w="1355"/>
      </w:tblGrid>
      <w:tr w:rsidR="00581E10" w:rsidRPr="004F71CE" w:rsidTr="00805203">
        <w:trPr>
          <w:cantSplit/>
          <w:jc w:val="center"/>
        </w:trPr>
        <w:tc>
          <w:tcPr>
            <w:tcW w:w="4309" w:type="dxa"/>
          </w:tcPr>
          <w:p w:rsidR="00581E10" w:rsidRPr="004F71CE" w:rsidRDefault="00581E10" w:rsidP="00805203">
            <w:pPr>
              <w:tabs>
                <w:tab w:val="left" w:pos="2610"/>
              </w:tabs>
              <w:jc w:val="center"/>
              <w:rPr>
                <w:rFonts w:ascii="Arial" w:hAnsi="Arial" w:cs="Arial"/>
                <w:sz w:val="20"/>
                <w:u w:val="single"/>
                <w:lang w:val="es-MX"/>
              </w:rPr>
            </w:pPr>
            <w:r w:rsidRPr="004F71CE">
              <w:rPr>
                <w:rFonts w:ascii="Arial" w:hAnsi="Arial" w:cs="Arial"/>
                <w:sz w:val="20"/>
                <w:u w:val="single"/>
                <w:lang w:val="es-MX"/>
              </w:rPr>
              <w:t>Concepto</w:t>
            </w:r>
          </w:p>
        </w:tc>
        <w:tc>
          <w:tcPr>
            <w:tcW w:w="254" w:type="dxa"/>
          </w:tcPr>
          <w:p w:rsidR="00581E10" w:rsidRPr="004F71CE" w:rsidRDefault="00581E10" w:rsidP="00805203">
            <w:pPr>
              <w:tabs>
                <w:tab w:val="left" w:pos="2610"/>
              </w:tabs>
              <w:jc w:val="center"/>
              <w:rPr>
                <w:rFonts w:ascii="Arial" w:hAnsi="Arial" w:cs="Arial"/>
                <w:sz w:val="20"/>
                <w:u w:val="single"/>
                <w:lang w:val="es-MX"/>
              </w:rPr>
            </w:pPr>
          </w:p>
        </w:tc>
        <w:tc>
          <w:tcPr>
            <w:tcW w:w="1355" w:type="dxa"/>
          </w:tcPr>
          <w:p w:rsidR="00581E10" w:rsidRPr="004F71CE" w:rsidRDefault="00581E10" w:rsidP="00805203">
            <w:pPr>
              <w:tabs>
                <w:tab w:val="left" w:pos="2610"/>
              </w:tabs>
              <w:jc w:val="center"/>
              <w:rPr>
                <w:rFonts w:ascii="Arial" w:hAnsi="Arial" w:cs="Arial"/>
                <w:sz w:val="20"/>
                <w:u w:val="single"/>
                <w:lang w:val="es-MX"/>
              </w:rPr>
            </w:pPr>
            <w:r w:rsidRPr="004F71CE">
              <w:rPr>
                <w:rFonts w:ascii="Arial" w:hAnsi="Arial" w:cs="Arial"/>
                <w:sz w:val="20"/>
                <w:u w:val="single"/>
                <w:lang w:val="es-MX"/>
              </w:rPr>
              <w:t>Importe</w:t>
            </w:r>
          </w:p>
        </w:tc>
      </w:tr>
      <w:tr w:rsidR="00581E10" w:rsidRPr="004F71CE" w:rsidTr="00805203">
        <w:trPr>
          <w:cantSplit/>
          <w:jc w:val="center"/>
        </w:trPr>
        <w:tc>
          <w:tcPr>
            <w:tcW w:w="4309" w:type="dxa"/>
          </w:tcPr>
          <w:p w:rsidR="00581E10" w:rsidRPr="004F71CE" w:rsidRDefault="00581E10" w:rsidP="00805203">
            <w:pPr>
              <w:tabs>
                <w:tab w:val="left" w:pos="2610"/>
              </w:tabs>
              <w:rPr>
                <w:rFonts w:ascii="Arial" w:hAnsi="Arial" w:cs="Arial"/>
                <w:sz w:val="10"/>
                <w:szCs w:val="10"/>
                <w:lang w:val="es-MX"/>
              </w:rPr>
            </w:pPr>
          </w:p>
        </w:tc>
        <w:tc>
          <w:tcPr>
            <w:tcW w:w="254" w:type="dxa"/>
          </w:tcPr>
          <w:p w:rsidR="00581E10" w:rsidRPr="004F71CE" w:rsidRDefault="00581E10" w:rsidP="00805203">
            <w:pPr>
              <w:tabs>
                <w:tab w:val="left" w:pos="2610"/>
              </w:tabs>
              <w:jc w:val="right"/>
              <w:rPr>
                <w:rFonts w:ascii="Arial" w:hAnsi="Arial" w:cs="Arial"/>
                <w:sz w:val="10"/>
                <w:szCs w:val="10"/>
                <w:lang w:val="es-MX"/>
              </w:rPr>
            </w:pPr>
          </w:p>
        </w:tc>
        <w:tc>
          <w:tcPr>
            <w:tcW w:w="1355" w:type="dxa"/>
          </w:tcPr>
          <w:p w:rsidR="00581E10" w:rsidRPr="004F71CE" w:rsidRDefault="00581E10" w:rsidP="00805203">
            <w:pPr>
              <w:tabs>
                <w:tab w:val="left" w:pos="2610"/>
              </w:tabs>
              <w:jc w:val="right"/>
              <w:rPr>
                <w:rFonts w:ascii="Arial" w:hAnsi="Arial" w:cs="Arial"/>
                <w:sz w:val="10"/>
                <w:szCs w:val="10"/>
                <w:lang w:val="es-MX"/>
              </w:rPr>
            </w:pPr>
          </w:p>
        </w:tc>
      </w:tr>
      <w:tr w:rsidR="00581E10" w:rsidRPr="004F71CE" w:rsidTr="00805203">
        <w:trPr>
          <w:cantSplit/>
          <w:jc w:val="center"/>
        </w:trPr>
        <w:tc>
          <w:tcPr>
            <w:tcW w:w="4309" w:type="dxa"/>
          </w:tcPr>
          <w:p w:rsidR="00581E10" w:rsidRPr="004F71CE" w:rsidRDefault="00581E10" w:rsidP="00805203">
            <w:pPr>
              <w:tabs>
                <w:tab w:val="left" w:pos="2610"/>
              </w:tabs>
              <w:rPr>
                <w:rFonts w:ascii="Arial" w:hAnsi="Arial" w:cs="Arial"/>
                <w:sz w:val="20"/>
                <w:lang w:val="es-MX"/>
              </w:rPr>
            </w:pPr>
            <w:r w:rsidRPr="004F71CE">
              <w:rPr>
                <w:rFonts w:ascii="Arial" w:hAnsi="Arial" w:cs="Arial"/>
                <w:sz w:val="20"/>
                <w:lang w:val="es-MX"/>
              </w:rPr>
              <w:t>a) Activo</w:t>
            </w:r>
          </w:p>
        </w:tc>
        <w:tc>
          <w:tcPr>
            <w:tcW w:w="254" w:type="dxa"/>
          </w:tcPr>
          <w:p w:rsidR="00581E10" w:rsidRPr="004F71CE" w:rsidRDefault="00581E10" w:rsidP="00805203">
            <w:pPr>
              <w:tabs>
                <w:tab w:val="left" w:pos="2610"/>
              </w:tabs>
              <w:jc w:val="center"/>
              <w:rPr>
                <w:rFonts w:ascii="Arial" w:hAnsi="Arial" w:cs="Arial"/>
                <w:sz w:val="20"/>
                <w:lang w:val="es-MX"/>
              </w:rPr>
            </w:pPr>
            <w:r w:rsidRPr="004F71CE">
              <w:rPr>
                <w:rFonts w:ascii="Arial" w:hAnsi="Arial" w:cs="Arial"/>
                <w:sz w:val="20"/>
                <w:lang w:val="es-MX"/>
              </w:rPr>
              <w:t>$</w:t>
            </w:r>
          </w:p>
        </w:tc>
        <w:tc>
          <w:tcPr>
            <w:tcW w:w="1355" w:type="dxa"/>
          </w:tcPr>
          <w:p w:rsidR="00581E10" w:rsidRPr="004F71CE" w:rsidRDefault="00581E10" w:rsidP="00805203">
            <w:pPr>
              <w:tabs>
                <w:tab w:val="left" w:pos="2610"/>
              </w:tabs>
              <w:jc w:val="right"/>
              <w:rPr>
                <w:rFonts w:ascii="Arial" w:hAnsi="Arial" w:cs="Arial"/>
                <w:sz w:val="20"/>
                <w:lang w:val="es-MX"/>
              </w:rPr>
            </w:pPr>
            <w:r>
              <w:rPr>
                <w:rFonts w:ascii="Arial" w:hAnsi="Arial" w:cs="Arial"/>
                <w:sz w:val="20"/>
                <w:lang w:val="es-MX"/>
              </w:rPr>
              <w:t>34,244,236</w:t>
            </w:r>
          </w:p>
        </w:tc>
      </w:tr>
      <w:tr w:rsidR="00581E10" w:rsidRPr="004F71CE" w:rsidTr="00805203">
        <w:trPr>
          <w:cantSplit/>
          <w:jc w:val="center"/>
        </w:trPr>
        <w:tc>
          <w:tcPr>
            <w:tcW w:w="4309" w:type="dxa"/>
          </w:tcPr>
          <w:p w:rsidR="00581E10" w:rsidRPr="004F71CE" w:rsidRDefault="00581E10" w:rsidP="00805203">
            <w:pPr>
              <w:tabs>
                <w:tab w:val="left" w:pos="2610"/>
              </w:tabs>
              <w:rPr>
                <w:rFonts w:ascii="Arial" w:hAnsi="Arial" w:cs="Arial"/>
                <w:sz w:val="20"/>
                <w:lang w:val="es-MX"/>
              </w:rPr>
            </w:pPr>
            <w:r w:rsidRPr="004F71CE">
              <w:rPr>
                <w:rFonts w:ascii="Arial" w:hAnsi="Arial" w:cs="Arial"/>
                <w:sz w:val="20"/>
                <w:lang w:val="es-MX"/>
              </w:rPr>
              <w:t>b) Pasivo</w:t>
            </w:r>
          </w:p>
        </w:tc>
        <w:tc>
          <w:tcPr>
            <w:tcW w:w="254" w:type="dxa"/>
          </w:tcPr>
          <w:p w:rsidR="00581E10" w:rsidRPr="004F71CE" w:rsidRDefault="00581E10" w:rsidP="00805203">
            <w:pPr>
              <w:tabs>
                <w:tab w:val="left" w:pos="2610"/>
              </w:tabs>
              <w:rPr>
                <w:rFonts w:ascii="Arial" w:hAnsi="Arial" w:cs="Arial"/>
                <w:sz w:val="20"/>
                <w:lang w:val="es-MX"/>
              </w:rPr>
            </w:pPr>
          </w:p>
        </w:tc>
        <w:tc>
          <w:tcPr>
            <w:tcW w:w="1355" w:type="dxa"/>
          </w:tcPr>
          <w:p w:rsidR="00581E10" w:rsidRPr="004F71CE" w:rsidRDefault="00581E10" w:rsidP="00805203">
            <w:pPr>
              <w:tabs>
                <w:tab w:val="left" w:pos="2610"/>
              </w:tabs>
              <w:jc w:val="right"/>
              <w:rPr>
                <w:rFonts w:ascii="Arial" w:hAnsi="Arial" w:cs="Arial"/>
                <w:sz w:val="20"/>
                <w:lang w:val="es-MX"/>
              </w:rPr>
            </w:pPr>
            <w:r>
              <w:rPr>
                <w:rFonts w:ascii="Arial" w:hAnsi="Arial" w:cs="Arial"/>
                <w:sz w:val="20"/>
                <w:lang w:val="es-MX"/>
              </w:rPr>
              <w:t>8,288,537</w:t>
            </w:r>
          </w:p>
        </w:tc>
      </w:tr>
      <w:tr w:rsidR="00581E10" w:rsidRPr="004F71CE" w:rsidTr="00805203">
        <w:trPr>
          <w:cantSplit/>
          <w:jc w:val="center"/>
        </w:trPr>
        <w:tc>
          <w:tcPr>
            <w:tcW w:w="4309" w:type="dxa"/>
          </w:tcPr>
          <w:p w:rsidR="00581E10" w:rsidRPr="004F71CE" w:rsidRDefault="00581E10" w:rsidP="00805203">
            <w:pPr>
              <w:tabs>
                <w:tab w:val="left" w:pos="2610"/>
              </w:tabs>
              <w:rPr>
                <w:rFonts w:ascii="Arial" w:hAnsi="Arial" w:cs="Arial"/>
                <w:sz w:val="20"/>
                <w:lang w:val="es-MX"/>
              </w:rPr>
            </w:pPr>
            <w:r w:rsidRPr="004F71CE">
              <w:rPr>
                <w:rFonts w:ascii="Arial" w:hAnsi="Arial" w:cs="Arial"/>
                <w:sz w:val="20"/>
                <w:lang w:val="es-MX"/>
              </w:rPr>
              <w:t>c) Hacienda pública / patrimonio</w:t>
            </w:r>
          </w:p>
        </w:tc>
        <w:tc>
          <w:tcPr>
            <w:tcW w:w="254" w:type="dxa"/>
          </w:tcPr>
          <w:p w:rsidR="00581E10" w:rsidRPr="004F71CE" w:rsidRDefault="00581E10" w:rsidP="00805203">
            <w:pPr>
              <w:tabs>
                <w:tab w:val="left" w:pos="2610"/>
              </w:tabs>
              <w:rPr>
                <w:rFonts w:ascii="Arial" w:hAnsi="Arial" w:cs="Arial"/>
                <w:sz w:val="20"/>
                <w:lang w:val="es-MX"/>
              </w:rPr>
            </w:pPr>
          </w:p>
        </w:tc>
        <w:tc>
          <w:tcPr>
            <w:tcW w:w="1355" w:type="dxa"/>
          </w:tcPr>
          <w:p w:rsidR="00581E10" w:rsidRPr="004F71CE" w:rsidRDefault="00581E10" w:rsidP="00805203">
            <w:pPr>
              <w:tabs>
                <w:tab w:val="left" w:pos="2610"/>
              </w:tabs>
              <w:jc w:val="right"/>
              <w:rPr>
                <w:rFonts w:ascii="Arial" w:hAnsi="Arial" w:cs="Arial"/>
                <w:sz w:val="20"/>
                <w:lang w:val="es-MX"/>
              </w:rPr>
            </w:pPr>
            <w:r>
              <w:rPr>
                <w:rFonts w:ascii="Arial" w:hAnsi="Arial" w:cs="Arial"/>
                <w:sz w:val="20"/>
                <w:lang w:val="es-MX"/>
              </w:rPr>
              <w:t>25,955,699</w:t>
            </w:r>
          </w:p>
        </w:tc>
      </w:tr>
      <w:tr w:rsidR="00581E10" w:rsidRPr="004F71CE" w:rsidTr="00805203">
        <w:trPr>
          <w:cantSplit/>
          <w:jc w:val="center"/>
        </w:trPr>
        <w:tc>
          <w:tcPr>
            <w:tcW w:w="4309" w:type="dxa"/>
          </w:tcPr>
          <w:p w:rsidR="00581E10" w:rsidRPr="004F71CE" w:rsidRDefault="00581E10" w:rsidP="00805203">
            <w:pPr>
              <w:tabs>
                <w:tab w:val="left" w:pos="2610"/>
              </w:tabs>
              <w:rPr>
                <w:rFonts w:ascii="Arial" w:hAnsi="Arial" w:cs="Arial"/>
                <w:sz w:val="20"/>
                <w:lang w:val="es-MX"/>
              </w:rPr>
            </w:pPr>
            <w:r w:rsidRPr="004F71CE">
              <w:rPr>
                <w:rFonts w:ascii="Arial" w:hAnsi="Arial" w:cs="Arial"/>
                <w:sz w:val="20"/>
                <w:lang w:val="es-MX"/>
              </w:rPr>
              <w:t>d) Ingresos y otros beneficios</w:t>
            </w:r>
          </w:p>
        </w:tc>
        <w:tc>
          <w:tcPr>
            <w:tcW w:w="254" w:type="dxa"/>
          </w:tcPr>
          <w:p w:rsidR="00581E10" w:rsidRPr="004F71CE" w:rsidRDefault="00581E10" w:rsidP="00805203">
            <w:pPr>
              <w:tabs>
                <w:tab w:val="left" w:pos="2610"/>
              </w:tabs>
              <w:rPr>
                <w:rFonts w:ascii="Arial" w:hAnsi="Arial" w:cs="Arial"/>
                <w:sz w:val="20"/>
                <w:lang w:val="es-MX"/>
              </w:rPr>
            </w:pPr>
          </w:p>
        </w:tc>
        <w:tc>
          <w:tcPr>
            <w:tcW w:w="1355" w:type="dxa"/>
          </w:tcPr>
          <w:p w:rsidR="00581E10" w:rsidRPr="004F71CE" w:rsidRDefault="00581E10" w:rsidP="00805203">
            <w:pPr>
              <w:tabs>
                <w:tab w:val="left" w:pos="2610"/>
              </w:tabs>
              <w:jc w:val="right"/>
              <w:rPr>
                <w:rFonts w:ascii="Arial" w:hAnsi="Arial" w:cs="Arial"/>
                <w:sz w:val="20"/>
                <w:lang w:val="es-MX"/>
              </w:rPr>
            </w:pPr>
            <w:r>
              <w:rPr>
                <w:rFonts w:ascii="Arial" w:hAnsi="Arial" w:cs="Arial"/>
                <w:sz w:val="20"/>
                <w:lang w:val="es-MX"/>
              </w:rPr>
              <w:t>1,415,855</w:t>
            </w:r>
          </w:p>
        </w:tc>
      </w:tr>
      <w:tr w:rsidR="00581E10" w:rsidRPr="004F71CE" w:rsidTr="00805203">
        <w:trPr>
          <w:cantSplit/>
          <w:jc w:val="center"/>
        </w:trPr>
        <w:tc>
          <w:tcPr>
            <w:tcW w:w="4309" w:type="dxa"/>
          </w:tcPr>
          <w:p w:rsidR="00581E10" w:rsidRPr="004F71CE" w:rsidRDefault="00581E10" w:rsidP="00805203">
            <w:pPr>
              <w:tabs>
                <w:tab w:val="left" w:pos="2610"/>
              </w:tabs>
              <w:rPr>
                <w:rFonts w:ascii="Arial" w:hAnsi="Arial" w:cs="Arial"/>
                <w:sz w:val="20"/>
                <w:lang w:val="es-MX"/>
              </w:rPr>
            </w:pPr>
            <w:r w:rsidRPr="004F71CE">
              <w:rPr>
                <w:rFonts w:ascii="Arial" w:hAnsi="Arial" w:cs="Arial"/>
                <w:sz w:val="20"/>
                <w:lang w:val="es-MX"/>
              </w:rPr>
              <w:t>e) Gastos y otras pérdidas</w:t>
            </w:r>
          </w:p>
        </w:tc>
        <w:tc>
          <w:tcPr>
            <w:tcW w:w="254" w:type="dxa"/>
          </w:tcPr>
          <w:p w:rsidR="00581E10" w:rsidRPr="004F71CE" w:rsidRDefault="00581E10" w:rsidP="00805203">
            <w:pPr>
              <w:tabs>
                <w:tab w:val="left" w:pos="2610"/>
              </w:tabs>
              <w:rPr>
                <w:rFonts w:ascii="Arial" w:hAnsi="Arial" w:cs="Arial"/>
                <w:sz w:val="20"/>
                <w:lang w:val="es-MX"/>
              </w:rPr>
            </w:pPr>
          </w:p>
        </w:tc>
        <w:tc>
          <w:tcPr>
            <w:tcW w:w="1355" w:type="dxa"/>
          </w:tcPr>
          <w:p w:rsidR="00581E10" w:rsidRPr="004F71CE" w:rsidRDefault="00581E10" w:rsidP="00805203">
            <w:pPr>
              <w:tabs>
                <w:tab w:val="left" w:pos="2610"/>
              </w:tabs>
              <w:jc w:val="right"/>
              <w:rPr>
                <w:rFonts w:ascii="Arial" w:hAnsi="Arial" w:cs="Arial"/>
                <w:sz w:val="20"/>
                <w:lang w:val="es-MX"/>
              </w:rPr>
            </w:pPr>
            <w:r>
              <w:rPr>
                <w:rFonts w:ascii="Arial" w:hAnsi="Arial" w:cs="Arial"/>
                <w:sz w:val="20"/>
                <w:lang w:val="es-MX"/>
              </w:rPr>
              <w:t>10,878,038</w:t>
            </w:r>
          </w:p>
        </w:tc>
      </w:tr>
    </w:tbl>
    <w:p w:rsidR="00581E10" w:rsidRPr="00A26A02" w:rsidRDefault="00581E10" w:rsidP="00581E10">
      <w:pPr>
        <w:autoSpaceDE w:val="0"/>
        <w:autoSpaceDN w:val="0"/>
        <w:adjustRightInd w:val="0"/>
        <w:spacing w:after="0"/>
        <w:jc w:val="both"/>
        <w:rPr>
          <w:rFonts w:ascii="Arial" w:hAnsi="Arial" w:cs="Arial"/>
          <w:sz w:val="24"/>
          <w:szCs w:val="24"/>
          <w:lang w:val="es-MX" w:eastAsia="es-ES"/>
        </w:rPr>
      </w:pPr>
    </w:p>
    <w:p w:rsidR="00472E65" w:rsidRDefault="00472E65" w:rsidP="00581E10">
      <w:pPr>
        <w:tabs>
          <w:tab w:val="left" w:pos="2910"/>
        </w:tabs>
        <w:autoSpaceDE w:val="0"/>
        <w:autoSpaceDN w:val="0"/>
        <w:adjustRightInd w:val="0"/>
        <w:spacing w:after="0"/>
        <w:jc w:val="both"/>
        <w:rPr>
          <w:rFonts w:ascii="Arial" w:hAnsi="Arial" w:cs="Arial"/>
          <w:sz w:val="24"/>
          <w:szCs w:val="24"/>
          <w:lang w:val="es-MX" w:eastAsia="es-ES"/>
        </w:rPr>
      </w:pPr>
    </w:p>
    <w:p w:rsidR="000B3CD1" w:rsidRPr="000B3CD1" w:rsidRDefault="000B3CD1" w:rsidP="000B3CD1">
      <w:pPr>
        <w:pStyle w:val="Prrafodelista"/>
        <w:numPr>
          <w:ilvl w:val="0"/>
          <w:numId w:val="22"/>
        </w:numPr>
        <w:autoSpaceDE w:val="0"/>
        <w:autoSpaceDN w:val="0"/>
        <w:adjustRightInd w:val="0"/>
        <w:spacing w:after="0"/>
        <w:jc w:val="both"/>
        <w:rPr>
          <w:rFonts w:ascii="Arial" w:hAnsi="Arial" w:cs="Arial"/>
          <w:b/>
          <w:bCs/>
          <w:sz w:val="24"/>
          <w:szCs w:val="24"/>
          <w:lang w:val="es-MX" w:eastAsia="es-ES"/>
        </w:rPr>
      </w:pPr>
      <w:r w:rsidRPr="000B3CD1">
        <w:rPr>
          <w:rFonts w:ascii="Arial" w:hAnsi="Arial" w:cs="Arial"/>
          <w:b/>
          <w:bCs/>
          <w:sz w:val="24"/>
          <w:szCs w:val="24"/>
          <w:lang w:val="es-MX" w:eastAsia="es-ES"/>
        </w:rPr>
        <w:t>Cumplimiento de la Ley General de Contabilidad Gubernamental y de las disposiciones contenidas en los ordenamientos y normativa correspondientes</w:t>
      </w:r>
    </w:p>
    <w:p w:rsidR="000B3CD1" w:rsidRPr="000B3CD1" w:rsidRDefault="000B3CD1" w:rsidP="000B3CD1">
      <w:pPr>
        <w:pStyle w:val="Prrafodelista"/>
        <w:autoSpaceDE w:val="0"/>
        <w:autoSpaceDN w:val="0"/>
        <w:adjustRightInd w:val="0"/>
        <w:spacing w:after="0"/>
        <w:jc w:val="both"/>
        <w:rPr>
          <w:rFonts w:ascii="Arial" w:hAnsi="Arial" w:cs="Arial"/>
          <w:b/>
          <w:bCs/>
          <w:sz w:val="24"/>
          <w:szCs w:val="24"/>
          <w:lang w:val="es-MX" w:eastAsia="es-ES"/>
        </w:rPr>
      </w:pPr>
    </w:p>
    <w:p w:rsidR="000B3CD1" w:rsidRDefault="000B3CD1" w:rsidP="000B3CD1">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Con posterioridad a la verificación realizada por la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0B3CD1" w:rsidRDefault="000B3CD1" w:rsidP="000B3CD1">
      <w:pPr>
        <w:autoSpaceDE w:val="0"/>
        <w:autoSpaceDN w:val="0"/>
        <w:adjustRightInd w:val="0"/>
        <w:spacing w:after="0"/>
        <w:jc w:val="both"/>
        <w:rPr>
          <w:rFonts w:ascii="Arial" w:hAnsi="Arial" w:cs="Arial"/>
          <w:sz w:val="24"/>
          <w:szCs w:val="24"/>
          <w:lang w:val="es-MX" w:eastAsia="es-ES"/>
        </w:rPr>
      </w:pPr>
    </w:p>
    <w:p w:rsidR="000B3CD1" w:rsidRPr="000B3CD1" w:rsidRDefault="000B3CD1" w:rsidP="000B3CD1">
      <w:pPr>
        <w:pStyle w:val="Prrafodelista"/>
        <w:numPr>
          <w:ilvl w:val="0"/>
          <w:numId w:val="22"/>
        </w:numPr>
        <w:autoSpaceDE w:val="0"/>
        <w:autoSpaceDN w:val="0"/>
        <w:adjustRightInd w:val="0"/>
        <w:spacing w:after="0"/>
        <w:jc w:val="both"/>
        <w:rPr>
          <w:rFonts w:ascii="Arial" w:hAnsi="Arial" w:cs="Arial"/>
          <w:b/>
          <w:bCs/>
          <w:sz w:val="24"/>
          <w:szCs w:val="24"/>
          <w:lang w:val="es-MX" w:eastAsia="es-ES"/>
        </w:rPr>
      </w:pPr>
      <w:r w:rsidRPr="000B3CD1">
        <w:rPr>
          <w:rFonts w:ascii="Arial" w:hAnsi="Arial" w:cs="Arial"/>
          <w:b/>
          <w:bCs/>
          <w:sz w:val="24"/>
          <w:szCs w:val="24"/>
          <w:lang w:val="es-MX" w:eastAsia="es-ES"/>
        </w:rPr>
        <w:t>La evaluación del avance o cumplimiento de los programas y subprogramas aprobados</w:t>
      </w:r>
    </w:p>
    <w:p w:rsidR="000B3CD1" w:rsidRPr="000B3CD1" w:rsidRDefault="000B3CD1" w:rsidP="000B3CD1">
      <w:pPr>
        <w:pStyle w:val="Prrafodelista"/>
        <w:autoSpaceDE w:val="0"/>
        <w:autoSpaceDN w:val="0"/>
        <w:adjustRightInd w:val="0"/>
        <w:spacing w:after="0"/>
        <w:jc w:val="both"/>
        <w:rPr>
          <w:rFonts w:ascii="Arial" w:hAnsi="Arial" w:cs="Arial"/>
          <w:b/>
          <w:bCs/>
          <w:sz w:val="24"/>
          <w:szCs w:val="24"/>
          <w:lang w:val="es-MX" w:eastAsia="es-ES"/>
        </w:rPr>
      </w:pPr>
    </w:p>
    <w:p w:rsidR="000B3CD1" w:rsidRDefault="000B3CD1" w:rsidP="000B3CD1">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Los indicadores de gestión determinados por la administración del Ente Público son los siguientes:</w:t>
      </w:r>
    </w:p>
    <w:p w:rsidR="00472E65" w:rsidRDefault="00472E65" w:rsidP="00544663">
      <w:pPr>
        <w:autoSpaceDE w:val="0"/>
        <w:autoSpaceDN w:val="0"/>
        <w:adjustRightInd w:val="0"/>
        <w:spacing w:after="0"/>
        <w:jc w:val="both"/>
        <w:rPr>
          <w:rFonts w:ascii="Arial" w:hAnsi="Arial" w:cs="Arial"/>
          <w:sz w:val="24"/>
          <w:szCs w:val="24"/>
          <w:lang w:val="es-MX" w:eastAsia="es-ES"/>
        </w:rPr>
      </w:pPr>
    </w:p>
    <w:p w:rsidR="00472E65" w:rsidRDefault="00581E10" w:rsidP="00544663">
      <w:pPr>
        <w:autoSpaceDE w:val="0"/>
        <w:autoSpaceDN w:val="0"/>
        <w:adjustRightInd w:val="0"/>
        <w:spacing w:after="0"/>
        <w:jc w:val="both"/>
        <w:rPr>
          <w:rFonts w:ascii="Arial" w:hAnsi="Arial" w:cs="Arial"/>
          <w:sz w:val="24"/>
          <w:szCs w:val="24"/>
          <w:lang w:val="es-MX" w:eastAsia="es-ES"/>
        </w:rPr>
      </w:pPr>
      <w:r>
        <w:rPr>
          <w:rFonts w:ascii="Arial" w:hAnsi="Arial" w:cs="Arial"/>
          <w:noProof/>
          <w:sz w:val="24"/>
          <w:szCs w:val="24"/>
          <w:lang w:val="es-MX" w:eastAsia="es-MX"/>
        </w:rPr>
        <w:lastRenderedPageBreak/>
        <w:drawing>
          <wp:inline distT="0" distB="0" distL="0" distR="0">
            <wp:extent cx="5288915" cy="3581658"/>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8915" cy="3581658"/>
                    </a:xfrm>
                    <a:prstGeom prst="rect">
                      <a:avLst/>
                    </a:prstGeom>
                    <a:noFill/>
                    <a:ln>
                      <a:noFill/>
                    </a:ln>
                  </pic:spPr>
                </pic:pic>
              </a:graphicData>
            </a:graphic>
          </wp:inline>
        </w:drawing>
      </w:r>
    </w:p>
    <w:p w:rsidR="00581E10" w:rsidRDefault="00581E10" w:rsidP="00544663">
      <w:pPr>
        <w:autoSpaceDE w:val="0"/>
        <w:autoSpaceDN w:val="0"/>
        <w:adjustRightInd w:val="0"/>
        <w:spacing w:after="0"/>
        <w:jc w:val="both"/>
        <w:rPr>
          <w:rFonts w:ascii="Arial" w:hAnsi="Arial" w:cs="Arial"/>
          <w:sz w:val="24"/>
          <w:szCs w:val="24"/>
          <w:lang w:val="es-MX" w:eastAsia="es-ES"/>
        </w:rPr>
      </w:pPr>
    </w:p>
    <w:p w:rsidR="00C033C5" w:rsidRPr="00544663" w:rsidRDefault="006B1496" w:rsidP="000B3CD1">
      <w:pPr>
        <w:pStyle w:val="Prrafodelista"/>
        <w:numPr>
          <w:ilvl w:val="0"/>
          <w:numId w:val="15"/>
        </w:numPr>
        <w:spacing w:after="0"/>
        <w:jc w:val="both"/>
        <w:rPr>
          <w:rFonts w:ascii="Arial" w:hAnsi="Arial" w:cs="Arial"/>
          <w:b/>
          <w:sz w:val="24"/>
          <w:szCs w:val="24"/>
          <w:lang w:val="es-MX" w:eastAsia="es-ES"/>
        </w:rPr>
      </w:pPr>
      <w:r w:rsidRPr="00544663">
        <w:rPr>
          <w:rFonts w:ascii="Arial" w:hAnsi="Arial" w:cs="Arial"/>
          <w:b/>
          <w:sz w:val="24"/>
          <w:szCs w:val="24"/>
          <w:lang w:val="es-MX" w:eastAsia="es-ES"/>
        </w:rPr>
        <w:t xml:space="preserve">Observaciones derivadas </w:t>
      </w:r>
      <w:r w:rsidR="004C3170" w:rsidRPr="00544663">
        <w:rPr>
          <w:rFonts w:ascii="Arial" w:hAnsi="Arial" w:cs="Arial"/>
          <w:b/>
          <w:sz w:val="24"/>
          <w:szCs w:val="24"/>
          <w:lang w:val="es-MX" w:eastAsia="es-ES"/>
        </w:rPr>
        <w:t>de la revisión practicada por la Auditoría Superior del Estado</w:t>
      </w:r>
      <w:r w:rsidRPr="00544663">
        <w:rPr>
          <w:rFonts w:ascii="Arial" w:hAnsi="Arial" w:cs="Arial"/>
          <w:b/>
          <w:sz w:val="24"/>
          <w:szCs w:val="24"/>
          <w:lang w:val="es-MX" w:eastAsia="es-ES"/>
        </w:rPr>
        <w:t xml:space="preserve"> </w:t>
      </w:r>
      <w:r w:rsidR="004C3170" w:rsidRPr="00544663">
        <w:rPr>
          <w:rFonts w:ascii="Arial" w:hAnsi="Arial" w:cs="Arial"/>
          <w:b/>
          <w:sz w:val="24"/>
          <w:szCs w:val="24"/>
          <w:lang w:val="es-MX" w:eastAsia="es-ES"/>
        </w:rPr>
        <w:t xml:space="preserve">al </w:t>
      </w:r>
      <w:r w:rsidR="000B3CD1">
        <w:rPr>
          <w:rFonts w:ascii="Arial" w:hAnsi="Arial" w:cs="Arial"/>
          <w:b/>
          <w:sz w:val="24"/>
          <w:szCs w:val="24"/>
          <w:lang w:val="es-ES_tradnl" w:eastAsia="es-ES"/>
        </w:rPr>
        <w:t xml:space="preserve">INSTITUTO DEL AGUA DE NUEVO LEÓN </w:t>
      </w:r>
    </w:p>
    <w:p w:rsidR="00544663" w:rsidRDefault="00544663" w:rsidP="00544663">
      <w:pPr>
        <w:pStyle w:val="Prrafodelista"/>
        <w:spacing w:after="0"/>
        <w:ind w:left="1080"/>
        <w:contextualSpacing/>
        <w:jc w:val="both"/>
        <w:rPr>
          <w:rFonts w:ascii="Arial" w:hAnsi="Arial" w:cs="Arial"/>
          <w:b/>
          <w:sz w:val="24"/>
        </w:rPr>
      </w:pPr>
    </w:p>
    <w:p w:rsidR="000B3CD1" w:rsidRPr="00626A88" w:rsidRDefault="000B3CD1" w:rsidP="000B3CD1">
      <w:pPr>
        <w:autoSpaceDE w:val="0"/>
        <w:autoSpaceDN w:val="0"/>
        <w:adjustRightInd w:val="0"/>
        <w:spacing w:after="0"/>
        <w:jc w:val="both"/>
        <w:rPr>
          <w:rFonts w:ascii="Arial" w:hAnsi="Arial" w:cs="Arial"/>
          <w:b/>
          <w:bCs/>
          <w:color w:val="000000"/>
          <w:sz w:val="24"/>
          <w:szCs w:val="24"/>
          <w:u w:val="single"/>
          <w:lang w:val="es-MX" w:eastAsia="es-ES"/>
        </w:rPr>
      </w:pPr>
      <w:r w:rsidRPr="00626A88">
        <w:rPr>
          <w:rFonts w:ascii="Arial" w:hAnsi="Arial" w:cs="Arial"/>
          <w:b/>
          <w:bCs/>
          <w:color w:val="000000"/>
          <w:sz w:val="24"/>
          <w:szCs w:val="24"/>
          <w:u w:val="single"/>
          <w:lang w:val="es-MX" w:eastAsia="es-ES"/>
        </w:rPr>
        <w:t>Ley General de Contabilidad Gubernamental</w:t>
      </w:r>
    </w:p>
    <w:p w:rsidR="000B3CD1" w:rsidRPr="000B3CD1" w:rsidRDefault="000B3CD1" w:rsidP="000B3CD1">
      <w:pPr>
        <w:autoSpaceDE w:val="0"/>
        <w:autoSpaceDN w:val="0"/>
        <w:adjustRightInd w:val="0"/>
        <w:spacing w:after="0"/>
        <w:jc w:val="both"/>
        <w:rPr>
          <w:rFonts w:ascii="Arial" w:hAnsi="Arial" w:cs="Arial"/>
          <w:b/>
          <w:bCs/>
          <w:color w:val="000000"/>
          <w:sz w:val="24"/>
          <w:szCs w:val="24"/>
          <w:lang w:val="es-MX" w:eastAsia="es-ES"/>
        </w:rPr>
      </w:pPr>
    </w:p>
    <w:p w:rsidR="00626A88" w:rsidRDefault="00626A88" w:rsidP="00626A88">
      <w:pPr>
        <w:autoSpaceDE w:val="0"/>
        <w:autoSpaceDN w:val="0"/>
        <w:adjustRightInd w:val="0"/>
        <w:spacing w:after="0" w:line="240" w:lineRule="auto"/>
        <w:rPr>
          <w:rFonts w:ascii="Helvetica" w:hAnsi="Helvetica" w:cs="Helvetica"/>
          <w:sz w:val="24"/>
          <w:szCs w:val="24"/>
          <w:lang w:val="es-MX" w:eastAsia="es-ES"/>
        </w:rPr>
      </w:pPr>
      <w:r>
        <w:rPr>
          <w:rFonts w:ascii="Helvetica" w:hAnsi="Helvetica" w:cs="Helvetica"/>
          <w:sz w:val="24"/>
          <w:szCs w:val="24"/>
          <w:lang w:val="es-MX" w:eastAsia="es-ES"/>
        </w:rPr>
        <w:t>1. Se revisó la observancia de la Ley General de Contabilidad Gubernamental (LGCG)</w:t>
      </w:r>
      <w:r w:rsidR="00805203">
        <w:rPr>
          <w:rFonts w:ascii="Helvetica" w:hAnsi="Helvetica" w:cs="Helvetica"/>
          <w:sz w:val="24"/>
          <w:szCs w:val="24"/>
          <w:lang w:val="es-MX" w:eastAsia="es-ES"/>
        </w:rPr>
        <w:t xml:space="preserve"> </w:t>
      </w:r>
      <w:r>
        <w:rPr>
          <w:rFonts w:ascii="Helvetica" w:hAnsi="Helvetica" w:cs="Helvetica"/>
          <w:sz w:val="24"/>
          <w:szCs w:val="24"/>
          <w:lang w:val="es-MX" w:eastAsia="es-ES"/>
        </w:rPr>
        <w:t>y la normatividad emitida por el Consejo Nacional de Armonización Contable (Conac),</w:t>
      </w:r>
      <w:r w:rsidR="00805203">
        <w:rPr>
          <w:rFonts w:ascii="Helvetica" w:hAnsi="Helvetica" w:cs="Helvetica"/>
          <w:sz w:val="24"/>
          <w:szCs w:val="24"/>
          <w:lang w:val="es-MX" w:eastAsia="es-ES"/>
        </w:rPr>
        <w:t xml:space="preserve"> </w:t>
      </w:r>
      <w:r>
        <w:rPr>
          <w:rFonts w:ascii="Helvetica" w:hAnsi="Helvetica" w:cs="Helvetica"/>
          <w:sz w:val="24"/>
          <w:szCs w:val="24"/>
          <w:lang w:val="es-MX" w:eastAsia="es-ES"/>
        </w:rPr>
        <w:t>advirtiéndose incumplimientos por parte del Ente Público, a las obligaciones que diversos</w:t>
      </w:r>
      <w:r w:rsidR="00805203">
        <w:rPr>
          <w:rFonts w:ascii="Helvetica" w:hAnsi="Helvetica" w:cs="Helvetica"/>
          <w:sz w:val="24"/>
          <w:szCs w:val="24"/>
          <w:lang w:val="es-MX" w:eastAsia="es-ES"/>
        </w:rPr>
        <w:t xml:space="preserve"> </w:t>
      </w:r>
      <w:r>
        <w:rPr>
          <w:rFonts w:ascii="Helvetica" w:hAnsi="Helvetica" w:cs="Helvetica"/>
          <w:sz w:val="24"/>
          <w:szCs w:val="24"/>
          <w:lang w:val="es-MX" w:eastAsia="es-ES"/>
        </w:rPr>
        <w:t>preceptos de la referida Ley le imponen, acorde con lo que se enuncia a continuación:</w:t>
      </w:r>
    </w:p>
    <w:p w:rsidR="00805203" w:rsidRDefault="00805203" w:rsidP="00626A88">
      <w:pPr>
        <w:autoSpaceDE w:val="0"/>
        <w:autoSpaceDN w:val="0"/>
        <w:adjustRightInd w:val="0"/>
        <w:spacing w:after="0" w:line="240" w:lineRule="auto"/>
        <w:rPr>
          <w:rFonts w:ascii="Helvetica" w:hAnsi="Helvetica" w:cs="Helvetica"/>
          <w:sz w:val="24"/>
          <w:szCs w:val="24"/>
          <w:lang w:val="es-MX" w:eastAsia="es-ES"/>
        </w:rPr>
      </w:pPr>
    </w:p>
    <w:p w:rsidR="00626A88" w:rsidRPr="00805203" w:rsidRDefault="00626A88" w:rsidP="00626A88">
      <w:pPr>
        <w:autoSpaceDE w:val="0"/>
        <w:autoSpaceDN w:val="0"/>
        <w:adjustRightInd w:val="0"/>
        <w:spacing w:after="0" w:line="240" w:lineRule="auto"/>
        <w:rPr>
          <w:rFonts w:ascii="Helvetica" w:hAnsi="Helvetica" w:cs="Helvetica"/>
          <w:b/>
          <w:sz w:val="24"/>
          <w:szCs w:val="24"/>
          <w:lang w:val="es-MX" w:eastAsia="es-ES"/>
        </w:rPr>
      </w:pPr>
      <w:r w:rsidRPr="00805203">
        <w:rPr>
          <w:rFonts w:ascii="Helvetica" w:hAnsi="Helvetica" w:cs="Helvetica"/>
          <w:b/>
          <w:sz w:val="24"/>
          <w:szCs w:val="24"/>
          <w:lang w:val="es-MX" w:eastAsia="es-ES"/>
        </w:rPr>
        <w:t>I.</w:t>
      </w:r>
      <w:r w:rsidR="00805203" w:rsidRPr="00805203">
        <w:rPr>
          <w:rFonts w:ascii="Helvetica" w:hAnsi="Helvetica" w:cs="Helvetica"/>
          <w:b/>
          <w:sz w:val="24"/>
          <w:szCs w:val="24"/>
          <w:lang w:val="es-MX" w:eastAsia="es-ES"/>
        </w:rPr>
        <w:t xml:space="preserve"> </w:t>
      </w:r>
      <w:r w:rsidRPr="00805203">
        <w:rPr>
          <w:rFonts w:ascii="Helvetica" w:hAnsi="Helvetica" w:cs="Helvetica"/>
          <w:b/>
          <w:sz w:val="24"/>
          <w:szCs w:val="24"/>
          <w:lang w:val="es-MX" w:eastAsia="es-ES"/>
        </w:rPr>
        <w:t>Registros contables</w:t>
      </w:r>
    </w:p>
    <w:p w:rsidR="00626A88" w:rsidRDefault="00626A88" w:rsidP="00626A88">
      <w:pPr>
        <w:autoSpaceDE w:val="0"/>
        <w:autoSpaceDN w:val="0"/>
        <w:adjustRightInd w:val="0"/>
        <w:spacing w:after="0" w:line="240" w:lineRule="auto"/>
        <w:rPr>
          <w:rFonts w:ascii="Helvetica" w:hAnsi="Helvetica" w:cs="Helvetica"/>
          <w:sz w:val="24"/>
          <w:szCs w:val="24"/>
          <w:lang w:val="es-MX" w:eastAsia="es-ES"/>
        </w:rPr>
      </w:pPr>
      <w:r>
        <w:rPr>
          <w:rFonts w:ascii="Helvetica" w:hAnsi="Helvetica" w:cs="Helvetica"/>
          <w:sz w:val="24"/>
          <w:szCs w:val="24"/>
          <w:lang w:val="es-MX" w:eastAsia="es-ES"/>
        </w:rPr>
        <w:t>a) Contar con manuales de contabilidad (artículo 20).</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b) Realizar los registros contables con base acumulativa, el gasto conforme a su fecha</w:t>
      </w:r>
      <w:r w:rsidR="00805203" w:rsidRPr="00805203">
        <w:rPr>
          <w:rFonts w:ascii="Arial" w:hAnsi="Arial" w:cs="Arial"/>
          <w:sz w:val="24"/>
          <w:szCs w:val="24"/>
          <w:lang w:val="es-MX" w:eastAsia="es-ES"/>
        </w:rPr>
        <w:t xml:space="preserve"> </w:t>
      </w:r>
      <w:r w:rsidRPr="00805203">
        <w:rPr>
          <w:rFonts w:ascii="Arial" w:hAnsi="Arial" w:cs="Arial"/>
          <w:sz w:val="24"/>
          <w:szCs w:val="24"/>
          <w:lang w:val="es-MX" w:eastAsia="es-ES"/>
        </w:rPr>
        <w:t>de realización y el ingreso cuando exista jurídicamente el derecho de cobro (artículo</w:t>
      </w:r>
      <w:r w:rsidR="00805203" w:rsidRPr="00805203">
        <w:rPr>
          <w:rFonts w:ascii="Arial" w:hAnsi="Arial" w:cs="Arial"/>
          <w:sz w:val="24"/>
          <w:szCs w:val="24"/>
          <w:lang w:val="es-MX" w:eastAsia="es-ES"/>
        </w:rPr>
        <w:t xml:space="preserve"> </w:t>
      </w:r>
      <w:r w:rsidRPr="00805203">
        <w:rPr>
          <w:rFonts w:ascii="Arial" w:hAnsi="Arial" w:cs="Arial"/>
          <w:sz w:val="24"/>
          <w:szCs w:val="24"/>
          <w:lang w:val="es-MX" w:eastAsia="es-ES"/>
        </w:rPr>
        <w:t>34, conforme a Normas y me</w:t>
      </w:r>
      <w:r w:rsidR="00805203" w:rsidRPr="00805203">
        <w:rPr>
          <w:rFonts w:ascii="Arial" w:hAnsi="Arial" w:cs="Arial"/>
          <w:sz w:val="24"/>
          <w:szCs w:val="24"/>
          <w:lang w:val="es-MX" w:eastAsia="es-ES"/>
        </w:rPr>
        <w:t xml:space="preserve">todología para la determinación </w:t>
      </w:r>
      <w:r w:rsidRPr="00805203">
        <w:rPr>
          <w:rFonts w:ascii="Arial" w:hAnsi="Arial" w:cs="Arial"/>
          <w:sz w:val="24"/>
          <w:szCs w:val="24"/>
          <w:lang w:val="es-MX" w:eastAsia="es-ES"/>
        </w:rPr>
        <w:t>de los momentos</w:t>
      </w:r>
      <w:r w:rsidR="00805203" w:rsidRPr="00805203">
        <w:rPr>
          <w:rFonts w:ascii="Arial" w:hAnsi="Arial" w:cs="Arial"/>
          <w:sz w:val="24"/>
          <w:szCs w:val="24"/>
          <w:lang w:val="es-MX" w:eastAsia="es-ES"/>
        </w:rPr>
        <w:t xml:space="preserve"> </w:t>
      </w:r>
      <w:r w:rsidRPr="00805203">
        <w:rPr>
          <w:rFonts w:ascii="Arial" w:hAnsi="Arial" w:cs="Arial"/>
          <w:sz w:val="24"/>
          <w:szCs w:val="24"/>
          <w:lang w:val="es-MX" w:eastAsia="es-ES"/>
        </w:rPr>
        <w:t>contables de los ingresos</w:t>
      </w:r>
      <w:r w:rsidR="00805203" w:rsidRPr="00805203">
        <w:rPr>
          <w:rFonts w:ascii="Arial" w:hAnsi="Arial" w:cs="Arial"/>
          <w:sz w:val="24"/>
          <w:szCs w:val="24"/>
          <w:lang w:val="es-MX" w:eastAsia="es-ES"/>
        </w:rPr>
        <w:t xml:space="preserve"> y Normas y metodología para la </w:t>
      </w:r>
      <w:r w:rsidRPr="00805203">
        <w:rPr>
          <w:rFonts w:ascii="Arial" w:hAnsi="Arial" w:cs="Arial"/>
          <w:sz w:val="24"/>
          <w:szCs w:val="24"/>
          <w:lang w:val="es-MX" w:eastAsia="es-ES"/>
        </w:rPr>
        <w:t>determinación de los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momentos contables de los egresos).</w:t>
      </w:r>
    </w:p>
    <w:p w:rsidR="000B3CD1"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 Mantener un registro histórico de sus operaciones en los libros diario, mayor 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inventarios y balances (artículo 35 y cuarto transitorio del decreto por el que se expide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la LGCG publicado en el Diario Oficial de la Federación el 31 de diciembre de 2008,</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conforme a los Lineamientos mínimos relativos al diseño e integración del registro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en los libros diario, mayor e inventarios y balances, registro electrónico).</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d) Constituir provisiones, revisarlas y ajustarlas periódicamente para mantener su</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vigencia (artículo 39).</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e) Disponer de las matrices de conversión con las características señaladas en los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artículos 40 y 41, (artículo cuarto transitorio del decreto por el que se expide la LGCG</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publicado en el Diario Oficial de la Federación el 31 de diciembre de 2008).</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626A88" w:rsidRPr="00805203" w:rsidRDefault="00626A88" w:rsidP="00805203">
      <w:pPr>
        <w:autoSpaceDE w:val="0"/>
        <w:autoSpaceDN w:val="0"/>
        <w:adjustRightInd w:val="0"/>
        <w:spacing w:after="0" w:line="360" w:lineRule="auto"/>
        <w:jc w:val="both"/>
        <w:rPr>
          <w:rFonts w:ascii="Arial" w:hAnsi="Arial" w:cs="Arial"/>
          <w:b/>
          <w:sz w:val="24"/>
          <w:szCs w:val="24"/>
          <w:lang w:val="es-MX" w:eastAsia="es-ES"/>
        </w:rPr>
      </w:pPr>
      <w:r w:rsidRPr="00805203">
        <w:rPr>
          <w:rFonts w:ascii="Arial" w:hAnsi="Arial" w:cs="Arial"/>
          <w:b/>
          <w:sz w:val="24"/>
          <w:szCs w:val="24"/>
          <w:lang w:val="es-MX" w:eastAsia="es-ES"/>
        </w:rPr>
        <w:t>II.</w:t>
      </w:r>
      <w:r w:rsidR="00805203" w:rsidRPr="00805203">
        <w:rPr>
          <w:rFonts w:ascii="Arial" w:hAnsi="Arial" w:cs="Arial"/>
          <w:b/>
          <w:sz w:val="24"/>
          <w:szCs w:val="24"/>
          <w:lang w:val="es-MX" w:eastAsia="es-ES"/>
        </w:rPr>
        <w:t xml:space="preserve"> </w:t>
      </w:r>
      <w:r w:rsidRPr="00805203">
        <w:rPr>
          <w:rFonts w:ascii="Arial" w:hAnsi="Arial" w:cs="Arial"/>
          <w:b/>
          <w:sz w:val="24"/>
          <w:szCs w:val="24"/>
          <w:lang w:val="es-MX" w:eastAsia="es-ES"/>
        </w:rPr>
        <w:t>Registros presupuestarios</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 Disponer de clasificadores presupuestarios armonizados, que permitan su</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interrelación automática (artículo 41, conforme a los clasificadores).</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a.1. Clasificador por rubro de ingresos.</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a.2. Clasificador por objeto del gasto.</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a.3. Clasificador por tipo del gasto.</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a.4. Clasificación funcional del gasto.</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lastRenderedPageBreak/>
        <w:t>a.5. Clasificación programática.</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a.6. Clasificación administrativa.</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a.7. Clasificador por fuente de financiamiento.</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b) Realizar los registros en las etapas del presupuesto de egresos en aprobado,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modificado, comprometido, devengado, ejercido y pagado y del ingreso en estimado,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modificado, devengado y recaudado (artículo 38, conforme a Normas y metodología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para la determinación de los momentos contables de los ingresos y Normas y</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metodología para la determinación de los momentos contables de los egresos).</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 Exhibir en los registros auxiliares los avances presupuestarios y contables (artículo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36).</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d) Generar registros automáticos y por única vez en los momentos contables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correspondientes de los procesos administrativos de los Entes Públicos que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impliquen transacciones presupuestarias y contables (artículos 16 y 40, conforme al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Acuerdo por el que se determina la norma de información financiera para precisar</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los alcances del Acuerdo 1 aprobado por el Consejo Nacional de Armonización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Contable, en reunión del 3 de mayo de 2013 y publicado el 16 de mayo de 2013).</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e) El sistema interrelaciona de manera automática los clasificadores presupuestarios y</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lista de cuenta (artículos 19, fracción III y IV y 41, conforme al Acuerdo por el que se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determina la norma de información financiera para precisar los alcances del Acuerdo 1 aprobado por el Consejo Nacional de Armonización Contable, en reunión del 3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mayo de 2013 y publicado el 16 de mayo de 2013).</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f) Generar estados financieros en tiempo real (artículo 19, fracción V, VI y Sexto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transitorio, conforme al Acuerdo por el que se determina la norma de información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financiera para precisar los alcances del Acuerdo 1 aprobado por el Consejo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Nacional de Armonización Contable, en reunión del 3 de mayo de 2013 y publicado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el 16 de mayo de 2013).</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626A88" w:rsidRPr="00805203" w:rsidRDefault="00626A88" w:rsidP="00805203">
      <w:pPr>
        <w:autoSpaceDE w:val="0"/>
        <w:autoSpaceDN w:val="0"/>
        <w:adjustRightInd w:val="0"/>
        <w:spacing w:after="0" w:line="360" w:lineRule="auto"/>
        <w:jc w:val="both"/>
        <w:rPr>
          <w:rFonts w:ascii="Arial" w:hAnsi="Arial" w:cs="Arial"/>
          <w:b/>
          <w:sz w:val="24"/>
          <w:szCs w:val="24"/>
          <w:lang w:val="es-MX" w:eastAsia="es-ES"/>
        </w:rPr>
      </w:pPr>
      <w:r w:rsidRPr="00805203">
        <w:rPr>
          <w:rFonts w:ascii="Arial" w:hAnsi="Arial" w:cs="Arial"/>
          <w:b/>
          <w:sz w:val="24"/>
          <w:szCs w:val="24"/>
          <w:lang w:val="es-MX" w:eastAsia="es-ES"/>
        </w:rPr>
        <w:t>III.</w:t>
      </w:r>
      <w:r w:rsidR="00805203" w:rsidRPr="00805203">
        <w:rPr>
          <w:rFonts w:ascii="Arial" w:hAnsi="Arial" w:cs="Arial"/>
          <w:b/>
          <w:sz w:val="24"/>
          <w:szCs w:val="24"/>
          <w:lang w:val="es-MX" w:eastAsia="es-ES"/>
        </w:rPr>
        <w:t xml:space="preserve"> </w:t>
      </w:r>
      <w:r w:rsidRPr="00805203">
        <w:rPr>
          <w:rFonts w:ascii="Arial" w:hAnsi="Arial" w:cs="Arial"/>
          <w:b/>
          <w:sz w:val="24"/>
          <w:szCs w:val="24"/>
          <w:lang w:val="es-MX" w:eastAsia="es-ES"/>
        </w:rPr>
        <w:t>Registros administrativos</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 Conciliar el inventario de los bienes muebles e inmuebles con el registro contable,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(artículos 23 y 27, conforme a las Reglas específicas de registro y valoración del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patrimonio).</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b) Entregar oficialmente a la administración entrante a través de un acta de entrega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y recepción, los bienes que no se encuentren inventariados o estén en proceso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registro y hubieren sido recibidos o adquiridos durante el encargo de su</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administración (artículo 31).</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 Respaldar la contabilización de las operaciones presupuestarias y contables con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la documentación original que compruebe y justifique los registros que se efectúen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(artículo 42).</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d) Disponer de catálogos de bienes (artículo 41, conforme a los Lineamientos para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la elaboración del catálogo de bienes que permita la interrelación automática con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el clasificador por objeto del gasto y la lista de cuentas y Lineamientos para la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elaboración del catálogo de bienes inmuebles que permita la interrelación automática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 el clasificador por objeto del gasto y la lista de cuentas).</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626A88" w:rsidRPr="00805203" w:rsidRDefault="00626A88" w:rsidP="00805203">
      <w:pPr>
        <w:autoSpaceDE w:val="0"/>
        <w:autoSpaceDN w:val="0"/>
        <w:adjustRightInd w:val="0"/>
        <w:spacing w:after="0" w:line="360" w:lineRule="auto"/>
        <w:jc w:val="both"/>
        <w:rPr>
          <w:rFonts w:ascii="Arial" w:hAnsi="Arial" w:cs="Arial"/>
          <w:b/>
          <w:sz w:val="24"/>
          <w:szCs w:val="24"/>
          <w:lang w:val="es-MX" w:eastAsia="es-ES"/>
        </w:rPr>
      </w:pPr>
      <w:r w:rsidRPr="00805203">
        <w:rPr>
          <w:rFonts w:ascii="Arial" w:hAnsi="Arial" w:cs="Arial"/>
          <w:b/>
          <w:sz w:val="24"/>
          <w:szCs w:val="24"/>
          <w:lang w:val="es-MX" w:eastAsia="es-ES"/>
        </w:rPr>
        <w:t>IV.</w:t>
      </w:r>
      <w:r w:rsidR="00805203" w:rsidRPr="00805203">
        <w:rPr>
          <w:rFonts w:ascii="Arial" w:hAnsi="Arial" w:cs="Arial"/>
          <w:b/>
          <w:sz w:val="24"/>
          <w:szCs w:val="24"/>
          <w:lang w:val="es-MX" w:eastAsia="es-ES"/>
        </w:rPr>
        <w:t xml:space="preserve"> C</w:t>
      </w:r>
      <w:r w:rsidRPr="00805203">
        <w:rPr>
          <w:rFonts w:ascii="Arial" w:hAnsi="Arial" w:cs="Arial"/>
          <w:b/>
          <w:sz w:val="24"/>
          <w:szCs w:val="24"/>
          <w:lang w:val="es-MX" w:eastAsia="es-ES"/>
        </w:rPr>
        <w:t>uenta pública</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Generar cuenta pública conforme a los artículos 52 y 53 con relación a los artículos 46</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y 47, así como al acuerdo por el que se armoniza la estructura de las cuentas públicas,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las Normas y metodología para la emisión de información financiera y estructura de los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estados financieros básicos del ente público y características de sus notas y el Manual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contabilidad gubernamental, la cual debe contener:</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 Información presupuestaria</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a.1. Estado analítico de ingresos del que se derivará la presentación en clasificación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económica por fuente de financiamiento y concepto, incluyendo los ingresos excedentes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generados.</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a.2. Estado analítico del ejercicio del presupuesto de egresos en clasificación por objeto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del gasto.</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a.3. Estado analítico del ejercicio del presupuesto de egresos en clasificación económica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(por tipo de gasto).</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a.4. Estado analítico del ejercicio del presupuesto de egresos en clasificación funcional.</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a.5. Estado analítico del ejercicio del presupuesto de egresos en clasificación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programática.</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a.6. Estado analítico del ejercicio del presupuesto de egresos en clasificación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administrativa.</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b) Información programática</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b.1. Gasto por categoría programática</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b.2. Programas y proyectos de inversión</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b.3. Indicadores de resultados.</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 Anexos (Información adicional)</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lastRenderedPageBreak/>
        <w:t>c.1. La información financiera, presupuestaria, programática y contable, es la base para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la elaboración de la cuenta pública (artículo 52, párrafo primero).</w:t>
      </w:r>
    </w:p>
    <w:p w:rsidR="00626A88" w:rsidRPr="00805203" w:rsidRDefault="00626A88" w:rsidP="00805203">
      <w:pPr>
        <w:autoSpaceDE w:val="0"/>
        <w:autoSpaceDN w:val="0"/>
        <w:adjustRightInd w:val="0"/>
        <w:spacing w:after="0" w:line="360" w:lineRule="auto"/>
        <w:ind w:firstLine="708"/>
        <w:jc w:val="both"/>
        <w:rPr>
          <w:rFonts w:ascii="Arial" w:hAnsi="Arial" w:cs="Arial"/>
          <w:sz w:val="24"/>
          <w:szCs w:val="24"/>
          <w:lang w:val="es-MX" w:eastAsia="es-ES"/>
        </w:rPr>
      </w:pPr>
      <w:r w:rsidRPr="00805203">
        <w:rPr>
          <w:rFonts w:ascii="Arial" w:hAnsi="Arial" w:cs="Arial"/>
          <w:sz w:val="24"/>
          <w:szCs w:val="24"/>
          <w:lang w:val="es-MX" w:eastAsia="es-ES"/>
        </w:rPr>
        <w:t>c.2. Se relaciona la información presupuestaria y programática con los objetivos y</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prioridades de la planeación del desarrollo, que forme parte de la cuenta pública, así como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los resultados de la evaluación del desempeño (artículo 54, párrafo primero).</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626A88" w:rsidRPr="00805203" w:rsidRDefault="00626A88" w:rsidP="00805203">
      <w:pPr>
        <w:autoSpaceDE w:val="0"/>
        <w:autoSpaceDN w:val="0"/>
        <w:adjustRightInd w:val="0"/>
        <w:spacing w:after="0" w:line="360" w:lineRule="auto"/>
        <w:jc w:val="both"/>
        <w:rPr>
          <w:rFonts w:ascii="Arial" w:hAnsi="Arial" w:cs="Arial"/>
          <w:b/>
          <w:sz w:val="24"/>
          <w:szCs w:val="24"/>
          <w:lang w:val="es-MX" w:eastAsia="es-ES"/>
        </w:rPr>
      </w:pPr>
      <w:r w:rsidRPr="00805203">
        <w:rPr>
          <w:rFonts w:ascii="Arial" w:hAnsi="Arial" w:cs="Arial"/>
          <w:b/>
          <w:sz w:val="24"/>
          <w:szCs w:val="24"/>
          <w:lang w:val="es-MX" w:eastAsia="es-ES"/>
        </w:rPr>
        <w:t>V.</w:t>
      </w:r>
      <w:r w:rsidR="00805203" w:rsidRPr="00805203">
        <w:rPr>
          <w:rFonts w:ascii="Arial" w:hAnsi="Arial" w:cs="Arial"/>
          <w:b/>
          <w:sz w:val="24"/>
          <w:szCs w:val="24"/>
          <w:lang w:val="es-MX" w:eastAsia="es-ES"/>
        </w:rPr>
        <w:t xml:space="preserve"> </w:t>
      </w:r>
      <w:r w:rsidRPr="00805203">
        <w:rPr>
          <w:rFonts w:ascii="Arial" w:hAnsi="Arial" w:cs="Arial"/>
          <w:b/>
          <w:sz w:val="24"/>
          <w:szCs w:val="24"/>
          <w:lang w:val="es-MX" w:eastAsia="es-ES"/>
        </w:rPr>
        <w:t>Transparencia</w:t>
      </w:r>
    </w:p>
    <w:p w:rsidR="00626A88" w:rsidRPr="00805203" w:rsidRDefault="00626A88"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 Publicar el inventario de los bienes (artículo 27, conforme al Acuerdo por el que se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determina la norma para establecer la estructura del formato de la relación de bienes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que componen el patrimonio del ente público).</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Actas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2. Derivado de la revisión de la Ley que Crea al Organismo Público Descentralizado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Denominado Instituto del Agua del Estado de Nuevo León, se observó que durante el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ejercicio 2015, el Consejo de Administración, no celebró las sesiones ordinarias con la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periodicidad mínima y requisitos que exige el artículo 10 de la Ley en mención. Esta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observación es reincidente en relación con la cuenta pública de 2014.</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lastRenderedPageBreak/>
        <w:t>Análisis de la Auditoría Superior del Estado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Se analizó la respuesta presentada por el Extitular del Ente Público, la cual solventa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parcialmente lo observado, dado que aún y cuando se celebró una sesión del Consejo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Administración, no cumplió con el mínimo de tres sesiones ordinarias que exige la Ley que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Crea al Organismo Público Descentralizado Denominado Instituto del Agua del Estado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Nuevo León.</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Dictamen (auditores externos)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3. No se proporcionó ni fue exhibido por el Ente Público el dictamen emitido por auditores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externos de los estados financieros relativos a la Cuenta Pública del ejercicio 2015,</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incumpliendo con lo establecido en el artículo 52 de la Ley de Administración Financiera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para el Estado de Nuevo León.</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Políticas y procedimientos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4. Se observó que el Ente Público no cuenta con manuales de organización, procedimientos y</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políticas que contengan la descripción de actividades que deben seguirse en la realización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las funciones de cada área operativa y administrativa.</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Cabe señalar que dentro de las atribuciones del Director General es aprobar los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manuales de organización, servicios y procedimientos, así como proponer al Consejo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Administración las políticas internas y lineamientos generales del ente público, según lo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establecido en el artículo 15 fracciones I y XIV de la Ley que Crea al Organismo Público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Descentralizado Denominado Instituto del Agua del Estado de Nuevo León.</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Recomendaciones en Relación a la Gestión o Control Interno.</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ACTIVO</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Activo circulante</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Derechos a recibir efectivo o equivalentes</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Deudores diversos por cobrar a corto plazo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5. Del análisis a Deudores diversos por cobrar a corto plazo, se observó falta de recuperación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dos anticipos para gastos de viaje que tienen una antigüedad mayor a 60 días al 31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diciembre de 2015, como sigue:</w:t>
      </w:r>
    </w:p>
    <w:p w:rsidR="00E772C7" w:rsidRPr="00805203" w:rsidRDefault="00E772C7" w:rsidP="00805203">
      <w:pPr>
        <w:pStyle w:val="Prrafodelista"/>
        <w:spacing w:after="0" w:line="360" w:lineRule="auto"/>
        <w:ind w:left="0"/>
        <w:contextualSpacing/>
        <w:jc w:val="both"/>
        <w:rPr>
          <w:rFonts w:ascii="Arial" w:hAnsi="Arial" w:cs="Arial"/>
          <w:b/>
          <w:sz w:val="24"/>
          <w:szCs w:val="24"/>
        </w:rPr>
      </w:pPr>
      <w:r w:rsidRPr="00805203">
        <w:rPr>
          <w:rFonts w:ascii="Arial" w:hAnsi="Arial" w:cs="Arial"/>
          <w:b/>
          <w:noProof/>
          <w:sz w:val="24"/>
          <w:szCs w:val="24"/>
          <w:lang w:val="es-MX" w:eastAsia="es-MX"/>
        </w:rPr>
        <w:drawing>
          <wp:inline distT="0" distB="0" distL="0" distR="0" wp14:anchorId="4A47950B" wp14:editId="372DAACD">
            <wp:extent cx="5288915" cy="1890664"/>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915" cy="1890664"/>
                    </a:xfrm>
                    <a:prstGeom prst="rect">
                      <a:avLst/>
                    </a:prstGeom>
                    <a:noFill/>
                    <a:ln>
                      <a:noFill/>
                    </a:ln>
                  </pic:spPr>
                </pic:pic>
              </a:graphicData>
            </a:graphic>
          </wp:inline>
        </w:drawing>
      </w:r>
    </w:p>
    <w:p w:rsidR="00E772C7" w:rsidRPr="00805203" w:rsidRDefault="00E772C7" w:rsidP="00805203">
      <w:pPr>
        <w:pStyle w:val="Prrafodelista"/>
        <w:spacing w:after="0" w:line="360" w:lineRule="auto"/>
        <w:ind w:left="0"/>
        <w:contextualSpacing/>
        <w:jc w:val="both"/>
        <w:rPr>
          <w:rFonts w:ascii="Arial" w:hAnsi="Arial" w:cs="Arial"/>
          <w:b/>
          <w:sz w:val="24"/>
          <w:szCs w:val="24"/>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En revisión de eventos posteriores, se observó que al mes de mayo de 2016 no han sido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recuperados.</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Recomendaciones en Relación a la Gestión o Control Interno.</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Ingresos por recuperar a corto plazo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6. Se observó que el Ente Público acredita al 100% el Impuesto al Valor Agregado que le 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trasladado, siendo que no todos sus ingresos son gravados con IVA, incumpliendo con lo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establecido en el artículo 5, fracción V, inciso C de la Ley del Impuesto al Valor Agregado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que establece: "c) Cuando el contribuyente utilice indistintamente bienes diferentes a las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inversiones a que se refiere el inciso d) de esta fracción, servicios o el uso o goce temporal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bienes, para realizar las actividades por las que se deba pagar el impuesto al valor</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agregado, para realizar actividades a las que conforme esta Ley les sea aplicable la tasa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0% o para realizar las actividades por las que no se deba pagar el impuesto que establece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esta Ley, el acreditamiento procederá únicamente en la proporción en la que el valor de las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actividades por las que deba pagarse el impuesto al valor agregado o a las que se aplique la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tasa de 0%, represente en el valor total de las actividades mencionadas que el contribuyente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realice en el mes de que se trate, y..."</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lastRenderedPageBreak/>
        <w:t>Activo no circulante</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Depreciación, deterioro y amortización acumulada de bienes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7. En el ejercicio 2015 el Ente Público proporcionó cálculo de la depreciación de bienes,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observando lo siguiente:</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 No realizó una estimación adecuada para la vida útil de los activos, dado que mantiene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en el inventario al 31 de diciembre de 2015 bienes que sobrepasan los años de utilidad que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se espera de los activos.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2.- No consideró una estimación del valor que tendrá el activo en la fecha en que dejará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ser útil para el Ente Público (valor de desecho).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3.- No proporcionó el dictamen técnico, peritaje obtenido o estudio realizado de la vida útil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los bienes que considere, según corresponda, los elementos siguientes:</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 El uso que el ente público espera realizar del activo. El uso se estima por referencia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 la capacidad o rendimiento físico esperado del activo.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b) El deterioro natural esperado, que depende de factores operativos tales como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el número de turnos de trabajo en los que será usado el bien, el programa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reparaciones y mantenimiento del ente, así como el nivel de cuidado y mantenimiento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mientras el activo no está siendo dedicado a tareas productivas.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 La obsolescencia técnica derivada de los cambios y mejoras en la producción, 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bien de los cambios en la demanda del mercado de los productos o servicios que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se obtienen con el activo; y</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d) Los límites legales o restricciones similares sobre el uso del activo, tales como las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fechas de caducidad de los contratos de servicio relacionados con el bien.</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Lo anterior en contravención de lo señalado en el Acuerdo por el que se emiten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las reglas específicas del registro y valoración del patrimonio (inciso B - punto 6-</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Depreciación, deterioro y amortización, del ejercicio y acumulada de bienes), estableciendo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su observancia obligatoria, de conformidad con el artículo 7 de la Ley General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Contabilidad Gubernamental.</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PASIVO</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Pasivo circulante</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Cuentas por pagar a corto plazo</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Otras cuentas por pagar a corto plazo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8. De la revisión a la clasificación contable, se observó que fueron registrados en la cuenta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otras cuentas por pagar a corto plazo, servicios prestados al Ente Público por $2,386,624,</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mismos que debieron registrarse en la cuenta de proveedores por pagar a corto plazo,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contraviniendo lo señalado en el capítulo III plan de cuentas (codificación 2.1.1.2) del Manual de Contabilidad Gubernamental, estableciéndose su observancia obligatoria,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conformidad con el artículo 7 de la Ley General de Contabilidad Gubernamental, los cuales</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r w:rsidRPr="00805203">
        <w:rPr>
          <w:rFonts w:ascii="Arial" w:hAnsi="Arial" w:cs="Arial"/>
          <w:sz w:val="24"/>
          <w:szCs w:val="24"/>
          <w:lang w:val="es-MX" w:eastAsia="es-ES"/>
        </w:rPr>
        <w:t>se integran como sigue:</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r w:rsidRPr="00805203">
        <w:rPr>
          <w:rFonts w:ascii="Arial" w:hAnsi="Arial" w:cs="Arial"/>
          <w:noProof/>
          <w:sz w:val="24"/>
          <w:szCs w:val="24"/>
          <w:lang w:val="es-MX" w:eastAsia="es-MX"/>
        </w:rPr>
        <w:lastRenderedPageBreak/>
        <w:drawing>
          <wp:inline distT="0" distB="0" distL="0" distR="0" wp14:anchorId="6DFE5236" wp14:editId="50A4D65B">
            <wp:extent cx="5288915" cy="1445802"/>
            <wp:effectExtent l="0" t="0" r="698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915" cy="1445802"/>
                    </a:xfrm>
                    <a:prstGeom prst="rect">
                      <a:avLst/>
                    </a:prstGeom>
                    <a:noFill/>
                    <a:ln>
                      <a:noFill/>
                    </a:ln>
                  </pic:spPr>
                </pic:pic>
              </a:graphicData>
            </a:graphic>
          </wp:inline>
        </w:drawing>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9. El Ente Público mantiene una cuenta por pagar al 31 de diciembre de 2015 por $2,186,350</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derivado de la contratación de un Estudio Topográfico-Fotogramétrico al proveedor</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Fotogrametría y Servicios Profesionales, S.A. de C.V. por $3,123,357 según contrato del 26</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mayo de 2014 y por el cual pagó el 30% ($937,007) con la póliza de egreso 432 del 19</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agosto de 2014. Observando lo siguiente:</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 No proporcionó ni fue exhibida la evidencia de los servicios prestados, debidamente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validada por quien recibió el servicio y quien autorizó su contratación, incumpliendo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 el artículo 16 fracción ll de la Ley de Fiscalización Superior del Estado de Nuevo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León.</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b) No se acreditó la recepción del servicio, por lo que no refleja una obligación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pago por ese concepto, incumpliendo con lo señalado por el Postulado número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8) "Devengo Contable" del Acuerdo por el que se emiten los postulados básicos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contabilidad gubernamental, estableciendo su observancia obligatoria en el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 xml:space="preserve">artículo 7, en concordancia con el artículo 34 de </w:t>
      </w:r>
      <w:r w:rsidRPr="00805203">
        <w:rPr>
          <w:rFonts w:ascii="Arial" w:hAnsi="Arial" w:cs="Arial"/>
          <w:sz w:val="24"/>
          <w:szCs w:val="24"/>
          <w:lang w:val="es-MX" w:eastAsia="es-ES"/>
        </w:rPr>
        <w:lastRenderedPageBreak/>
        <w:t>la Ley General de Contabilidad</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Gubernamental. (Esta observación es reincidente en relación con la cuenta pública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del 2014).</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 No ha sido registrado el anticipo en el activo circulante como un anticipo 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proveedores, en contravención a lo señalado por el capítulo III plan de cuentas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(codificación 1.1.3) del Manual de contabilidad gubernamental, estableciendo su</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observancia obligatoria de conformidad con el artículo 7 de la Ley General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Contabilidad Gubernamental (Esta observación es reincidente en relación con la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cuenta pública del 2014).</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Pasivo no circulante</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Provisiones a largo plazo</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Provisión para contingencias a largo plazo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10. El Ente Público omitió actualizar la valuación de los planes de beneficios para el retiro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correspondiente al ejercicio 2015, la cual debe hacerse, por lo menos, una vez al año a la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fecha de los estados financieros anuales o dentro de los tres meses anteriores, en forma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consistente, conforme al párrafo 78 de la NIF D3 "Beneficios a los empleados" emitida por</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el Consejo Mexicano de Normas de Información Financiera, A.C.</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r w:rsidRPr="00805203">
        <w:rPr>
          <w:rFonts w:ascii="Arial" w:hAnsi="Arial" w:cs="Arial"/>
          <w:i/>
          <w:iCs/>
          <w:sz w:val="24"/>
          <w:szCs w:val="24"/>
          <w:lang w:val="es-MX" w:eastAsia="es-ES"/>
        </w:rPr>
        <w:t>Recomendaciones en Relación a la Gestión o Control Interno.</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lastRenderedPageBreak/>
        <w:t>INGRESOS Y OTROS BENEFICIOS</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Otros ingresos y beneficios</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Otros ingresos y beneficios varios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11. De la revisión a los ingresos presentados en la Cuenta Pública al 31 de diciembre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2015, se observó que fueron considerados en la cuenta de otros ingresos y beneficios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varios, los ingresos de servicios prestados por $689,841, mismos que debieron reflejarse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en la cuenta de ingresos por venta de bienes y servicios, contraviniendo lo señalado en el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capítulo III plan de cuentas (codificación 4.1.7) del Manual de Contabilidad Gubernamental,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estableciendo su observancia obligatoria, de conformidad con el artículo 7 de la Ley General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Contabilidad Gubernamental, los cuales se integran como sigue:</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r w:rsidRPr="00805203">
        <w:rPr>
          <w:rFonts w:ascii="Arial" w:hAnsi="Arial" w:cs="Arial"/>
          <w:noProof/>
          <w:sz w:val="24"/>
          <w:szCs w:val="24"/>
          <w:lang w:val="es-MX" w:eastAsia="es-MX"/>
        </w:rPr>
        <w:drawing>
          <wp:inline distT="0" distB="0" distL="0" distR="0" wp14:anchorId="5EC03AE5" wp14:editId="0FA05B3B">
            <wp:extent cx="5288915" cy="3173349"/>
            <wp:effectExtent l="0" t="0" r="698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915" cy="3173349"/>
                    </a:xfrm>
                    <a:prstGeom prst="rect">
                      <a:avLst/>
                    </a:prstGeom>
                    <a:noFill/>
                    <a:ln>
                      <a:noFill/>
                    </a:ln>
                  </pic:spPr>
                </pic:pic>
              </a:graphicData>
            </a:graphic>
          </wp:inline>
        </w:drawing>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lastRenderedPageBreak/>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GASTOS Y OTRAS PÉRDIDAS</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Gastos de funcionamiento</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Servicios personales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12. Del análisis a las prestaciones del personal, se observó que el Ente Público no cuenta con un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manual de administración de remuneraciones, contraviniendo lo establecido en el artículo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34 de la Ley de Remuneraciones de los Servidores Públicos del Estado de Nuevo León.</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Remuneraciones al personal de carácter permanente</w:t>
      </w:r>
    </w:p>
    <w:p w:rsid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13. Se advirtió que el Director de Planeación, mantiene una relación laboral con el Ente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Público, según contrato individual de trabajo, se le considera para efectos impositivos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su retribución, sujeto al régimen fiscal de personas físicas con actividades empresariales 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profesionales (en el ejercicio 2015 se erogaron $803,263 por este concepto).</w:t>
      </w:r>
      <w:r w:rsidR="00805203">
        <w:rPr>
          <w:rFonts w:ascii="Arial" w:hAnsi="Arial" w:cs="Arial"/>
          <w:sz w:val="24"/>
          <w:szCs w:val="24"/>
          <w:lang w:val="es-MX" w:eastAsia="es-ES"/>
        </w:rPr>
        <w:t xml:space="preserve"> </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Observando que tales consideraciones resultan imprecisas, pues la carga impositiva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respecto de los ingresos obtenidos por las personas físicas por la prestación de un servicio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 xml:space="preserve">personal subordinado, por salarios y demás que deriven de una relación laboral, se regulan en el capítulo I del título IV de la </w:t>
      </w:r>
      <w:r w:rsidRPr="00805203">
        <w:rPr>
          <w:rFonts w:ascii="Arial" w:hAnsi="Arial" w:cs="Arial"/>
          <w:sz w:val="24"/>
          <w:szCs w:val="24"/>
          <w:lang w:val="es-MX" w:eastAsia="es-ES"/>
        </w:rPr>
        <w:lastRenderedPageBreak/>
        <w:t>Ley del Impuesto Sobre la Renta, relativo al régimen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salarios y prestación de servicios personales subordinados.</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En consecuencia, el Instituto no efectuó conforme al régimen aplicable a saber: salarios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y prestación de servicios personales subordinados, las retenciones y enteros mensuales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atinentes al pago provisional a cuenta del impuesto sobre la renta anual del citado empleado,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contraviniendo lo estipulado en el artículo 96 de la mencionada Ley del Impuesto Sobre la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Renta; ni cumplió con sus obligaciones fiscales relacionadas con el impuesto estatal sobre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nóminas, regulado en los artículos 154 al 160 Bis-5 de la Ley de Hacienda para el Estado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de Nuevo León.</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Además, desde el momento en que el trabajador toma posesión del empleo o encargo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para el que haya sido designado se entiende establecida la relación jurídica protegida por</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la Ley del Servicio Civil del Estado de Nuevo León en su artículo segundo y tercero, y</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en consecuencia no incorporó o inscribió al trabajador en alguna institución que preste el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servicio de seguridad social, contraviniendo el artículo 36 fracción X de la citada Ley, en</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concordancia con el artículo 15 fracción I de la Ley del Seguro Social.</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Esta observación es reincidente en relación con la cuenta pública del 2013 y 2014.</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Recomendaciones en Relación a la Gestión o Control Interno.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14. El Ente Público no incorporó o inscribió a siete de sus empleados en alguna institución que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preste el servicio de seguridad social, dichos trabajadores aparecen en la nómina o lista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raya, por lo que existe la relación jurídica protegida por la Ley del Servicio Civil del Estado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Nuevo León en sus artículos segundo y tercero, y en consecuencia contraviene lo señalado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por el artículo 36 fracción X de la citada Ley.</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Así mismo, el Instituto no efectuó conforme al régimen aplicable a saber, las retenciones por</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concepto de seguridad social y no realizó el pago de aportaciones patronales, incumpliendo</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 lo establecido en los artículos 3 y 58 de la Ley del Instituto de Seguridad y Servicios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Sociales de los Trabajadores del Estado de Nuevo León (Isssteleon).</w:t>
      </w:r>
    </w:p>
    <w:p w:rsidR="00805203" w:rsidRDefault="00805203"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Cabe señalar que al no contar los empleados con alguna prestación de seguridad</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social, representa un riesgo para el Ente Público en caso de accidentes y enfermedades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profesionales que sufran los trabajadores.</w:t>
      </w:r>
    </w:p>
    <w:p w:rsidR="00805203" w:rsidRDefault="00805203"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r w:rsidRPr="00805203">
        <w:rPr>
          <w:rFonts w:ascii="Arial" w:hAnsi="Arial" w:cs="Arial"/>
          <w:sz w:val="24"/>
          <w:szCs w:val="24"/>
          <w:lang w:val="es-MX" w:eastAsia="es-ES"/>
        </w:rPr>
        <w:t>Los empleados señalados son los siguientes:</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r w:rsidRPr="00805203">
        <w:rPr>
          <w:rFonts w:ascii="Arial" w:hAnsi="Arial" w:cs="Arial"/>
          <w:noProof/>
          <w:sz w:val="24"/>
          <w:szCs w:val="24"/>
          <w:lang w:val="es-MX" w:eastAsia="es-MX"/>
        </w:rPr>
        <w:drawing>
          <wp:inline distT="0" distB="0" distL="0" distR="0" wp14:anchorId="15D89976" wp14:editId="31841218">
            <wp:extent cx="2615565" cy="89344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5565" cy="893445"/>
                    </a:xfrm>
                    <a:prstGeom prst="rect">
                      <a:avLst/>
                    </a:prstGeom>
                    <a:noFill/>
                    <a:ln>
                      <a:noFill/>
                    </a:ln>
                  </pic:spPr>
                </pic:pic>
              </a:graphicData>
            </a:graphic>
          </wp:inline>
        </w:drawing>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r w:rsidRPr="00805203">
        <w:rPr>
          <w:rFonts w:ascii="Arial" w:hAnsi="Arial" w:cs="Arial"/>
          <w:noProof/>
          <w:sz w:val="24"/>
          <w:szCs w:val="24"/>
          <w:lang w:val="es-MX" w:eastAsia="es-MX"/>
        </w:rPr>
        <w:lastRenderedPageBreak/>
        <w:drawing>
          <wp:inline distT="0" distB="0" distL="0" distR="0" wp14:anchorId="32B6EE79" wp14:editId="2EE763F0">
            <wp:extent cx="2541270" cy="11055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1270" cy="1105535"/>
                    </a:xfrm>
                    <a:prstGeom prst="rect">
                      <a:avLst/>
                    </a:prstGeom>
                    <a:noFill/>
                    <a:ln>
                      <a:noFill/>
                    </a:ln>
                  </pic:spPr>
                </pic:pic>
              </a:graphicData>
            </a:graphic>
          </wp:inline>
        </w:drawing>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805203" w:rsidRDefault="00805203"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Materiales y suministros</w:t>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Materias primas y materiales de producción y comercialización</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15. De la revisión a la clasificación contable de los gastos, se observó que fueron registrados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en la cuenta de materiales y suministros, servicios prestados al Ente Público por</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$203,750, mismos que debieron registrarse en la cuenta de servicios profesionales, científicos y técnicos y otros servicios, contraviniendo lo señalado en el capítulo III plan de</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cuentas (codificación 5.1.3.3) del Manual de Contabilidad Gubernamental, estableciendo su</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observancia obligatoria, de conformidad con el artículo 7 de la Ley General de Contabilidad</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Gubernamental, los cuales se integran como sigue:</w:t>
      </w:r>
    </w:p>
    <w:p w:rsidR="00E772C7" w:rsidRPr="00805203" w:rsidRDefault="00E772C7" w:rsidP="00805203">
      <w:pPr>
        <w:pStyle w:val="Prrafodelista"/>
        <w:spacing w:after="0" w:line="360" w:lineRule="auto"/>
        <w:ind w:left="0"/>
        <w:contextualSpacing/>
        <w:jc w:val="both"/>
        <w:rPr>
          <w:rFonts w:ascii="Arial" w:hAnsi="Arial" w:cs="Arial"/>
          <w:b/>
          <w:bCs/>
          <w:sz w:val="24"/>
          <w:szCs w:val="24"/>
          <w:lang w:val="es-MX" w:eastAsia="es-ES"/>
        </w:rPr>
      </w:pPr>
      <w:r w:rsidRPr="00805203">
        <w:rPr>
          <w:rFonts w:ascii="Arial" w:hAnsi="Arial" w:cs="Arial"/>
          <w:noProof/>
          <w:sz w:val="24"/>
          <w:szCs w:val="24"/>
          <w:lang w:val="es-MX" w:eastAsia="es-MX"/>
        </w:rPr>
        <w:drawing>
          <wp:inline distT="0" distB="0" distL="0" distR="0" wp14:anchorId="7DF1A8B4" wp14:editId="3AE1FC46">
            <wp:extent cx="5288915" cy="1435738"/>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8915" cy="1435738"/>
                    </a:xfrm>
                    <a:prstGeom prst="rect">
                      <a:avLst/>
                    </a:prstGeom>
                    <a:noFill/>
                    <a:ln>
                      <a:noFill/>
                    </a:ln>
                  </pic:spPr>
                </pic:pic>
              </a:graphicData>
            </a:graphic>
          </wp:inline>
        </w:drawing>
      </w: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lastRenderedPageBreak/>
        <w:t>16. El Ente Público registró mediante póliza de egresos 421 del 20 de mayo de 2015 la</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contratación de la elaboración de una propuesta técnica-económica por precios unitarios,</w:t>
      </w:r>
      <w:r w:rsidR="00805203">
        <w:rPr>
          <w:rFonts w:ascii="Arial" w:hAnsi="Arial" w:cs="Arial"/>
          <w:sz w:val="24"/>
          <w:szCs w:val="24"/>
          <w:lang w:val="es-MX" w:eastAsia="es-ES"/>
        </w:rPr>
        <w:t xml:space="preserve"> </w:t>
      </w:r>
      <w:r w:rsidRPr="00805203">
        <w:rPr>
          <w:rFonts w:ascii="Arial" w:hAnsi="Arial" w:cs="Arial"/>
          <w:sz w:val="24"/>
          <w:szCs w:val="24"/>
          <w:lang w:val="es-MX" w:eastAsia="es-ES"/>
        </w:rPr>
        <w:t>para el proyecto "Muestreo y análisis de agua y suelo para ide</w:t>
      </w:r>
      <w:r w:rsidR="005B47F9">
        <w:rPr>
          <w:rFonts w:ascii="Arial" w:hAnsi="Arial" w:cs="Arial"/>
          <w:sz w:val="24"/>
          <w:szCs w:val="24"/>
          <w:lang w:val="es-MX" w:eastAsia="es-ES"/>
        </w:rPr>
        <w:t xml:space="preserve">ntificar posibles afectaciones, </w:t>
      </w:r>
      <w:r w:rsidRPr="00805203">
        <w:rPr>
          <w:rFonts w:ascii="Arial" w:hAnsi="Arial" w:cs="Arial"/>
          <w:sz w:val="24"/>
          <w:szCs w:val="24"/>
          <w:lang w:val="es-MX" w:eastAsia="es-ES"/>
        </w:rPr>
        <w:t>derivado del derrame por toma clandestina descontrolada</w:t>
      </w:r>
      <w:r w:rsidR="005B47F9">
        <w:rPr>
          <w:rFonts w:ascii="Arial" w:hAnsi="Arial" w:cs="Arial"/>
          <w:sz w:val="24"/>
          <w:szCs w:val="24"/>
          <w:lang w:val="es-MX" w:eastAsia="es-ES"/>
        </w:rPr>
        <w:t xml:space="preserve"> en el km. 463+525.20 oleoducto </w:t>
      </w:r>
      <w:r w:rsidRPr="00805203">
        <w:rPr>
          <w:rFonts w:ascii="Arial" w:hAnsi="Arial" w:cs="Arial"/>
          <w:sz w:val="24"/>
          <w:szCs w:val="24"/>
          <w:lang w:val="es-MX" w:eastAsia="es-ES"/>
        </w:rPr>
        <w:t xml:space="preserve">de 24 o línea 1 Madero-Cadereyta, correspondiente al sector </w:t>
      </w:r>
      <w:r w:rsidR="005B47F9">
        <w:rPr>
          <w:rFonts w:ascii="Arial" w:hAnsi="Arial" w:cs="Arial"/>
          <w:sz w:val="24"/>
          <w:szCs w:val="24"/>
          <w:lang w:val="es-MX" w:eastAsia="es-ES"/>
        </w:rPr>
        <w:t xml:space="preserve">ductos victorias, adscrito a la </w:t>
      </w:r>
      <w:r w:rsidRPr="00805203">
        <w:rPr>
          <w:rFonts w:ascii="Arial" w:hAnsi="Arial" w:cs="Arial"/>
          <w:sz w:val="24"/>
          <w:szCs w:val="24"/>
          <w:lang w:val="es-MX" w:eastAsia="es-ES"/>
        </w:rPr>
        <w:t>subgerencia de transporte por ducto norte", por $23,200 (IVA incluido).</w:t>
      </w:r>
    </w:p>
    <w:p w:rsidR="005B47F9" w:rsidRDefault="005B47F9"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5B47F9">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De lo anterior no proporcionó ni fue exhibida la eviden</w:t>
      </w:r>
      <w:r w:rsidR="005B47F9">
        <w:rPr>
          <w:rFonts w:ascii="Arial" w:hAnsi="Arial" w:cs="Arial"/>
          <w:sz w:val="24"/>
          <w:szCs w:val="24"/>
          <w:lang w:val="es-MX" w:eastAsia="es-ES"/>
        </w:rPr>
        <w:t xml:space="preserve">cia de los servicios prestados, </w:t>
      </w:r>
      <w:r w:rsidRPr="00805203">
        <w:rPr>
          <w:rFonts w:ascii="Arial" w:hAnsi="Arial" w:cs="Arial"/>
          <w:sz w:val="24"/>
          <w:szCs w:val="24"/>
          <w:lang w:val="es-MX" w:eastAsia="es-ES"/>
        </w:rPr>
        <w:t xml:space="preserve">debidamente validada por quien recibió el servicio y </w:t>
      </w:r>
      <w:r w:rsidR="005B47F9">
        <w:rPr>
          <w:rFonts w:ascii="Arial" w:hAnsi="Arial" w:cs="Arial"/>
          <w:sz w:val="24"/>
          <w:szCs w:val="24"/>
          <w:lang w:val="es-MX" w:eastAsia="es-ES"/>
        </w:rPr>
        <w:t xml:space="preserve">quien autorizó su contratación, </w:t>
      </w:r>
      <w:r w:rsidRPr="00805203">
        <w:rPr>
          <w:rFonts w:ascii="Arial" w:hAnsi="Arial" w:cs="Arial"/>
          <w:sz w:val="24"/>
          <w:szCs w:val="24"/>
          <w:lang w:val="es-MX" w:eastAsia="es-ES"/>
        </w:rPr>
        <w:t>incumpliendo con el artículo 16 fracción ll de la Ley de Fi</w:t>
      </w:r>
      <w:r w:rsidR="005B47F9">
        <w:rPr>
          <w:rFonts w:ascii="Arial" w:hAnsi="Arial" w:cs="Arial"/>
          <w:sz w:val="24"/>
          <w:szCs w:val="24"/>
          <w:lang w:val="es-MX" w:eastAsia="es-ES"/>
        </w:rPr>
        <w:t xml:space="preserve">scalización Superior del Estado </w:t>
      </w:r>
      <w:r w:rsidRPr="00805203">
        <w:rPr>
          <w:rFonts w:ascii="Arial" w:hAnsi="Arial" w:cs="Arial"/>
          <w:sz w:val="24"/>
          <w:szCs w:val="24"/>
          <w:lang w:val="es-MX" w:eastAsia="es-ES"/>
        </w:rPr>
        <w:t>de Nuevo León.</w:t>
      </w:r>
    </w:p>
    <w:p w:rsidR="005B47F9" w:rsidRDefault="005B47F9"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Servicios generales</w:t>
      </w:r>
    </w:p>
    <w:p w:rsidR="00E772C7" w:rsidRPr="00805203" w:rsidRDefault="00E772C7" w:rsidP="005B47F9">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17. Probable daño al patrimonio del Ente Público por $5,774, cor</w:t>
      </w:r>
      <w:r w:rsidR="005B47F9">
        <w:rPr>
          <w:rFonts w:ascii="Arial" w:hAnsi="Arial" w:cs="Arial"/>
          <w:sz w:val="24"/>
          <w:szCs w:val="24"/>
          <w:lang w:val="es-MX" w:eastAsia="es-ES"/>
        </w:rPr>
        <w:t xml:space="preserve">respondiente al pago de multas, </w:t>
      </w:r>
      <w:r w:rsidRPr="00805203">
        <w:rPr>
          <w:rFonts w:ascii="Arial" w:hAnsi="Arial" w:cs="Arial"/>
          <w:sz w:val="24"/>
          <w:szCs w:val="24"/>
          <w:lang w:val="es-MX" w:eastAsia="es-ES"/>
        </w:rPr>
        <w:t>recargos y actualizaciones, derivado de enterar en forma</w:t>
      </w:r>
      <w:r w:rsidR="005B47F9">
        <w:rPr>
          <w:rFonts w:ascii="Arial" w:hAnsi="Arial" w:cs="Arial"/>
          <w:sz w:val="24"/>
          <w:szCs w:val="24"/>
          <w:lang w:val="es-MX" w:eastAsia="es-ES"/>
        </w:rPr>
        <w:t xml:space="preserve"> extemporánea el Impuesto Sobre </w:t>
      </w:r>
      <w:r w:rsidRPr="00805203">
        <w:rPr>
          <w:rFonts w:ascii="Arial" w:hAnsi="Arial" w:cs="Arial"/>
          <w:sz w:val="24"/>
          <w:szCs w:val="24"/>
          <w:lang w:val="es-MX" w:eastAsia="es-ES"/>
        </w:rPr>
        <w:t>la Renta, contraviniendo a lo dispuesto en el artículo 96 pr</w:t>
      </w:r>
      <w:r w:rsidR="005B47F9">
        <w:rPr>
          <w:rFonts w:ascii="Arial" w:hAnsi="Arial" w:cs="Arial"/>
          <w:sz w:val="24"/>
          <w:szCs w:val="24"/>
          <w:lang w:val="es-MX" w:eastAsia="es-ES"/>
        </w:rPr>
        <w:t xml:space="preserve">imero y penúltimo párrafo de la </w:t>
      </w:r>
      <w:r w:rsidRPr="00805203">
        <w:rPr>
          <w:rFonts w:ascii="Arial" w:hAnsi="Arial" w:cs="Arial"/>
          <w:sz w:val="24"/>
          <w:szCs w:val="24"/>
          <w:lang w:val="es-MX" w:eastAsia="es-ES"/>
        </w:rPr>
        <w:t>Ley del Impuesto Sobre la Renta, registrado como sigue:</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r w:rsidRPr="00805203">
        <w:rPr>
          <w:rFonts w:ascii="Arial" w:hAnsi="Arial" w:cs="Arial"/>
          <w:noProof/>
          <w:sz w:val="24"/>
          <w:szCs w:val="24"/>
          <w:lang w:val="es-MX" w:eastAsia="es-MX"/>
        </w:rPr>
        <w:lastRenderedPageBreak/>
        <w:drawing>
          <wp:inline distT="0" distB="0" distL="0" distR="0" wp14:anchorId="0A97DF14" wp14:editId="7F55A6FA">
            <wp:extent cx="5288915" cy="1742376"/>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8915" cy="1742376"/>
                    </a:xfrm>
                    <a:prstGeom prst="rect">
                      <a:avLst/>
                    </a:prstGeom>
                    <a:noFill/>
                    <a:ln>
                      <a:noFill/>
                    </a:ln>
                  </pic:spPr>
                </pic:pic>
              </a:graphicData>
            </a:graphic>
          </wp:inline>
        </w:drawing>
      </w: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Análisis de la Auditoría Superior del Estado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Se analizó la respuesta presentada por el Extitular del</w:t>
      </w:r>
      <w:r w:rsidR="005B47F9">
        <w:rPr>
          <w:rFonts w:ascii="Arial" w:hAnsi="Arial" w:cs="Arial"/>
          <w:sz w:val="24"/>
          <w:szCs w:val="24"/>
          <w:lang w:val="es-MX" w:eastAsia="es-ES"/>
        </w:rPr>
        <w:t xml:space="preserve"> Ente Público, la cual solventa </w:t>
      </w:r>
      <w:r w:rsidRPr="00805203">
        <w:rPr>
          <w:rFonts w:ascii="Arial" w:hAnsi="Arial" w:cs="Arial"/>
          <w:sz w:val="24"/>
          <w:szCs w:val="24"/>
          <w:lang w:val="es-MX" w:eastAsia="es-ES"/>
        </w:rPr>
        <w:t>parcialmente, toda vez que si bien señala que fue deriva</w:t>
      </w:r>
      <w:r w:rsidR="005B47F9">
        <w:rPr>
          <w:rFonts w:ascii="Arial" w:hAnsi="Arial" w:cs="Arial"/>
          <w:sz w:val="24"/>
          <w:szCs w:val="24"/>
          <w:lang w:val="es-MX" w:eastAsia="es-ES"/>
        </w:rPr>
        <w:t xml:space="preserve">do de la carencia de recursos y </w:t>
      </w:r>
      <w:r w:rsidRPr="00805203">
        <w:rPr>
          <w:rFonts w:ascii="Arial" w:hAnsi="Arial" w:cs="Arial"/>
          <w:sz w:val="24"/>
          <w:szCs w:val="24"/>
          <w:lang w:val="es-MX" w:eastAsia="es-ES"/>
        </w:rPr>
        <w:t>suficiencia presupuestal, no se acompañó evidencia do</w:t>
      </w:r>
      <w:r w:rsidR="005B47F9">
        <w:rPr>
          <w:rFonts w:ascii="Arial" w:hAnsi="Arial" w:cs="Arial"/>
          <w:sz w:val="24"/>
          <w:szCs w:val="24"/>
          <w:lang w:val="es-MX" w:eastAsia="es-ES"/>
        </w:rPr>
        <w:t xml:space="preserve">cumental que permita corroborar </w:t>
      </w:r>
      <w:r w:rsidRPr="00805203">
        <w:rPr>
          <w:rFonts w:ascii="Arial" w:hAnsi="Arial" w:cs="Arial"/>
          <w:sz w:val="24"/>
          <w:szCs w:val="24"/>
          <w:lang w:val="es-MX" w:eastAsia="es-ES"/>
        </w:rPr>
        <w:t>dicha situación.</w:t>
      </w:r>
    </w:p>
    <w:p w:rsidR="005B47F9" w:rsidRDefault="005B47F9"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Pliego Presuntivos de Responsabilidades.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5B47F9" w:rsidRDefault="005B47F9"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Servicios de instalación, reparación, mantenimiento y conservación</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18. Durante el ejercicio 2015 el Ente Público registró pag</w:t>
      </w:r>
      <w:r w:rsidR="005B47F9">
        <w:rPr>
          <w:rFonts w:ascii="Arial" w:hAnsi="Arial" w:cs="Arial"/>
          <w:sz w:val="24"/>
          <w:szCs w:val="24"/>
          <w:lang w:val="es-MX" w:eastAsia="es-ES"/>
        </w:rPr>
        <w:t xml:space="preserve">os por servicios de limpieza al </w:t>
      </w:r>
      <w:r w:rsidRPr="00805203">
        <w:rPr>
          <w:rFonts w:ascii="Arial" w:hAnsi="Arial" w:cs="Arial"/>
          <w:sz w:val="24"/>
          <w:szCs w:val="24"/>
          <w:lang w:val="es-MX" w:eastAsia="es-ES"/>
        </w:rPr>
        <w:t>proveedor Más Limpieza Monterrey, S.A. de C.V. por $212,93</w:t>
      </w:r>
      <w:r w:rsidR="005B47F9">
        <w:rPr>
          <w:rFonts w:ascii="Arial" w:hAnsi="Arial" w:cs="Arial"/>
          <w:sz w:val="24"/>
          <w:szCs w:val="24"/>
          <w:lang w:val="es-MX" w:eastAsia="es-ES"/>
        </w:rPr>
        <w:t xml:space="preserve">1 (IVA incluido), no exhibiendo </w:t>
      </w:r>
      <w:r w:rsidRPr="00805203">
        <w:rPr>
          <w:rFonts w:ascii="Arial" w:hAnsi="Arial" w:cs="Arial"/>
          <w:sz w:val="24"/>
          <w:szCs w:val="24"/>
          <w:lang w:val="es-MX" w:eastAsia="es-ES"/>
        </w:rPr>
        <w:t>lo siguiente:</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a) Documentación que acredite que la selección del cit</w:t>
      </w:r>
      <w:r w:rsidR="005B47F9">
        <w:rPr>
          <w:rFonts w:ascii="Arial" w:hAnsi="Arial" w:cs="Arial"/>
          <w:sz w:val="24"/>
          <w:szCs w:val="24"/>
          <w:lang w:val="es-MX" w:eastAsia="es-ES"/>
        </w:rPr>
        <w:t xml:space="preserve">ado proveedor, estuvo precedida </w:t>
      </w:r>
      <w:r w:rsidRPr="00805203">
        <w:rPr>
          <w:rFonts w:ascii="Arial" w:hAnsi="Arial" w:cs="Arial"/>
          <w:sz w:val="24"/>
          <w:szCs w:val="24"/>
          <w:lang w:val="es-MX" w:eastAsia="es-ES"/>
        </w:rPr>
        <w:t>de alguno de los procedimientos enunciados</w:t>
      </w:r>
      <w:r w:rsidR="005B47F9">
        <w:rPr>
          <w:rFonts w:ascii="Arial" w:hAnsi="Arial" w:cs="Arial"/>
          <w:sz w:val="24"/>
          <w:szCs w:val="24"/>
          <w:lang w:val="es-MX" w:eastAsia="es-ES"/>
        </w:rPr>
        <w:t xml:space="preserve"> en el artículo 25 de la Ley de </w:t>
      </w:r>
      <w:r w:rsidRPr="00805203">
        <w:rPr>
          <w:rFonts w:ascii="Arial" w:hAnsi="Arial" w:cs="Arial"/>
          <w:sz w:val="24"/>
          <w:szCs w:val="24"/>
          <w:lang w:val="es-MX" w:eastAsia="es-ES"/>
        </w:rPr>
        <w:t>Adquisiciones, Arrendamientos y Contratación d</w:t>
      </w:r>
      <w:r w:rsidR="005B47F9">
        <w:rPr>
          <w:rFonts w:ascii="Arial" w:hAnsi="Arial" w:cs="Arial"/>
          <w:sz w:val="24"/>
          <w:szCs w:val="24"/>
          <w:lang w:val="es-MX" w:eastAsia="es-ES"/>
        </w:rPr>
        <w:t xml:space="preserve">e Servicios del Estado de Nuevo </w:t>
      </w:r>
      <w:r w:rsidRPr="00805203">
        <w:rPr>
          <w:rFonts w:ascii="Arial" w:hAnsi="Arial" w:cs="Arial"/>
          <w:sz w:val="24"/>
          <w:szCs w:val="24"/>
          <w:lang w:val="es-MX" w:eastAsia="es-ES"/>
        </w:rPr>
        <w:t xml:space="preserve">León, que acorde con el monto o naturaleza de la negociación, </w:t>
      </w:r>
      <w:r w:rsidRPr="00805203">
        <w:rPr>
          <w:rFonts w:ascii="Arial" w:hAnsi="Arial" w:cs="Arial"/>
          <w:sz w:val="24"/>
          <w:szCs w:val="24"/>
          <w:lang w:val="es-MX" w:eastAsia="es-ES"/>
        </w:rPr>
        <w:lastRenderedPageBreak/>
        <w:t>aseguraran al</w:t>
      </w:r>
      <w:r w:rsidR="005B47F9">
        <w:rPr>
          <w:rFonts w:ascii="Arial" w:hAnsi="Arial" w:cs="Arial"/>
          <w:sz w:val="24"/>
          <w:szCs w:val="24"/>
          <w:lang w:val="es-MX" w:eastAsia="es-ES"/>
        </w:rPr>
        <w:t xml:space="preserve"> </w:t>
      </w:r>
      <w:r w:rsidRPr="00805203">
        <w:rPr>
          <w:rFonts w:ascii="Arial" w:hAnsi="Arial" w:cs="Arial"/>
          <w:sz w:val="24"/>
          <w:szCs w:val="24"/>
          <w:lang w:val="es-MX" w:eastAsia="es-ES"/>
        </w:rPr>
        <w:t>Ente Público las mejores condiciones disponibles e</w:t>
      </w:r>
      <w:r w:rsidR="005B47F9">
        <w:rPr>
          <w:rFonts w:ascii="Arial" w:hAnsi="Arial" w:cs="Arial"/>
          <w:sz w:val="24"/>
          <w:szCs w:val="24"/>
          <w:lang w:val="es-MX" w:eastAsia="es-ES"/>
        </w:rPr>
        <w:t xml:space="preserve">n cuanto a precio, calidad, </w:t>
      </w:r>
      <w:r w:rsidRPr="00805203">
        <w:rPr>
          <w:rFonts w:ascii="Arial" w:hAnsi="Arial" w:cs="Arial"/>
          <w:sz w:val="24"/>
          <w:szCs w:val="24"/>
          <w:lang w:val="es-MX" w:eastAsia="es-ES"/>
        </w:rPr>
        <w:t>financiamiento y oportunidad.</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b) Investigación de mercado que haya servido de</w:t>
      </w:r>
      <w:r w:rsidR="005B47F9">
        <w:rPr>
          <w:rFonts w:ascii="Arial" w:hAnsi="Arial" w:cs="Arial"/>
          <w:sz w:val="24"/>
          <w:szCs w:val="24"/>
          <w:lang w:val="es-MX" w:eastAsia="es-ES"/>
        </w:rPr>
        <w:t xml:space="preserve"> base para determinar el precio </w:t>
      </w:r>
      <w:r w:rsidRPr="00805203">
        <w:rPr>
          <w:rFonts w:ascii="Arial" w:hAnsi="Arial" w:cs="Arial"/>
          <w:sz w:val="24"/>
          <w:szCs w:val="24"/>
          <w:lang w:val="es-MX" w:eastAsia="es-ES"/>
        </w:rPr>
        <w:t>máximo a pagar por los servicios, cotizacione</w:t>
      </w:r>
      <w:r w:rsidR="005B47F9">
        <w:rPr>
          <w:rFonts w:ascii="Arial" w:hAnsi="Arial" w:cs="Arial"/>
          <w:sz w:val="24"/>
          <w:szCs w:val="24"/>
          <w:lang w:val="es-MX" w:eastAsia="es-ES"/>
        </w:rPr>
        <w:t xml:space="preserve">s o propuestas para obtener las </w:t>
      </w:r>
      <w:r w:rsidRPr="00805203">
        <w:rPr>
          <w:rFonts w:ascii="Arial" w:hAnsi="Arial" w:cs="Arial"/>
          <w:sz w:val="24"/>
          <w:szCs w:val="24"/>
          <w:lang w:val="es-MX" w:eastAsia="es-ES"/>
        </w:rPr>
        <w:t>condiciones de precio y calidad más convenientes, y e</w:t>
      </w:r>
      <w:r w:rsidR="005B47F9">
        <w:rPr>
          <w:rFonts w:ascii="Arial" w:hAnsi="Arial" w:cs="Arial"/>
          <w:sz w:val="24"/>
          <w:szCs w:val="24"/>
          <w:lang w:val="es-MX" w:eastAsia="es-ES"/>
        </w:rPr>
        <w:t xml:space="preserve">n su caso el escrito y dictamen </w:t>
      </w:r>
      <w:r w:rsidRPr="00805203">
        <w:rPr>
          <w:rFonts w:ascii="Arial" w:hAnsi="Arial" w:cs="Arial"/>
          <w:sz w:val="24"/>
          <w:szCs w:val="24"/>
          <w:lang w:val="es-MX" w:eastAsia="es-ES"/>
        </w:rPr>
        <w:t>de excepción al procedimiento de licitación, así com</w:t>
      </w:r>
      <w:r w:rsidR="005B47F9">
        <w:rPr>
          <w:rFonts w:ascii="Arial" w:hAnsi="Arial" w:cs="Arial"/>
          <w:sz w:val="24"/>
          <w:szCs w:val="24"/>
          <w:lang w:val="es-MX" w:eastAsia="es-ES"/>
        </w:rPr>
        <w:t xml:space="preserve">o el informe trimestral enviado </w:t>
      </w:r>
      <w:r w:rsidRPr="00805203">
        <w:rPr>
          <w:rFonts w:ascii="Arial" w:hAnsi="Arial" w:cs="Arial"/>
          <w:sz w:val="24"/>
          <w:szCs w:val="24"/>
          <w:lang w:val="es-MX" w:eastAsia="es-ES"/>
        </w:rPr>
        <w:t>al órgano de control interno del ente público.</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c) Contrato en el que se establecieran las co</w:t>
      </w:r>
      <w:r w:rsidR="005B47F9">
        <w:rPr>
          <w:rFonts w:ascii="Arial" w:hAnsi="Arial" w:cs="Arial"/>
          <w:sz w:val="24"/>
          <w:szCs w:val="24"/>
          <w:lang w:val="es-MX" w:eastAsia="es-ES"/>
        </w:rPr>
        <w:t xml:space="preserve">ndiciones de entrega, calidad y </w:t>
      </w:r>
      <w:r w:rsidRPr="00805203">
        <w:rPr>
          <w:rFonts w:ascii="Arial" w:hAnsi="Arial" w:cs="Arial"/>
          <w:sz w:val="24"/>
          <w:szCs w:val="24"/>
          <w:lang w:val="es-MX" w:eastAsia="es-ES"/>
        </w:rPr>
        <w:t xml:space="preserve">especificaciones, formas de pago, penalizaciones </w:t>
      </w:r>
      <w:r w:rsidR="005B47F9">
        <w:rPr>
          <w:rFonts w:ascii="Arial" w:hAnsi="Arial" w:cs="Arial"/>
          <w:sz w:val="24"/>
          <w:szCs w:val="24"/>
          <w:lang w:val="es-MX" w:eastAsia="es-ES"/>
        </w:rPr>
        <w:t xml:space="preserve">para el caso de incumplimiento, </w:t>
      </w:r>
      <w:r w:rsidRPr="00805203">
        <w:rPr>
          <w:rFonts w:ascii="Arial" w:hAnsi="Arial" w:cs="Arial"/>
          <w:sz w:val="24"/>
          <w:szCs w:val="24"/>
          <w:lang w:val="es-MX" w:eastAsia="es-ES"/>
        </w:rPr>
        <w:t>monto a pagar, entre otros</w:t>
      </w:r>
    </w:p>
    <w:p w:rsidR="005B47F9" w:rsidRDefault="005B47F9" w:rsidP="00805203">
      <w:pPr>
        <w:autoSpaceDE w:val="0"/>
        <w:autoSpaceDN w:val="0"/>
        <w:adjustRightInd w:val="0"/>
        <w:spacing w:after="0" w:line="360" w:lineRule="auto"/>
        <w:jc w:val="both"/>
        <w:rPr>
          <w:rFonts w:ascii="Arial" w:hAnsi="Arial" w:cs="Arial"/>
          <w:sz w:val="24"/>
          <w:szCs w:val="24"/>
          <w:lang w:val="es-MX" w:eastAsia="es-ES"/>
        </w:rPr>
      </w:pPr>
    </w:p>
    <w:p w:rsidR="00E772C7" w:rsidRPr="00805203" w:rsidRDefault="00E772C7" w:rsidP="005B47F9">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Lo anterior en contravención a lo establecido en los artícu</w:t>
      </w:r>
      <w:r w:rsidR="005B47F9">
        <w:rPr>
          <w:rFonts w:ascii="Arial" w:hAnsi="Arial" w:cs="Arial"/>
          <w:sz w:val="24"/>
          <w:szCs w:val="24"/>
          <w:lang w:val="es-MX" w:eastAsia="es-ES"/>
        </w:rPr>
        <w:t xml:space="preserve">los 16 fracción V, 25, 26, 41 y </w:t>
      </w:r>
      <w:r w:rsidRPr="00805203">
        <w:rPr>
          <w:rFonts w:ascii="Arial" w:hAnsi="Arial" w:cs="Arial"/>
          <w:sz w:val="24"/>
          <w:szCs w:val="24"/>
          <w:lang w:val="es-MX" w:eastAsia="es-ES"/>
        </w:rPr>
        <w:t>46 de la Ley de Adquisiciones, Arrendamientos y Contratación d</w:t>
      </w:r>
      <w:r w:rsidR="005B47F9">
        <w:rPr>
          <w:rFonts w:ascii="Arial" w:hAnsi="Arial" w:cs="Arial"/>
          <w:sz w:val="24"/>
          <w:szCs w:val="24"/>
          <w:lang w:val="es-MX" w:eastAsia="es-ES"/>
        </w:rPr>
        <w:t xml:space="preserve">e Servicios del Estado de </w:t>
      </w:r>
      <w:r w:rsidRPr="00805203">
        <w:rPr>
          <w:rFonts w:ascii="Arial" w:hAnsi="Arial" w:cs="Arial"/>
          <w:sz w:val="24"/>
          <w:szCs w:val="24"/>
          <w:lang w:val="es-MX" w:eastAsia="es-ES"/>
        </w:rPr>
        <w:t>Nuevo León, en concordancia con los artículos 42 al 4</w:t>
      </w:r>
      <w:r w:rsidR="005B47F9">
        <w:rPr>
          <w:rFonts w:ascii="Arial" w:hAnsi="Arial" w:cs="Arial"/>
          <w:sz w:val="24"/>
          <w:szCs w:val="24"/>
          <w:lang w:val="es-MX" w:eastAsia="es-ES"/>
        </w:rPr>
        <w:t xml:space="preserve">6 segundo párrafo y 87 y 89 del </w:t>
      </w:r>
      <w:r w:rsidRPr="00805203">
        <w:rPr>
          <w:rFonts w:ascii="Arial" w:hAnsi="Arial" w:cs="Arial"/>
          <w:sz w:val="24"/>
          <w:szCs w:val="24"/>
          <w:lang w:val="es-MX" w:eastAsia="es-ES"/>
        </w:rPr>
        <w:t xml:space="preserve">Reglamento de la Ley de Adquisiciones, Arrendamientos </w:t>
      </w:r>
      <w:r w:rsidR="005B47F9">
        <w:rPr>
          <w:rFonts w:ascii="Arial" w:hAnsi="Arial" w:cs="Arial"/>
          <w:sz w:val="24"/>
          <w:szCs w:val="24"/>
          <w:lang w:val="es-MX" w:eastAsia="es-ES"/>
        </w:rPr>
        <w:t xml:space="preserve">y Contratación de Servicios del </w:t>
      </w:r>
      <w:r w:rsidRPr="00805203">
        <w:rPr>
          <w:rFonts w:ascii="Arial" w:hAnsi="Arial" w:cs="Arial"/>
          <w:sz w:val="24"/>
          <w:szCs w:val="24"/>
          <w:lang w:val="es-MX" w:eastAsia="es-ES"/>
        </w:rPr>
        <w:t>Estado de Nuevo León.</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5B47F9" w:rsidRDefault="005B47F9" w:rsidP="00805203">
      <w:pPr>
        <w:autoSpaceDE w:val="0"/>
        <w:autoSpaceDN w:val="0"/>
        <w:adjustRightInd w:val="0"/>
        <w:spacing w:after="0" w:line="360" w:lineRule="auto"/>
        <w:jc w:val="both"/>
        <w:rPr>
          <w:rFonts w:ascii="Arial" w:hAnsi="Arial" w:cs="Arial"/>
          <w:b/>
          <w:bCs/>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Servicios profesionales, científicos y técnicos y otros servicios</w:t>
      </w:r>
    </w:p>
    <w:p w:rsidR="00E772C7" w:rsidRPr="00805203" w:rsidRDefault="00E772C7" w:rsidP="00805203">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19. El Ente Público registró mediante póliza de egresos 432</w:t>
      </w:r>
      <w:r w:rsidR="005B47F9">
        <w:rPr>
          <w:rFonts w:ascii="Arial" w:hAnsi="Arial" w:cs="Arial"/>
          <w:sz w:val="24"/>
          <w:szCs w:val="24"/>
          <w:lang w:val="es-MX" w:eastAsia="es-ES"/>
        </w:rPr>
        <w:t xml:space="preserve"> del 21 de diciembre de 2015 la </w:t>
      </w:r>
      <w:r w:rsidRPr="00805203">
        <w:rPr>
          <w:rFonts w:ascii="Arial" w:hAnsi="Arial" w:cs="Arial"/>
          <w:sz w:val="24"/>
          <w:szCs w:val="24"/>
          <w:lang w:val="es-MX" w:eastAsia="es-ES"/>
        </w:rPr>
        <w:t>contratación de la elaboración de manifestación de impacto ambiental modalidad general</w:t>
      </w:r>
      <w:r w:rsidR="005B47F9">
        <w:rPr>
          <w:rFonts w:ascii="Arial" w:hAnsi="Arial" w:cs="Arial"/>
          <w:sz w:val="24"/>
          <w:szCs w:val="24"/>
          <w:lang w:val="es-MX" w:eastAsia="es-ES"/>
        </w:rPr>
        <w:t xml:space="preserve"> </w:t>
      </w:r>
      <w:r w:rsidRPr="00805203">
        <w:rPr>
          <w:rFonts w:ascii="Arial" w:hAnsi="Arial" w:cs="Arial"/>
          <w:sz w:val="24"/>
          <w:szCs w:val="24"/>
          <w:lang w:val="es-MX" w:eastAsia="es-ES"/>
        </w:rPr>
        <w:t>para el proyecto "Ampliación de planta tratamiento de aguas residuales de Zuazua",</w:t>
      </w:r>
      <w:r w:rsidR="005B47F9">
        <w:rPr>
          <w:rFonts w:ascii="Arial" w:hAnsi="Arial" w:cs="Arial"/>
          <w:sz w:val="24"/>
          <w:szCs w:val="24"/>
          <w:lang w:val="es-MX" w:eastAsia="es-ES"/>
        </w:rPr>
        <w:t xml:space="preserve"> </w:t>
      </w:r>
      <w:r w:rsidRPr="00805203">
        <w:rPr>
          <w:rFonts w:ascii="Arial" w:hAnsi="Arial" w:cs="Arial"/>
          <w:sz w:val="24"/>
          <w:szCs w:val="24"/>
          <w:lang w:val="es-MX" w:eastAsia="es-ES"/>
        </w:rPr>
        <w:t xml:space="preserve">al proveedor Envirosol, S.A. de </w:t>
      </w:r>
      <w:r w:rsidRPr="00805203">
        <w:rPr>
          <w:rFonts w:ascii="Arial" w:hAnsi="Arial" w:cs="Arial"/>
          <w:sz w:val="24"/>
          <w:szCs w:val="24"/>
          <w:lang w:val="es-MX" w:eastAsia="es-ES"/>
        </w:rPr>
        <w:lastRenderedPageBreak/>
        <w:t>C.V. por $17,500 (I</w:t>
      </w:r>
      <w:r w:rsidR="005B47F9">
        <w:rPr>
          <w:rFonts w:ascii="Arial" w:hAnsi="Arial" w:cs="Arial"/>
          <w:sz w:val="24"/>
          <w:szCs w:val="24"/>
          <w:lang w:val="es-MX" w:eastAsia="es-ES"/>
        </w:rPr>
        <w:t xml:space="preserve">VA incluido), observando que no </w:t>
      </w:r>
      <w:r w:rsidRPr="00805203">
        <w:rPr>
          <w:rFonts w:ascii="Arial" w:hAnsi="Arial" w:cs="Arial"/>
          <w:sz w:val="24"/>
          <w:szCs w:val="24"/>
          <w:lang w:val="es-MX" w:eastAsia="es-ES"/>
        </w:rPr>
        <w:t>proporcionó ni fue exhibido el manifiesto de impacto ambiental expedido por la SEMARNAT.</w:t>
      </w:r>
    </w:p>
    <w:p w:rsidR="00E772C7" w:rsidRPr="00805203" w:rsidRDefault="00E772C7" w:rsidP="005B47F9">
      <w:pPr>
        <w:autoSpaceDE w:val="0"/>
        <w:autoSpaceDN w:val="0"/>
        <w:adjustRightInd w:val="0"/>
        <w:spacing w:after="0" w:line="360" w:lineRule="auto"/>
        <w:jc w:val="both"/>
        <w:rPr>
          <w:rFonts w:ascii="Arial" w:hAnsi="Arial" w:cs="Arial"/>
          <w:sz w:val="24"/>
          <w:szCs w:val="24"/>
          <w:lang w:val="es-MX" w:eastAsia="es-ES"/>
        </w:rPr>
      </w:pPr>
      <w:r w:rsidRPr="00805203">
        <w:rPr>
          <w:rFonts w:ascii="Arial" w:hAnsi="Arial" w:cs="Arial"/>
          <w:sz w:val="24"/>
          <w:szCs w:val="24"/>
          <w:lang w:val="es-MX" w:eastAsia="es-ES"/>
        </w:rPr>
        <w:t>Lo anterior en contravención a lo señalado por el a</w:t>
      </w:r>
      <w:r w:rsidR="005B47F9">
        <w:rPr>
          <w:rFonts w:ascii="Arial" w:hAnsi="Arial" w:cs="Arial"/>
          <w:sz w:val="24"/>
          <w:szCs w:val="24"/>
          <w:lang w:val="es-MX" w:eastAsia="es-ES"/>
        </w:rPr>
        <w:t xml:space="preserve">rtículo 42 de la Ley General de </w:t>
      </w:r>
      <w:r w:rsidRPr="00805203">
        <w:rPr>
          <w:rFonts w:ascii="Arial" w:hAnsi="Arial" w:cs="Arial"/>
          <w:sz w:val="24"/>
          <w:szCs w:val="24"/>
          <w:lang w:val="es-MX" w:eastAsia="es-ES"/>
        </w:rPr>
        <w:t>Contabilidad Gubernamental en concordancia con el artícul</w:t>
      </w:r>
      <w:r w:rsidR="005B47F9">
        <w:rPr>
          <w:rFonts w:ascii="Arial" w:hAnsi="Arial" w:cs="Arial"/>
          <w:sz w:val="24"/>
          <w:szCs w:val="24"/>
          <w:lang w:val="es-MX" w:eastAsia="es-ES"/>
        </w:rPr>
        <w:t xml:space="preserve">o 15 y 16 fracción II de la Ley </w:t>
      </w:r>
      <w:r w:rsidRPr="00805203">
        <w:rPr>
          <w:rFonts w:ascii="Arial" w:hAnsi="Arial" w:cs="Arial"/>
          <w:sz w:val="24"/>
          <w:szCs w:val="24"/>
          <w:lang w:val="es-MX" w:eastAsia="es-ES"/>
        </w:rPr>
        <w:t>de Fiscalización Superior del Estado de Nuevo León.</w:t>
      </w:r>
    </w:p>
    <w:p w:rsidR="00E772C7" w:rsidRPr="00805203" w:rsidRDefault="00E772C7" w:rsidP="00805203">
      <w:pPr>
        <w:pStyle w:val="Prrafodelista"/>
        <w:spacing w:after="0" w:line="360" w:lineRule="auto"/>
        <w:ind w:left="0"/>
        <w:contextualSpacing/>
        <w:jc w:val="both"/>
        <w:rPr>
          <w:rFonts w:ascii="Arial" w:hAnsi="Arial" w:cs="Arial"/>
          <w:sz w:val="24"/>
          <w:szCs w:val="24"/>
          <w:lang w:val="es-MX" w:eastAsia="es-ES"/>
        </w:rPr>
      </w:pPr>
    </w:p>
    <w:p w:rsidR="00E772C7" w:rsidRPr="00805203" w:rsidRDefault="00E772C7" w:rsidP="00805203">
      <w:pPr>
        <w:autoSpaceDE w:val="0"/>
        <w:autoSpaceDN w:val="0"/>
        <w:adjustRightInd w:val="0"/>
        <w:spacing w:after="0" w:line="360" w:lineRule="auto"/>
        <w:jc w:val="both"/>
        <w:rPr>
          <w:rFonts w:ascii="Arial" w:hAnsi="Arial" w:cs="Arial"/>
          <w:b/>
          <w:bCs/>
          <w:sz w:val="24"/>
          <w:szCs w:val="24"/>
          <w:lang w:val="es-MX" w:eastAsia="es-ES"/>
        </w:rPr>
      </w:pPr>
      <w:r w:rsidRPr="00805203">
        <w:rPr>
          <w:rFonts w:ascii="Arial" w:hAnsi="Arial" w:cs="Arial"/>
          <w:b/>
          <w:bCs/>
          <w:sz w:val="24"/>
          <w:szCs w:val="24"/>
          <w:lang w:val="es-MX" w:eastAsia="es-ES"/>
        </w:rPr>
        <w:t>Acción(es) o recomendación(es) emitida(s)</w:t>
      </w:r>
    </w:p>
    <w:p w:rsidR="00E772C7" w:rsidRPr="00805203" w:rsidRDefault="00E772C7" w:rsidP="00805203">
      <w:pPr>
        <w:autoSpaceDE w:val="0"/>
        <w:autoSpaceDN w:val="0"/>
        <w:adjustRightInd w:val="0"/>
        <w:spacing w:after="0" w:line="360" w:lineRule="auto"/>
        <w:jc w:val="both"/>
        <w:rPr>
          <w:rFonts w:ascii="Arial" w:hAnsi="Arial" w:cs="Arial"/>
          <w:i/>
          <w:iCs/>
          <w:sz w:val="24"/>
          <w:szCs w:val="24"/>
          <w:lang w:val="es-MX" w:eastAsia="es-ES"/>
        </w:rPr>
      </w:pPr>
      <w:r w:rsidRPr="00805203">
        <w:rPr>
          <w:rFonts w:ascii="Arial" w:hAnsi="Arial" w:cs="Arial"/>
          <w:i/>
          <w:iCs/>
          <w:sz w:val="24"/>
          <w:szCs w:val="24"/>
          <w:lang w:val="es-MX" w:eastAsia="es-ES"/>
        </w:rPr>
        <w:t>Pliego Presuntivos de Responsabilidades.</w:t>
      </w:r>
    </w:p>
    <w:p w:rsidR="00E772C7" w:rsidRPr="00805203" w:rsidRDefault="00E772C7" w:rsidP="00805203">
      <w:pPr>
        <w:pStyle w:val="Prrafodelista"/>
        <w:spacing w:after="0" w:line="360" w:lineRule="auto"/>
        <w:ind w:left="0"/>
        <w:contextualSpacing/>
        <w:jc w:val="both"/>
        <w:rPr>
          <w:rFonts w:ascii="Arial" w:hAnsi="Arial" w:cs="Arial"/>
          <w:i/>
          <w:iCs/>
          <w:sz w:val="24"/>
          <w:szCs w:val="24"/>
          <w:lang w:val="es-MX" w:eastAsia="es-ES"/>
        </w:rPr>
      </w:pPr>
      <w:r w:rsidRPr="00805203">
        <w:rPr>
          <w:rFonts w:ascii="Arial" w:hAnsi="Arial" w:cs="Arial"/>
          <w:i/>
          <w:iCs/>
          <w:sz w:val="24"/>
          <w:szCs w:val="24"/>
          <w:lang w:val="es-MX" w:eastAsia="es-ES"/>
        </w:rPr>
        <w:t>Promoción de Fincamiento de Responsabilidad Administrativa.</w:t>
      </w:r>
    </w:p>
    <w:p w:rsidR="00E44D8D" w:rsidRPr="00805203" w:rsidRDefault="00E44D8D" w:rsidP="00805203">
      <w:pPr>
        <w:pStyle w:val="Prrafodelista"/>
        <w:spacing w:after="0" w:line="360" w:lineRule="auto"/>
        <w:ind w:left="0"/>
        <w:contextualSpacing/>
        <w:jc w:val="both"/>
        <w:rPr>
          <w:rFonts w:ascii="Arial" w:hAnsi="Arial" w:cs="Arial"/>
          <w:i/>
          <w:iCs/>
          <w:sz w:val="24"/>
          <w:szCs w:val="24"/>
          <w:lang w:val="es-MX" w:eastAsia="es-ES"/>
        </w:rPr>
      </w:pPr>
    </w:p>
    <w:p w:rsidR="00544663" w:rsidRPr="00544663" w:rsidRDefault="00544663" w:rsidP="00544663">
      <w:pPr>
        <w:pStyle w:val="Prrafodelista"/>
        <w:spacing w:after="0"/>
        <w:ind w:left="1080"/>
        <w:contextualSpacing/>
        <w:jc w:val="both"/>
        <w:rPr>
          <w:rFonts w:ascii="Arial" w:hAnsi="Arial" w:cs="Arial"/>
          <w:b/>
          <w:sz w:val="24"/>
        </w:rPr>
      </w:pPr>
    </w:p>
    <w:p w:rsidR="009C0345" w:rsidRPr="001448FD" w:rsidRDefault="009C0345" w:rsidP="000B3CD1">
      <w:pPr>
        <w:pStyle w:val="Prrafodelista"/>
        <w:numPr>
          <w:ilvl w:val="0"/>
          <w:numId w:val="15"/>
        </w:numPr>
        <w:spacing w:after="0"/>
        <w:contextualSpacing/>
        <w:jc w:val="both"/>
        <w:rPr>
          <w:rFonts w:ascii="Arial" w:hAnsi="Arial" w:cs="Arial"/>
          <w:b/>
          <w:sz w:val="24"/>
        </w:rPr>
      </w:pPr>
      <w:r w:rsidRPr="001448FD">
        <w:rPr>
          <w:rFonts w:ascii="Arial" w:hAnsi="Arial" w:cs="Arial"/>
          <w:b/>
          <w:bCs/>
          <w:sz w:val="24"/>
        </w:rPr>
        <w:t>Trámite y resultados obtenidos, derivados de las solicitudes formuladas por el H. Congreso del Estado.</w:t>
      </w:r>
    </w:p>
    <w:p w:rsidR="009C0345" w:rsidRPr="00B67BEE" w:rsidRDefault="009C0345" w:rsidP="00CC01F6">
      <w:pPr>
        <w:spacing w:after="0"/>
        <w:rPr>
          <w:rFonts w:ascii="Arial" w:hAnsi="Arial" w:cs="Arial"/>
          <w:b/>
          <w:sz w:val="24"/>
        </w:rPr>
      </w:pPr>
    </w:p>
    <w:p w:rsidR="00853ABF" w:rsidRDefault="000B3CD1" w:rsidP="000B3CD1">
      <w:pPr>
        <w:autoSpaceDE w:val="0"/>
        <w:autoSpaceDN w:val="0"/>
        <w:adjustRightInd w:val="0"/>
        <w:spacing w:after="0" w:line="240" w:lineRule="auto"/>
        <w:rPr>
          <w:rFonts w:ascii="Arial" w:hAnsi="Arial" w:cs="Arial"/>
          <w:sz w:val="24"/>
          <w:szCs w:val="24"/>
          <w:lang w:val="es-MX" w:eastAsia="es-ES"/>
        </w:rPr>
      </w:pPr>
      <w:r>
        <w:rPr>
          <w:rFonts w:ascii="Arial" w:hAnsi="Arial" w:cs="Arial"/>
          <w:sz w:val="24"/>
          <w:szCs w:val="24"/>
          <w:lang w:val="es-MX" w:eastAsia="es-ES"/>
        </w:rPr>
        <w:t>No se recibieron solicitudes del H. Congreso del Estado relacionadas con la Cuenta Pública cuya revisión se informa.</w:t>
      </w:r>
    </w:p>
    <w:p w:rsidR="005917E2" w:rsidRDefault="005917E2" w:rsidP="005917E2">
      <w:pPr>
        <w:autoSpaceDE w:val="0"/>
        <w:autoSpaceDN w:val="0"/>
        <w:adjustRightInd w:val="0"/>
        <w:spacing w:after="0"/>
        <w:jc w:val="both"/>
        <w:rPr>
          <w:rFonts w:ascii="Arial" w:hAnsi="Arial" w:cs="Arial"/>
          <w:sz w:val="24"/>
          <w:szCs w:val="24"/>
          <w:lang w:val="es-MX" w:eastAsia="es-ES"/>
        </w:rPr>
      </w:pPr>
    </w:p>
    <w:p w:rsidR="005917E2" w:rsidRPr="005917E2" w:rsidRDefault="005917E2" w:rsidP="005917E2">
      <w:pPr>
        <w:autoSpaceDE w:val="0"/>
        <w:autoSpaceDN w:val="0"/>
        <w:adjustRightInd w:val="0"/>
        <w:spacing w:after="0"/>
        <w:jc w:val="both"/>
        <w:rPr>
          <w:rFonts w:ascii="Arial" w:hAnsi="Arial" w:cs="Arial"/>
          <w:sz w:val="24"/>
        </w:rPr>
      </w:pPr>
    </w:p>
    <w:p w:rsidR="009C0345" w:rsidRPr="0014216A" w:rsidRDefault="009C0345" w:rsidP="000B3CD1">
      <w:pPr>
        <w:pStyle w:val="Prrafodelista"/>
        <w:numPr>
          <w:ilvl w:val="0"/>
          <w:numId w:val="15"/>
        </w:numPr>
        <w:spacing w:after="0"/>
        <w:contextualSpacing/>
        <w:jc w:val="both"/>
        <w:rPr>
          <w:rFonts w:ascii="Arial" w:hAnsi="Arial" w:cs="Arial"/>
          <w:b/>
          <w:bCs/>
          <w:sz w:val="24"/>
        </w:rPr>
      </w:pPr>
      <w:r w:rsidRPr="0014216A">
        <w:rPr>
          <w:rFonts w:ascii="Arial" w:hAnsi="Arial" w:cs="Arial"/>
          <w:b/>
          <w:bCs/>
          <w:sz w:val="24"/>
        </w:rPr>
        <w:t>Resultados de la revisión de situación excepcional.</w:t>
      </w:r>
    </w:p>
    <w:p w:rsidR="009C0345" w:rsidRPr="00B67BEE" w:rsidRDefault="009C0345" w:rsidP="00CC01F6">
      <w:pPr>
        <w:spacing w:after="0"/>
        <w:rPr>
          <w:rFonts w:ascii="Arial" w:hAnsi="Arial" w:cs="Arial"/>
          <w:b/>
          <w:bCs/>
          <w:sz w:val="24"/>
        </w:rPr>
      </w:pPr>
    </w:p>
    <w:p w:rsidR="009C0345" w:rsidRPr="00B67BEE" w:rsidRDefault="00720E1D" w:rsidP="00CC01F6">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0B3CD1" w:rsidRDefault="009C0345" w:rsidP="000B3CD1">
      <w:pPr>
        <w:pStyle w:val="Prrafodelista"/>
        <w:numPr>
          <w:ilvl w:val="0"/>
          <w:numId w:val="15"/>
        </w:numPr>
        <w:spacing w:after="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0B3CD1">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w:t>
      </w:r>
      <w:r w:rsidR="00CC01F6">
        <w:rPr>
          <w:rFonts w:ascii="Arial" w:eastAsia="Times New Roman" w:hAnsi="Arial" w:cs="Arial"/>
          <w:b/>
          <w:bCs/>
          <w:sz w:val="24"/>
          <w:szCs w:val="24"/>
          <w:lang w:eastAsia="es-MX"/>
        </w:rPr>
        <w:t>uenta</w:t>
      </w:r>
      <w:r w:rsidR="000B3CD1">
        <w:rPr>
          <w:rFonts w:ascii="Arial" w:eastAsia="Times New Roman" w:hAnsi="Arial" w:cs="Arial"/>
          <w:b/>
          <w:bCs/>
          <w:sz w:val="24"/>
          <w:szCs w:val="24"/>
          <w:lang w:eastAsia="es-MX"/>
        </w:rPr>
        <w:t>s</w:t>
      </w:r>
      <w:r w:rsidR="00CC01F6">
        <w:rPr>
          <w:rFonts w:ascii="Arial" w:eastAsia="Times New Roman" w:hAnsi="Arial" w:cs="Arial"/>
          <w:b/>
          <w:bCs/>
          <w:sz w:val="24"/>
          <w:szCs w:val="24"/>
          <w:lang w:eastAsia="es-MX"/>
        </w:rPr>
        <w:t xml:space="preserve"> Pública</w:t>
      </w:r>
      <w:r w:rsidR="000B3CD1">
        <w:rPr>
          <w:rFonts w:ascii="Arial" w:eastAsia="Times New Roman" w:hAnsi="Arial" w:cs="Arial"/>
          <w:b/>
          <w:bCs/>
          <w:sz w:val="24"/>
          <w:szCs w:val="24"/>
          <w:lang w:eastAsia="es-MX"/>
        </w:rPr>
        <w:t>s</w:t>
      </w:r>
      <w:r w:rsidR="00C5462A">
        <w:rPr>
          <w:rFonts w:ascii="Arial" w:eastAsia="Times New Roman" w:hAnsi="Arial" w:cs="Arial"/>
          <w:b/>
          <w:bCs/>
          <w:sz w:val="24"/>
          <w:szCs w:val="24"/>
          <w:lang w:eastAsia="es-MX"/>
        </w:rPr>
        <w:t xml:space="preserve"> de</w:t>
      </w:r>
      <w:r w:rsidR="000B3CD1">
        <w:rPr>
          <w:rFonts w:ascii="Arial" w:eastAsia="Times New Roman" w:hAnsi="Arial" w:cs="Arial"/>
          <w:b/>
          <w:bCs/>
          <w:sz w:val="24"/>
          <w:szCs w:val="24"/>
          <w:lang w:eastAsia="es-MX"/>
        </w:rPr>
        <w:t xml:space="preserve"> </w:t>
      </w:r>
      <w:r w:rsidR="00C5462A">
        <w:rPr>
          <w:rFonts w:ascii="Arial" w:eastAsia="Times New Roman" w:hAnsi="Arial" w:cs="Arial"/>
          <w:b/>
          <w:bCs/>
          <w:sz w:val="24"/>
          <w:szCs w:val="24"/>
          <w:lang w:eastAsia="es-MX"/>
        </w:rPr>
        <w:t>l</w:t>
      </w:r>
      <w:r w:rsidR="000B3CD1">
        <w:rPr>
          <w:rFonts w:ascii="Arial" w:eastAsia="Times New Roman" w:hAnsi="Arial" w:cs="Arial"/>
          <w:b/>
          <w:bCs/>
          <w:sz w:val="24"/>
          <w:szCs w:val="24"/>
          <w:lang w:eastAsia="es-MX"/>
        </w:rPr>
        <w:t>os</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ejercicio</w:t>
      </w:r>
      <w:r w:rsidR="000B3CD1">
        <w:rPr>
          <w:rFonts w:ascii="Arial" w:eastAsia="Times New Roman" w:hAnsi="Arial" w:cs="Arial"/>
          <w:b/>
          <w:bCs/>
          <w:sz w:val="24"/>
          <w:szCs w:val="24"/>
          <w:lang w:eastAsia="es-MX"/>
        </w:rPr>
        <w:t>s</w:t>
      </w:r>
      <w:r w:rsidR="006925C6">
        <w:rPr>
          <w:rFonts w:ascii="Arial" w:eastAsia="Times New Roman" w:hAnsi="Arial" w:cs="Arial"/>
          <w:b/>
          <w:bCs/>
          <w:sz w:val="24"/>
          <w:szCs w:val="24"/>
          <w:lang w:eastAsia="es-MX"/>
        </w:rPr>
        <w:t xml:space="preserve"> </w:t>
      </w:r>
      <w:r w:rsidR="00E44D8D">
        <w:rPr>
          <w:rFonts w:ascii="Arial" w:eastAsia="Times New Roman" w:hAnsi="Arial" w:cs="Arial"/>
          <w:b/>
          <w:bCs/>
          <w:sz w:val="24"/>
          <w:szCs w:val="24"/>
          <w:lang w:eastAsia="es-MX"/>
        </w:rPr>
        <w:t>2011, 2012,</w:t>
      </w:r>
      <w:r w:rsidR="000B3CD1">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2013</w:t>
      </w:r>
      <w:r w:rsidR="00E44D8D">
        <w:rPr>
          <w:rFonts w:ascii="Arial" w:eastAsia="Times New Roman" w:hAnsi="Arial" w:cs="Arial"/>
          <w:b/>
          <w:bCs/>
          <w:sz w:val="24"/>
          <w:szCs w:val="24"/>
          <w:lang w:eastAsia="es-MX"/>
        </w:rPr>
        <w:t xml:space="preserve"> y 2014</w:t>
      </w:r>
      <w:r w:rsidRPr="00B67BEE">
        <w:rPr>
          <w:rFonts w:ascii="Arial" w:eastAsia="Times New Roman" w:hAnsi="Arial" w:cs="Arial"/>
          <w:b/>
          <w:bCs/>
          <w:sz w:val="24"/>
          <w:szCs w:val="24"/>
          <w:lang w:eastAsia="es-MX"/>
        </w:rPr>
        <w:t>.</w:t>
      </w:r>
    </w:p>
    <w:p w:rsidR="000B3CD1" w:rsidRPr="000B3CD1" w:rsidRDefault="000B3CD1" w:rsidP="000B3CD1">
      <w:pPr>
        <w:spacing w:after="0"/>
        <w:ind w:left="360"/>
        <w:contextualSpacing/>
        <w:jc w:val="both"/>
        <w:rPr>
          <w:rFonts w:ascii="Arial" w:eastAsia="Times New Roman" w:hAnsi="Arial" w:cs="Arial"/>
          <w:sz w:val="24"/>
          <w:szCs w:val="24"/>
          <w:lang w:eastAsia="es-MX"/>
        </w:rPr>
      </w:pPr>
    </w:p>
    <w:p w:rsidR="009C0345" w:rsidRDefault="009C0345" w:rsidP="009C0345">
      <w:pPr>
        <w:spacing w:after="0"/>
        <w:rPr>
          <w:rFonts w:ascii="Arial" w:hAnsi="Arial" w:cs="Arial"/>
          <w:bCs/>
          <w:sz w:val="24"/>
        </w:rPr>
      </w:pPr>
    </w:p>
    <w:p w:rsidR="00D56B2F" w:rsidRPr="00E44D8D" w:rsidRDefault="00720E1D" w:rsidP="0004049B">
      <w:pPr>
        <w:autoSpaceDE w:val="0"/>
        <w:autoSpaceDN w:val="0"/>
        <w:adjustRightInd w:val="0"/>
        <w:spacing w:after="0"/>
        <w:jc w:val="both"/>
        <w:rPr>
          <w:rFonts w:ascii="Arial" w:hAnsi="Arial" w:cs="Arial"/>
          <w:sz w:val="24"/>
          <w:szCs w:val="15"/>
          <w:lang w:val="es-MX" w:eastAsia="es-ES"/>
        </w:rPr>
      </w:pPr>
      <w:r>
        <w:rPr>
          <w:rFonts w:ascii="Arial" w:hAnsi="Arial" w:cs="Arial"/>
          <w:bCs/>
          <w:sz w:val="24"/>
        </w:rPr>
        <w:tab/>
      </w:r>
      <w:r w:rsidR="00D56B2F" w:rsidRPr="00D56B2F">
        <w:rPr>
          <w:rFonts w:ascii="Arial" w:hAnsi="Arial" w:cs="Arial"/>
          <w:sz w:val="24"/>
          <w:szCs w:val="24"/>
          <w:lang w:val="es-MX" w:eastAsia="es-ES"/>
        </w:rPr>
        <w:t>En este apartado se presenta una síntesis de las acciones y recomendaciones que con motivo de la revis</w:t>
      </w:r>
      <w:r w:rsidR="00C5462A">
        <w:rPr>
          <w:rFonts w:ascii="Arial" w:hAnsi="Arial" w:cs="Arial"/>
          <w:sz w:val="24"/>
          <w:szCs w:val="24"/>
          <w:lang w:val="es-MX" w:eastAsia="es-ES"/>
        </w:rPr>
        <w:t>ión de la cuenta</w:t>
      </w:r>
      <w:r w:rsidR="00E44D8D">
        <w:rPr>
          <w:rFonts w:ascii="Arial" w:hAnsi="Arial" w:cs="Arial"/>
          <w:sz w:val="24"/>
          <w:szCs w:val="24"/>
          <w:lang w:val="es-MX" w:eastAsia="es-ES"/>
        </w:rPr>
        <w:t xml:space="preserve"> pública 2015</w:t>
      </w:r>
      <w:r w:rsidR="00D56B2F" w:rsidRPr="00D56B2F">
        <w:rPr>
          <w:rFonts w:ascii="Arial" w:hAnsi="Arial" w:cs="Arial"/>
          <w:sz w:val="24"/>
          <w:szCs w:val="24"/>
          <w:lang w:val="es-MX" w:eastAsia="es-ES"/>
        </w:rPr>
        <w:t>, se ejercieron o promovieron por la Auditoría Superior del Estado.</w:t>
      </w:r>
      <w:r w:rsidR="0004049B">
        <w:rPr>
          <w:rFonts w:ascii="Arial" w:hAnsi="Arial" w:cs="Arial"/>
          <w:sz w:val="24"/>
          <w:szCs w:val="24"/>
          <w:lang w:val="es-MX" w:eastAsia="es-ES"/>
        </w:rPr>
        <w:t xml:space="preserve"> Así </w:t>
      </w:r>
      <w:r w:rsidR="0004049B" w:rsidRPr="00E44D8D">
        <w:rPr>
          <w:rFonts w:ascii="Arial" w:hAnsi="Arial" w:cs="Arial"/>
          <w:sz w:val="24"/>
          <w:szCs w:val="24"/>
          <w:lang w:val="es-MX" w:eastAsia="es-ES"/>
        </w:rPr>
        <w:t>mismo</w:t>
      </w:r>
      <w:r w:rsidR="00E44D8D" w:rsidRPr="00E44D8D">
        <w:rPr>
          <w:rFonts w:ascii="Arial" w:hAnsi="Arial" w:cs="Arial"/>
          <w:sz w:val="24"/>
          <w:szCs w:val="24"/>
          <w:lang w:val="es-MX" w:eastAsia="es-ES"/>
        </w:rPr>
        <w:t>, se informa que</w:t>
      </w:r>
      <w:r w:rsidR="00E44D8D">
        <w:rPr>
          <w:rFonts w:ascii="Arial" w:hAnsi="Arial" w:cs="Arial"/>
          <w:sz w:val="24"/>
          <w:szCs w:val="24"/>
          <w:lang w:val="es-MX" w:eastAsia="es-ES"/>
        </w:rPr>
        <w:t xml:space="preserve"> existe un</w:t>
      </w:r>
      <w:r w:rsidR="00E44D8D" w:rsidRPr="00E44D8D">
        <w:rPr>
          <w:rFonts w:ascii="Arial" w:hAnsi="Arial" w:cs="Arial"/>
          <w:sz w:val="24"/>
          <w:szCs w:val="24"/>
          <w:lang w:val="es-MX" w:eastAsia="es-ES"/>
        </w:rPr>
        <w:t xml:space="preserve"> Pliego Presuntivo de Responsabilidad (PPR)</w:t>
      </w:r>
      <w:r w:rsidR="00E44D8D">
        <w:rPr>
          <w:rFonts w:ascii="Arial" w:hAnsi="Arial" w:cs="Arial"/>
          <w:sz w:val="24"/>
          <w:szCs w:val="24"/>
          <w:lang w:val="es-MX" w:eastAsia="es-ES"/>
        </w:rPr>
        <w:t xml:space="preserve"> y dos</w:t>
      </w:r>
      <w:r w:rsidR="00E44D8D" w:rsidRPr="00E44D8D">
        <w:rPr>
          <w:rFonts w:ascii="Arial" w:hAnsi="Arial" w:cs="Arial"/>
          <w:sz w:val="24"/>
          <w:szCs w:val="24"/>
          <w:lang w:val="es-MX" w:eastAsia="es-ES"/>
        </w:rPr>
        <w:t xml:space="preserve"> Promociónes del Fincamiento de Responsabilidad Administrativa (PFRA)</w:t>
      </w:r>
      <w:r w:rsidR="0004049B" w:rsidRPr="00E44D8D">
        <w:rPr>
          <w:rFonts w:ascii="Arial" w:hAnsi="Arial" w:cs="Arial"/>
          <w:sz w:val="24"/>
          <w:szCs w:val="24"/>
          <w:lang w:val="es-MX" w:eastAsia="es-ES"/>
        </w:rPr>
        <w:t xml:space="preserve"> </w:t>
      </w:r>
      <w:r w:rsidR="00E44D8D">
        <w:rPr>
          <w:rFonts w:ascii="Arial" w:hAnsi="Arial" w:cs="Arial"/>
          <w:sz w:val="24"/>
          <w:szCs w:val="24"/>
          <w:lang w:val="es-MX" w:eastAsia="es-ES"/>
        </w:rPr>
        <w:t>correspondientes al ejercicio fiscal 2014</w:t>
      </w:r>
      <w:r w:rsidR="0004049B" w:rsidRPr="00E44D8D">
        <w:rPr>
          <w:rFonts w:ascii="Arial" w:hAnsi="Arial" w:cs="Arial"/>
          <w:sz w:val="24"/>
          <w:szCs w:val="24"/>
          <w:lang w:val="es-MX" w:eastAsia="es-ES"/>
        </w:rPr>
        <w:t xml:space="preserve"> pendientes de trámite.</w:t>
      </w:r>
    </w:p>
    <w:p w:rsidR="00D56B2F" w:rsidRPr="00D56B2F" w:rsidRDefault="00D56B2F" w:rsidP="00CC01F6">
      <w:pPr>
        <w:spacing w:before="240" w:after="20"/>
        <w:ind w:firstLine="708"/>
        <w:jc w:val="both"/>
        <w:rPr>
          <w:rFonts w:ascii="Arial" w:hAnsi="Arial" w:cs="Arial"/>
          <w:sz w:val="24"/>
        </w:rPr>
      </w:pPr>
      <w:r w:rsidRPr="00D56B2F">
        <w:rPr>
          <w:rFonts w:ascii="Arial" w:hAnsi="Arial" w:cs="Arial"/>
          <w:sz w:val="24"/>
        </w:rPr>
        <w:t>Una vez que hemos dado cuenta del contenido del Informe de Resultados y de los comentarios</w:t>
      </w:r>
      <w:r w:rsidRPr="00D56B2F">
        <w:rPr>
          <w:rFonts w:ascii="Arial" w:hAnsi="Arial" w:cs="Arial"/>
          <w:sz w:val="28"/>
          <w:szCs w:val="24"/>
        </w:rPr>
        <w:t xml:space="preserve"> </w:t>
      </w:r>
      <w:r w:rsidRPr="00D56B2F">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w:t>
      </w:r>
      <w:r w:rsidR="000B3CD1">
        <w:rPr>
          <w:rFonts w:ascii="Arial" w:hAnsi="Arial" w:cs="Arial"/>
          <w:sz w:val="24"/>
        </w:rPr>
        <w:t xml:space="preserve"> </w:t>
      </w:r>
      <w:r w:rsidRPr="00D56B2F">
        <w:rPr>
          <w:rFonts w:ascii="Arial" w:hAnsi="Arial" w:cs="Arial"/>
          <w:sz w:val="24"/>
        </w:rPr>
        <w:t>permitimos consignar la siguientes:</w:t>
      </w:r>
    </w:p>
    <w:p w:rsidR="00091A4C" w:rsidRPr="00CB3E70" w:rsidRDefault="00091A4C" w:rsidP="00D56B2F">
      <w:pPr>
        <w:spacing w:after="0"/>
        <w:jc w:val="both"/>
        <w:rPr>
          <w:rFonts w:ascii="Arial" w:hAnsi="Arial" w:cs="Arial"/>
          <w:color w:val="000000"/>
          <w:spacing w:val="-3"/>
        </w:rPr>
      </w:pPr>
    </w:p>
    <w:p w:rsidR="009C0345" w:rsidRPr="00295C16" w:rsidRDefault="009C0345" w:rsidP="000B3CD1">
      <w:pPr>
        <w:shd w:val="clear" w:color="auto" w:fill="FFFFFF"/>
        <w:spacing w:after="324"/>
        <w:jc w:val="both"/>
        <w:rPr>
          <w:rFonts w:ascii="Arial" w:hAnsi="Arial" w:cs="Arial"/>
          <w:sz w:val="24"/>
          <w:szCs w:val="24"/>
          <w:lang w:eastAsia="es-MX"/>
        </w:rPr>
      </w:pPr>
      <w:r w:rsidRPr="00295C16">
        <w:rPr>
          <w:rFonts w:ascii="Arial" w:hAnsi="Arial" w:cs="Arial"/>
          <w:b/>
          <w:bCs/>
          <w:sz w:val="24"/>
          <w:szCs w:val="24"/>
        </w:rPr>
        <w:t>CONSIDERACIONES:</w:t>
      </w:r>
    </w:p>
    <w:p w:rsidR="009C0345" w:rsidRPr="00295C16" w:rsidRDefault="009C0345" w:rsidP="000B3CD1">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B3CD1">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04049B" w:rsidRPr="0004049B" w:rsidRDefault="00326CE5" w:rsidP="0004049B">
      <w:pPr>
        <w:spacing w:before="240"/>
        <w:ind w:firstLine="709"/>
        <w:jc w:val="both"/>
        <w:rPr>
          <w:rFonts w:ascii="Arial" w:hAnsi="Arial" w:cs="Arial"/>
          <w:bCs/>
          <w:sz w:val="24"/>
          <w:szCs w:val="24"/>
        </w:rPr>
      </w:pPr>
      <w:r w:rsidRPr="00326CE5">
        <w:rPr>
          <w:rFonts w:ascii="Arial" w:hAnsi="Arial" w:cs="Arial"/>
          <w:bCs/>
          <w:sz w:val="24"/>
          <w:szCs w:val="24"/>
        </w:rPr>
        <w:t xml:space="preserve">Constatamos que el Informe del Organismo Público en mención, </w:t>
      </w:r>
      <w:r w:rsidR="0004049B" w:rsidRPr="0004049B">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w:t>
      </w:r>
      <w:r w:rsidR="0004049B" w:rsidRPr="0004049B">
        <w:rPr>
          <w:rFonts w:ascii="Arial" w:hAnsi="Arial" w:cs="Arial"/>
          <w:bCs/>
          <w:sz w:val="24"/>
          <w:szCs w:val="24"/>
        </w:rPr>
        <w:lastRenderedPageBreak/>
        <w:t>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w:t>
      </w:r>
    </w:p>
    <w:p w:rsidR="0004049B" w:rsidRDefault="0004049B" w:rsidP="0004049B">
      <w:pPr>
        <w:spacing w:before="240"/>
        <w:ind w:firstLine="709"/>
        <w:jc w:val="both"/>
        <w:rPr>
          <w:rFonts w:ascii="Arial" w:hAnsi="Arial" w:cs="Arial"/>
          <w:bCs/>
          <w:sz w:val="24"/>
          <w:szCs w:val="24"/>
        </w:rPr>
      </w:pPr>
      <w:r w:rsidRPr="0004049B">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04049B" w:rsidRPr="0004049B" w:rsidRDefault="003926B0" w:rsidP="0004049B">
      <w:pPr>
        <w:spacing w:before="240"/>
        <w:ind w:firstLine="709"/>
        <w:jc w:val="both"/>
        <w:rPr>
          <w:rFonts w:ascii="Arial" w:hAnsi="Arial" w:cs="Arial"/>
          <w:bCs/>
          <w:sz w:val="24"/>
          <w:szCs w:val="24"/>
        </w:rPr>
      </w:pPr>
      <w:r w:rsidRPr="003926B0">
        <w:rPr>
          <w:rFonts w:ascii="Arial" w:hAnsi="Arial" w:cs="Arial"/>
          <w:b/>
          <w:bCs/>
          <w:sz w:val="24"/>
          <w:szCs w:val="24"/>
        </w:rPr>
        <w:t xml:space="preserve">TERCERA: </w:t>
      </w:r>
      <w:r w:rsidR="0004049B" w:rsidRPr="0004049B">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04049B" w:rsidRPr="0004049B" w:rsidRDefault="0004049B" w:rsidP="0004049B">
      <w:pPr>
        <w:spacing w:before="240"/>
        <w:ind w:firstLine="709"/>
        <w:jc w:val="both"/>
        <w:rPr>
          <w:rFonts w:ascii="Arial" w:hAnsi="Arial" w:cs="Arial"/>
          <w:bCs/>
          <w:sz w:val="24"/>
          <w:szCs w:val="24"/>
        </w:rPr>
      </w:pPr>
      <w:r w:rsidRPr="0004049B">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3926B0" w:rsidRPr="003926B0" w:rsidRDefault="003926B0" w:rsidP="000B3CD1">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También se nos informa por la Auditoría con respecto al trámite y resultados obtenidos, derivados de las solicitudes formuladas por el Congreso del Estado, es de señalar que</w:t>
      </w:r>
      <w:r w:rsidR="00E44D8D">
        <w:rPr>
          <w:rFonts w:ascii="Arial" w:hAnsi="Arial" w:cs="Arial"/>
          <w:sz w:val="24"/>
          <w:szCs w:val="24"/>
        </w:rPr>
        <w:t xml:space="preserve"> no las hubo durante el año 2015</w:t>
      </w:r>
      <w:r w:rsidRPr="003926B0">
        <w:rPr>
          <w:rFonts w:ascii="Arial" w:hAnsi="Arial" w:cs="Arial"/>
          <w:sz w:val="24"/>
          <w:szCs w:val="24"/>
        </w:rPr>
        <w:t>.</w:t>
      </w:r>
    </w:p>
    <w:p w:rsidR="003926B0" w:rsidRPr="003926B0" w:rsidRDefault="003926B0" w:rsidP="000B3CD1">
      <w:pPr>
        <w:spacing w:after="0"/>
        <w:ind w:firstLine="708"/>
        <w:jc w:val="both"/>
        <w:rPr>
          <w:rFonts w:ascii="Arial" w:hAnsi="Arial" w:cs="Arial"/>
          <w:sz w:val="24"/>
          <w:szCs w:val="24"/>
        </w:rPr>
      </w:pPr>
      <w:r w:rsidRPr="003926B0">
        <w:rPr>
          <w:rFonts w:ascii="Arial" w:hAnsi="Arial" w:cs="Arial"/>
          <w:b/>
          <w:sz w:val="24"/>
          <w:szCs w:val="24"/>
        </w:rPr>
        <w:lastRenderedPageBreak/>
        <w:t>QUINTA:</w:t>
      </w:r>
      <w:r w:rsidRPr="003926B0">
        <w:rPr>
          <w:rFonts w:ascii="Arial" w:hAnsi="Arial" w:cs="Arial"/>
          <w:sz w:val="24"/>
          <w:szCs w:val="24"/>
        </w:rPr>
        <w:t xml:space="preserve"> Adicionalmente se nos infor</w:t>
      </w:r>
      <w:r w:rsidR="00E44D8D">
        <w:rPr>
          <w:rFonts w:ascii="Arial" w:hAnsi="Arial" w:cs="Arial"/>
          <w:sz w:val="24"/>
          <w:szCs w:val="24"/>
        </w:rPr>
        <w:t>ma que durante el ejercicio 2015</w:t>
      </w:r>
      <w:r w:rsidR="007E2484">
        <w:rPr>
          <w:rFonts w:ascii="Arial" w:hAnsi="Arial" w:cs="Arial"/>
          <w:sz w:val="24"/>
          <w:szCs w:val="24"/>
        </w:rPr>
        <w:t xml:space="preserve">, </w:t>
      </w:r>
      <w:r w:rsidR="000B3CD1">
        <w:rPr>
          <w:rFonts w:ascii="Arial" w:hAnsi="Arial" w:cs="Arial"/>
          <w:sz w:val="24"/>
          <w:szCs w:val="24"/>
        </w:rPr>
        <w:t xml:space="preserve">no </w:t>
      </w:r>
      <w:r w:rsidR="007E2484">
        <w:rPr>
          <w:rFonts w:ascii="Arial" w:hAnsi="Arial" w:cs="Arial"/>
          <w:sz w:val="24"/>
          <w:szCs w:val="24"/>
        </w:rPr>
        <w:t>se recibió una solicitud</w:t>
      </w:r>
      <w:r w:rsidRPr="003926B0">
        <w:rPr>
          <w:rFonts w:ascii="Arial" w:hAnsi="Arial" w:cs="Arial"/>
          <w:sz w:val="24"/>
          <w:szCs w:val="24"/>
        </w:rPr>
        <w:t xml:space="preserve"> de revisión de situaciones excepcionales en relación a la cuenta pública en revisión</w:t>
      </w:r>
      <w:r w:rsidR="000B3CD1">
        <w:rPr>
          <w:rFonts w:ascii="Arial" w:hAnsi="Arial" w:cs="Arial"/>
          <w:sz w:val="24"/>
          <w:szCs w:val="24"/>
        </w:rPr>
        <w:t>.</w:t>
      </w:r>
    </w:p>
    <w:p w:rsidR="003926B0" w:rsidRPr="003926B0" w:rsidRDefault="003926B0" w:rsidP="000B3CD1">
      <w:pPr>
        <w:spacing w:after="0"/>
        <w:ind w:left="708" w:firstLine="708"/>
        <w:jc w:val="both"/>
        <w:rPr>
          <w:rFonts w:ascii="Arial" w:hAnsi="Arial" w:cs="Arial"/>
        </w:rPr>
      </w:pPr>
    </w:p>
    <w:p w:rsidR="0011267E" w:rsidRPr="00E44D8D" w:rsidRDefault="003926B0" w:rsidP="00D72044">
      <w:pPr>
        <w:autoSpaceDE w:val="0"/>
        <w:autoSpaceDN w:val="0"/>
        <w:adjustRightInd w:val="0"/>
        <w:spacing w:after="0"/>
        <w:ind w:firstLine="708"/>
        <w:jc w:val="both"/>
        <w:rPr>
          <w:rFonts w:ascii="Arial" w:hAnsi="Arial" w:cs="Arial"/>
          <w:sz w:val="24"/>
          <w:szCs w:val="15"/>
          <w:lang w:val="es-MX" w:eastAsia="es-ES"/>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Que la Auditoría Superior del Estado nos informa en el apartado Recomendaciones y Acciones Promovidas con</w:t>
      </w:r>
      <w:r w:rsidR="0083225F">
        <w:rPr>
          <w:rFonts w:ascii="Arial" w:hAnsi="Arial" w:cs="Arial"/>
          <w:sz w:val="24"/>
          <w:szCs w:val="24"/>
        </w:rPr>
        <w:t xml:space="preserve"> respecto de ejercicio</w:t>
      </w:r>
      <w:r w:rsidR="0011267E">
        <w:rPr>
          <w:rFonts w:ascii="Arial" w:hAnsi="Arial" w:cs="Arial"/>
          <w:sz w:val="24"/>
          <w:szCs w:val="24"/>
        </w:rPr>
        <w:t>s</w:t>
      </w:r>
      <w:r w:rsidR="0004049B">
        <w:rPr>
          <w:rFonts w:ascii="Arial" w:hAnsi="Arial" w:cs="Arial"/>
          <w:sz w:val="24"/>
          <w:szCs w:val="24"/>
        </w:rPr>
        <w:t xml:space="preserve"> anteriores,</w:t>
      </w:r>
      <w:r w:rsidR="008C4A76">
        <w:rPr>
          <w:rFonts w:ascii="Arial" w:hAnsi="Arial" w:cs="Arial"/>
          <w:sz w:val="24"/>
          <w:szCs w:val="24"/>
        </w:rPr>
        <w:t xml:space="preserve"> </w:t>
      </w:r>
      <w:r w:rsidR="0011267E" w:rsidRPr="00E44D8D">
        <w:rPr>
          <w:rFonts w:ascii="Arial" w:hAnsi="Arial" w:cs="Arial"/>
          <w:sz w:val="24"/>
          <w:szCs w:val="24"/>
          <w:lang w:val="es-MX" w:eastAsia="es-ES"/>
        </w:rPr>
        <w:t>se informa que</w:t>
      </w:r>
      <w:r w:rsidR="0011267E">
        <w:rPr>
          <w:rFonts w:ascii="Arial" w:hAnsi="Arial" w:cs="Arial"/>
          <w:sz w:val="24"/>
          <w:szCs w:val="24"/>
          <w:lang w:val="es-MX" w:eastAsia="es-ES"/>
        </w:rPr>
        <w:t xml:space="preserve"> existe un</w:t>
      </w:r>
      <w:r w:rsidR="0011267E" w:rsidRPr="00E44D8D">
        <w:rPr>
          <w:rFonts w:ascii="Arial" w:hAnsi="Arial" w:cs="Arial"/>
          <w:sz w:val="24"/>
          <w:szCs w:val="24"/>
          <w:lang w:val="es-MX" w:eastAsia="es-ES"/>
        </w:rPr>
        <w:t xml:space="preserve"> Pliego Presuntivo de Responsabilidad (PPR)</w:t>
      </w:r>
      <w:r w:rsidR="0011267E">
        <w:rPr>
          <w:rFonts w:ascii="Arial" w:hAnsi="Arial" w:cs="Arial"/>
          <w:sz w:val="24"/>
          <w:szCs w:val="24"/>
          <w:lang w:val="es-MX" w:eastAsia="es-ES"/>
        </w:rPr>
        <w:t xml:space="preserve"> y dos</w:t>
      </w:r>
      <w:r w:rsidR="0011267E" w:rsidRPr="00E44D8D">
        <w:rPr>
          <w:rFonts w:ascii="Arial" w:hAnsi="Arial" w:cs="Arial"/>
          <w:sz w:val="24"/>
          <w:szCs w:val="24"/>
          <w:lang w:val="es-MX" w:eastAsia="es-ES"/>
        </w:rPr>
        <w:t xml:space="preserve"> Promociónes del Fincamiento de Responsabilidad Administrativa (PFRA) </w:t>
      </w:r>
      <w:r w:rsidR="0011267E">
        <w:rPr>
          <w:rFonts w:ascii="Arial" w:hAnsi="Arial" w:cs="Arial"/>
          <w:sz w:val="24"/>
          <w:szCs w:val="24"/>
          <w:lang w:val="es-MX" w:eastAsia="es-ES"/>
        </w:rPr>
        <w:t>correspondientes al ejercicio fiscal 2014</w:t>
      </w:r>
      <w:r w:rsidR="0011267E" w:rsidRPr="00E44D8D">
        <w:rPr>
          <w:rFonts w:ascii="Arial" w:hAnsi="Arial" w:cs="Arial"/>
          <w:sz w:val="24"/>
          <w:szCs w:val="24"/>
          <w:lang w:val="es-MX" w:eastAsia="es-ES"/>
        </w:rPr>
        <w:t xml:space="preserve"> pendientes de trámite.</w:t>
      </w:r>
    </w:p>
    <w:p w:rsidR="003926B0" w:rsidRPr="0011267E" w:rsidRDefault="003926B0" w:rsidP="000B3CD1">
      <w:pPr>
        <w:autoSpaceDE w:val="0"/>
        <w:autoSpaceDN w:val="0"/>
        <w:adjustRightInd w:val="0"/>
        <w:spacing w:after="0"/>
        <w:ind w:firstLine="709"/>
        <w:jc w:val="both"/>
        <w:rPr>
          <w:rFonts w:ascii="Arial" w:hAnsi="Arial" w:cs="Arial"/>
          <w:sz w:val="24"/>
          <w:szCs w:val="24"/>
          <w:lang w:val="es-MX"/>
        </w:rPr>
      </w:pPr>
    </w:p>
    <w:p w:rsidR="0004049B" w:rsidRPr="0011267E" w:rsidRDefault="007F5756" w:rsidP="0011267E">
      <w:pPr>
        <w:autoSpaceDE w:val="0"/>
        <w:autoSpaceDN w:val="0"/>
        <w:adjustRightInd w:val="0"/>
        <w:spacing w:after="0"/>
        <w:ind w:firstLine="708"/>
        <w:jc w:val="both"/>
        <w:rPr>
          <w:rFonts w:ascii="Arial" w:hAnsi="Arial" w:cs="Arial"/>
          <w:b/>
          <w:sz w:val="24"/>
          <w:szCs w:val="24"/>
          <w:lang w:val="es-MX" w:eastAsia="es-ES"/>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w:t>
      </w:r>
      <w:r w:rsidR="00C35717">
        <w:rPr>
          <w:rFonts w:ascii="Arial" w:hAnsi="Arial" w:cs="Arial"/>
          <w:sz w:val="24"/>
          <w:szCs w:val="24"/>
        </w:rPr>
        <w:t>rmativa que le es aplicable a</w:t>
      </w:r>
      <w:r w:rsidR="00B15E5A">
        <w:rPr>
          <w:rFonts w:ascii="Arial" w:hAnsi="Arial" w:cs="Arial"/>
          <w:sz w:val="24"/>
          <w:szCs w:val="24"/>
        </w:rPr>
        <w:t>l</w:t>
      </w:r>
      <w:r w:rsidR="00B15E5A">
        <w:rPr>
          <w:rFonts w:ascii="Arial" w:hAnsi="Arial" w:cs="Arial"/>
          <w:b/>
          <w:sz w:val="24"/>
          <w:szCs w:val="24"/>
        </w:rPr>
        <w:t xml:space="preserve"> </w:t>
      </w:r>
      <w:r w:rsidR="0004049B">
        <w:rPr>
          <w:rFonts w:ascii="Arial" w:hAnsi="Arial" w:cs="Arial"/>
          <w:b/>
          <w:sz w:val="24"/>
          <w:szCs w:val="24"/>
          <w:lang w:val="es-MX" w:eastAsia="es-ES"/>
        </w:rPr>
        <w:t>FIDEICOMISO FESTIVAL INTERNACIONAL  SANTA LUCÍA.</w:t>
      </w:r>
      <w:r w:rsidR="0004049B" w:rsidRPr="00E44D8D">
        <w:rPr>
          <w:rFonts w:ascii="Arial" w:hAnsi="Arial" w:cs="Arial"/>
          <w:bCs/>
          <w:color w:val="FF0000"/>
          <w:sz w:val="24"/>
          <w:szCs w:val="24"/>
          <w:lang w:val="es-MX"/>
        </w:rPr>
        <w:t xml:space="preserve"> </w:t>
      </w:r>
    </w:p>
    <w:p w:rsidR="00D72044" w:rsidRDefault="00D72044" w:rsidP="005F27E6">
      <w:pPr>
        <w:spacing w:before="240"/>
        <w:ind w:firstLine="709"/>
        <w:jc w:val="both"/>
        <w:rPr>
          <w:rFonts w:ascii="Arial" w:hAnsi="Arial" w:cs="Arial"/>
          <w:sz w:val="24"/>
          <w:szCs w:val="24"/>
        </w:rPr>
      </w:pPr>
      <w:r>
        <w:rPr>
          <w:rFonts w:ascii="Arial" w:hAnsi="Arial" w:cs="Arial"/>
          <w:sz w:val="24"/>
          <w:szCs w:val="24"/>
        </w:rPr>
        <w:t>En el informe de resultados solo se aprecia una observación (17) con pliegos presuntivos de responsabilidades por la cantidad de %5,774, derivados del pago de recargos y actualizaciones por entero extemporáneo de retenciones de ISR.</w:t>
      </w:r>
    </w:p>
    <w:p w:rsidR="005F27E6" w:rsidRPr="005F27E6" w:rsidRDefault="005F27E6" w:rsidP="005F27E6">
      <w:pPr>
        <w:spacing w:before="240"/>
        <w:ind w:firstLine="709"/>
        <w:jc w:val="both"/>
        <w:rPr>
          <w:rFonts w:ascii="Arial" w:hAnsi="Arial" w:cs="Arial"/>
          <w:sz w:val="24"/>
          <w:szCs w:val="24"/>
        </w:rPr>
      </w:pPr>
      <w:r w:rsidRPr="005F27E6">
        <w:rPr>
          <w:rFonts w:ascii="Arial" w:hAnsi="Arial" w:cs="Arial"/>
          <w:sz w:val="24"/>
          <w:szCs w:val="24"/>
        </w:rPr>
        <w:t xml:space="preserve">Dado lo anterior, es de estimarse que las observaciones contenidas en el informe de resultados en estudio </w:t>
      </w:r>
      <w:r w:rsidR="00D72044">
        <w:rPr>
          <w:rFonts w:ascii="Arial" w:hAnsi="Arial" w:cs="Arial"/>
          <w:sz w:val="24"/>
          <w:szCs w:val="24"/>
        </w:rPr>
        <w:t xml:space="preserve">no </w:t>
      </w:r>
      <w:r w:rsidRPr="005F27E6">
        <w:rPr>
          <w:rFonts w:ascii="Arial" w:hAnsi="Arial" w:cs="Arial"/>
          <w:sz w:val="24"/>
          <w:szCs w:val="24"/>
        </w:rPr>
        <w:t xml:space="preserve">resultan suficientes para considerar que la generalidad de la actuación del ente revisado deba estimarse como deficiente y por lo mismo, </w:t>
      </w:r>
      <w:r w:rsidRPr="00D72044">
        <w:rPr>
          <w:rFonts w:ascii="Arial" w:hAnsi="Arial" w:cs="Arial"/>
          <w:sz w:val="24"/>
          <w:szCs w:val="24"/>
        </w:rPr>
        <w:t xml:space="preserve">la entidad revisada es acreedora a una manifestación de rechazo </w:t>
      </w:r>
      <w:r w:rsidRPr="005F27E6">
        <w:rPr>
          <w:rFonts w:ascii="Arial" w:hAnsi="Arial" w:cs="Arial"/>
          <w:sz w:val="24"/>
          <w:szCs w:val="24"/>
        </w:rPr>
        <w:t>de parte de este Poder Legislativo respecto a su Cuenta Pública para e</w:t>
      </w:r>
      <w:r w:rsidR="0011267E">
        <w:rPr>
          <w:rFonts w:ascii="Arial" w:hAnsi="Arial" w:cs="Arial"/>
          <w:sz w:val="24"/>
          <w:szCs w:val="24"/>
        </w:rPr>
        <w:t>l ejercicio fiscal 2015</w:t>
      </w:r>
      <w:r w:rsidRPr="005F27E6">
        <w:rPr>
          <w:rFonts w:ascii="Arial" w:hAnsi="Arial" w:cs="Arial"/>
          <w:sz w:val="24"/>
          <w:szCs w:val="24"/>
        </w:rPr>
        <w:t>.</w:t>
      </w:r>
    </w:p>
    <w:p w:rsidR="0004049B" w:rsidRDefault="0004049B" w:rsidP="0004049B">
      <w:pPr>
        <w:spacing w:before="240"/>
        <w:ind w:firstLine="709"/>
        <w:jc w:val="both"/>
        <w:rPr>
          <w:rFonts w:ascii="Arial" w:hAnsi="Arial" w:cs="Arial"/>
          <w:sz w:val="24"/>
          <w:szCs w:val="24"/>
        </w:rPr>
      </w:pPr>
      <w:r>
        <w:rPr>
          <w:rFonts w:ascii="Arial" w:hAnsi="Arial" w:cs="Arial"/>
          <w:sz w:val="24"/>
          <w:szCs w:val="24"/>
        </w:rPr>
        <w:t xml:space="preserve">Cabe señalar que la aprobación o rechazo de una cuenta pública, no implica la suspensión de las acciones de promoción de responsabilidad que </w:t>
      </w:r>
      <w:r>
        <w:rPr>
          <w:rFonts w:ascii="Arial" w:hAnsi="Arial" w:cs="Arial"/>
          <w:sz w:val="24"/>
          <w:szCs w:val="24"/>
        </w:rPr>
        <w:lastRenderedPageBreak/>
        <w:t>legítimamente corresponde a la Auditoría Superior del Estado llevar a cabo. Así mismo, tampoco prejuzga sobre la responsabilidad que pudiera recaer sobre algún funcionario o ex funcionario, ya que, en todo caso, tal situación quedaría determinada al momento de concluirse los procedimientos administrativos o resarcitorios correspondientes.</w:t>
      </w:r>
    </w:p>
    <w:p w:rsidR="003926B0" w:rsidRPr="003926B0" w:rsidRDefault="003926B0" w:rsidP="000B3CD1">
      <w:pPr>
        <w:spacing w:before="240"/>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7E6300" w:rsidRPr="000B3CD1" w:rsidRDefault="007E6300" w:rsidP="000B3CD1">
      <w:pPr>
        <w:pStyle w:val="Prrafodelista"/>
        <w:spacing w:before="240"/>
        <w:ind w:left="0"/>
        <w:jc w:val="center"/>
        <w:rPr>
          <w:rFonts w:ascii="Arial" w:hAnsi="Arial" w:cs="Arial"/>
          <w:b/>
          <w:sz w:val="32"/>
          <w:szCs w:val="24"/>
        </w:rPr>
      </w:pPr>
      <w:r w:rsidRPr="000B3CD1">
        <w:rPr>
          <w:rFonts w:ascii="Arial" w:hAnsi="Arial" w:cs="Arial"/>
          <w:b/>
          <w:sz w:val="32"/>
          <w:szCs w:val="24"/>
        </w:rPr>
        <w:t>A C U E R D O</w:t>
      </w:r>
    </w:p>
    <w:p w:rsidR="007E6300" w:rsidRDefault="007E6300" w:rsidP="000B3CD1">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11267E">
        <w:rPr>
          <w:rFonts w:ascii="Arial" w:hAnsi="Arial" w:cs="Arial"/>
          <w:bCs/>
          <w:sz w:val="24"/>
          <w:szCs w:val="24"/>
        </w:rPr>
        <w:t>la Cuenta Pública 2015</w:t>
      </w:r>
      <w:r w:rsidR="00C35717">
        <w:rPr>
          <w:rFonts w:ascii="Arial" w:hAnsi="Arial" w:cs="Arial"/>
          <w:bCs/>
          <w:sz w:val="24"/>
          <w:szCs w:val="24"/>
        </w:rPr>
        <w:t>, de</w:t>
      </w:r>
      <w:r w:rsidR="00B15E5A">
        <w:rPr>
          <w:rFonts w:ascii="Arial" w:hAnsi="Arial" w:cs="Arial"/>
          <w:bCs/>
          <w:sz w:val="24"/>
          <w:szCs w:val="24"/>
        </w:rPr>
        <w:t>l</w:t>
      </w:r>
      <w:r w:rsidR="00C35717" w:rsidRPr="00C35717">
        <w:rPr>
          <w:rFonts w:ascii="Arial" w:hAnsi="Arial" w:cs="Arial"/>
          <w:b/>
          <w:sz w:val="24"/>
          <w:szCs w:val="24"/>
        </w:rPr>
        <w:t xml:space="preserve"> </w:t>
      </w:r>
      <w:r w:rsidR="000B3CD1">
        <w:rPr>
          <w:rFonts w:ascii="Arial" w:hAnsi="Arial" w:cs="Arial"/>
          <w:b/>
          <w:sz w:val="24"/>
          <w:szCs w:val="24"/>
          <w:lang w:val="es-MX" w:eastAsia="es-ES"/>
        </w:rPr>
        <w:t>Instituto del Agua de Nuevo León</w:t>
      </w:r>
      <w:r w:rsidR="007E2484">
        <w:rPr>
          <w:rFonts w:ascii="Arial" w:hAnsi="Arial" w:cs="Arial"/>
          <w:b/>
          <w:sz w:val="24"/>
          <w:szCs w:val="24"/>
          <w:lang w:val="es-MX" w:eastAsia="es-ES"/>
        </w:rPr>
        <w:t>.</w:t>
      </w:r>
    </w:p>
    <w:p w:rsidR="00326CE5" w:rsidRDefault="007E6300" w:rsidP="000B3CD1">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326CE5"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11267E">
        <w:rPr>
          <w:rFonts w:ascii="Arial" w:hAnsi="Arial" w:cs="Arial"/>
          <w:bCs/>
          <w:sz w:val="24"/>
          <w:szCs w:val="24"/>
          <w:lang w:val="es-MX"/>
        </w:rPr>
        <w:t xml:space="preserve">19 </w:t>
      </w:r>
      <w:r w:rsidR="00326CE5" w:rsidRPr="00326CE5">
        <w:rPr>
          <w:rFonts w:ascii="Arial" w:hAnsi="Arial" w:cs="Arial"/>
          <w:bCs/>
          <w:sz w:val="24"/>
          <w:szCs w:val="24"/>
          <w:lang w:val="es-MX"/>
        </w:rPr>
        <w:t xml:space="preserve">respecto a las cuales en </w:t>
      </w:r>
      <w:r w:rsidR="00D72044">
        <w:rPr>
          <w:rFonts w:ascii="Arial" w:hAnsi="Arial" w:cs="Arial"/>
          <w:bCs/>
          <w:sz w:val="24"/>
          <w:szCs w:val="24"/>
          <w:lang w:val="es-MX"/>
        </w:rPr>
        <w:t>un</w:t>
      </w:r>
      <w:r w:rsidR="00326CE5" w:rsidRPr="00326CE5">
        <w:rPr>
          <w:rFonts w:ascii="Arial" w:hAnsi="Arial" w:cs="Arial"/>
          <w:bCs/>
          <w:sz w:val="24"/>
          <w:szCs w:val="24"/>
          <w:lang w:val="es-MX"/>
        </w:rPr>
        <w:t xml:space="preserve"> caso</w:t>
      </w:r>
      <w:r w:rsidR="009C27D7">
        <w:rPr>
          <w:rFonts w:ascii="Arial" w:hAnsi="Arial" w:cs="Arial"/>
          <w:bCs/>
          <w:sz w:val="24"/>
          <w:szCs w:val="24"/>
          <w:lang w:val="es-MX"/>
        </w:rPr>
        <w:t>s</w:t>
      </w:r>
      <w:r w:rsidR="00326CE5" w:rsidRPr="00326CE5">
        <w:rPr>
          <w:rFonts w:ascii="Arial" w:hAnsi="Arial" w:cs="Arial"/>
          <w:bCs/>
          <w:sz w:val="24"/>
          <w:szCs w:val="24"/>
          <w:lang w:val="es-MX"/>
        </w:rPr>
        <w:t xml:space="preserve"> se determinó emitir pliegos presuntivos de resp</w:t>
      </w:r>
      <w:r w:rsidR="009C27D7">
        <w:rPr>
          <w:rFonts w:ascii="Arial" w:hAnsi="Arial" w:cs="Arial"/>
          <w:bCs/>
          <w:sz w:val="24"/>
          <w:szCs w:val="24"/>
          <w:lang w:val="es-MX"/>
        </w:rPr>
        <w:t>onsabilidades, ya que se apreciaron</w:t>
      </w:r>
      <w:r w:rsidR="00326CE5" w:rsidRPr="00326CE5">
        <w:rPr>
          <w:rFonts w:ascii="Arial" w:hAnsi="Arial" w:cs="Arial"/>
          <w:bCs/>
          <w:sz w:val="24"/>
          <w:szCs w:val="24"/>
          <w:lang w:val="es-MX"/>
        </w:rPr>
        <w:t xml:space="preserve"> </w:t>
      </w:r>
      <w:r w:rsidR="009C27D7">
        <w:rPr>
          <w:rFonts w:ascii="Arial" w:hAnsi="Arial" w:cs="Arial"/>
          <w:bCs/>
          <w:sz w:val="24"/>
          <w:szCs w:val="24"/>
          <w:lang w:val="es-MX"/>
        </w:rPr>
        <w:t>observacio</w:t>
      </w:r>
      <w:r w:rsidR="00326CE5" w:rsidRPr="00326CE5">
        <w:rPr>
          <w:rFonts w:ascii="Arial" w:hAnsi="Arial" w:cs="Arial"/>
          <w:bCs/>
          <w:sz w:val="24"/>
          <w:szCs w:val="24"/>
          <w:lang w:val="es-MX"/>
        </w:rPr>
        <w:t>n</w:t>
      </w:r>
      <w:r w:rsidR="009C27D7">
        <w:rPr>
          <w:rFonts w:ascii="Arial" w:hAnsi="Arial" w:cs="Arial"/>
          <w:bCs/>
          <w:sz w:val="24"/>
          <w:szCs w:val="24"/>
          <w:lang w:val="es-MX"/>
        </w:rPr>
        <w:t>es</w:t>
      </w:r>
      <w:r w:rsidR="00326CE5" w:rsidRPr="00326CE5">
        <w:rPr>
          <w:rFonts w:ascii="Arial" w:hAnsi="Arial" w:cs="Arial"/>
          <w:bCs/>
          <w:sz w:val="24"/>
          <w:szCs w:val="24"/>
          <w:lang w:val="es-MX"/>
        </w:rPr>
        <w:t xml:space="preserve"> susceptible</w:t>
      </w:r>
      <w:r w:rsidR="009C27D7">
        <w:rPr>
          <w:rFonts w:ascii="Arial" w:hAnsi="Arial" w:cs="Arial"/>
          <w:bCs/>
          <w:sz w:val="24"/>
          <w:szCs w:val="24"/>
          <w:lang w:val="es-MX"/>
        </w:rPr>
        <w:t>s</w:t>
      </w:r>
      <w:r w:rsidR="00326CE5" w:rsidRPr="00326CE5">
        <w:rPr>
          <w:rFonts w:ascii="Arial" w:hAnsi="Arial" w:cs="Arial"/>
          <w:bCs/>
          <w:sz w:val="24"/>
          <w:szCs w:val="24"/>
          <w:lang w:val="es-MX"/>
        </w:rPr>
        <w:t xml:space="preserve"> de generar afectación económica.</w:t>
      </w:r>
    </w:p>
    <w:p w:rsidR="00190C96" w:rsidRPr="00D72044" w:rsidRDefault="00190C96" w:rsidP="000B3CD1">
      <w:pPr>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pliegos presuntivos de responsabilidades, promoción de fincamiento de responsabilidades administrativas y recomendaciones a la gestión </w:t>
      </w:r>
      <w:r w:rsidR="009C27D7">
        <w:rPr>
          <w:rFonts w:ascii="Arial" w:hAnsi="Arial" w:cs="Arial"/>
          <w:bCs/>
          <w:sz w:val="24"/>
          <w:szCs w:val="24"/>
          <w:lang w:val="es-MX"/>
        </w:rPr>
        <w:t xml:space="preserve">o control interno </w:t>
      </w:r>
      <w:r w:rsidRPr="00190C96">
        <w:rPr>
          <w:rFonts w:ascii="Arial" w:hAnsi="Arial" w:cs="Arial"/>
          <w:bCs/>
          <w:sz w:val="24"/>
          <w:szCs w:val="24"/>
          <w:lang w:val="es-MX"/>
        </w:rPr>
        <w:t xml:space="preserve">en el rubro de Auditoría a la Gestión </w:t>
      </w:r>
      <w:r w:rsidR="005F27E6">
        <w:rPr>
          <w:rFonts w:ascii="Arial" w:hAnsi="Arial" w:cs="Arial"/>
          <w:bCs/>
          <w:sz w:val="24"/>
          <w:szCs w:val="24"/>
        </w:rPr>
        <w:t xml:space="preserve">y considerando al mismo tiempo que </w:t>
      </w:r>
      <w:r w:rsidR="00D72044">
        <w:rPr>
          <w:rFonts w:ascii="Arial" w:hAnsi="Arial" w:cs="Arial"/>
          <w:bCs/>
          <w:sz w:val="24"/>
          <w:szCs w:val="24"/>
        </w:rPr>
        <w:t xml:space="preserve">el monto de afectación económica es menor </w:t>
      </w:r>
      <w:r w:rsidRPr="00190C96">
        <w:rPr>
          <w:rFonts w:ascii="Arial" w:hAnsi="Arial" w:cs="Arial"/>
          <w:bCs/>
          <w:sz w:val="24"/>
          <w:szCs w:val="24"/>
          <w:lang w:val="es-MX"/>
        </w:rPr>
        <w:t xml:space="preserve">se estima que la </w:t>
      </w:r>
      <w:r w:rsidR="002A1AC9">
        <w:rPr>
          <w:rFonts w:ascii="Arial" w:hAnsi="Arial" w:cs="Arial"/>
          <w:b/>
          <w:bCs/>
          <w:sz w:val="24"/>
          <w:szCs w:val="24"/>
          <w:lang w:val="es-MX"/>
        </w:rPr>
        <w:t>CUENTA PÚBLICA 201</w:t>
      </w:r>
      <w:r w:rsidR="00453047">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2C528F">
        <w:rPr>
          <w:rFonts w:ascii="Arial" w:hAnsi="Arial" w:cs="Arial"/>
          <w:bCs/>
          <w:sz w:val="24"/>
          <w:szCs w:val="24"/>
          <w:lang w:val="es-MX"/>
        </w:rPr>
        <w:t>l</w:t>
      </w:r>
      <w:r w:rsidR="007E2484" w:rsidRPr="00C35717">
        <w:rPr>
          <w:rFonts w:ascii="Arial" w:hAnsi="Arial" w:cs="Arial"/>
          <w:b/>
          <w:sz w:val="24"/>
          <w:szCs w:val="24"/>
        </w:rPr>
        <w:t xml:space="preserve"> </w:t>
      </w:r>
      <w:r w:rsidR="000B3CD1">
        <w:rPr>
          <w:rFonts w:ascii="Arial" w:hAnsi="Arial" w:cs="Arial"/>
          <w:b/>
          <w:sz w:val="24"/>
          <w:szCs w:val="24"/>
          <w:lang w:val="es-MX" w:eastAsia="es-ES"/>
        </w:rPr>
        <w:t>INSTITUTO DEL AGUA DE NUEVO LEÓN</w:t>
      </w:r>
      <w:r w:rsidR="000B3CD1" w:rsidRPr="00190C96">
        <w:rPr>
          <w:rFonts w:ascii="Arial" w:hAnsi="Arial" w:cs="Arial"/>
          <w:bCs/>
          <w:sz w:val="24"/>
          <w:szCs w:val="24"/>
          <w:lang w:val="es-MX"/>
        </w:rPr>
        <w:t xml:space="preserve"> </w:t>
      </w:r>
      <w:r w:rsidRPr="00D72044">
        <w:rPr>
          <w:rFonts w:ascii="Arial" w:hAnsi="Arial" w:cs="Arial"/>
          <w:bCs/>
          <w:sz w:val="24"/>
          <w:szCs w:val="24"/>
          <w:lang w:val="es-MX"/>
        </w:rPr>
        <w:t>es susceptible de aprobación.</w:t>
      </w:r>
    </w:p>
    <w:p w:rsidR="00190C96" w:rsidRPr="00190C96" w:rsidRDefault="00190C96" w:rsidP="000B3CD1">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Pr="00190C96">
        <w:rPr>
          <w:rFonts w:ascii="Arial" w:hAnsi="Arial" w:cs="Arial"/>
          <w:b/>
          <w:bCs/>
          <w:sz w:val="24"/>
          <w:szCs w:val="24"/>
          <w:lang w:val="es-MX"/>
        </w:rPr>
        <w:t xml:space="preserve"> </w:t>
      </w:r>
      <w:r w:rsidRPr="00D72044">
        <w:rPr>
          <w:rFonts w:ascii="Arial" w:hAnsi="Arial" w:cs="Arial"/>
          <w:b/>
          <w:bCs/>
          <w:sz w:val="24"/>
          <w:szCs w:val="24"/>
          <w:lang w:val="es-MX"/>
        </w:rPr>
        <w:t xml:space="preserve">SE </w:t>
      </w:r>
      <w:r w:rsidR="00D72044">
        <w:rPr>
          <w:rFonts w:ascii="Arial" w:hAnsi="Arial" w:cs="Arial"/>
          <w:b/>
          <w:bCs/>
          <w:sz w:val="24"/>
          <w:szCs w:val="24"/>
          <w:lang w:val="es-MX"/>
        </w:rPr>
        <w:t>APRUEBA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00453047">
        <w:rPr>
          <w:rFonts w:ascii="Arial" w:hAnsi="Arial" w:cs="Arial"/>
          <w:b/>
          <w:bCs/>
          <w:sz w:val="24"/>
          <w:szCs w:val="24"/>
          <w:lang w:val="es-MX"/>
        </w:rPr>
        <w:t xml:space="preserve"> 2015</w:t>
      </w:r>
      <w:r w:rsidR="0083225F">
        <w:rPr>
          <w:rFonts w:ascii="Arial" w:hAnsi="Arial" w:cs="Arial"/>
          <w:b/>
          <w:bCs/>
          <w:sz w:val="24"/>
          <w:szCs w:val="24"/>
          <w:lang w:val="es-MX"/>
        </w:rPr>
        <w:t xml:space="preserve"> del</w:t>
      </w:r>
      <w:r w:rsidR="00C35717">
        <w:rPr>
          <w:rFonts w:ascii="Arial" w:hAnsi="Arial" w:cs="Arial"/>
          <w:b/>
          <w:bCs/>
          <w:sz w:val="24"/>
          <w:szCs w:val="24"/>
          <w:lang w:val="es-MX"/>
        </w:rPr>
        <w:t xml:space="preserve"> </w:t>
      </w:r>
      <w:r w:rsidR="000B3CD1">
        <w:rPr>
          <w:rFonts w:ascii="Arial" w:hAnsi="Arial" w:cs="Arial"/>
          <w:b/>
          <w:sz w:val="24"/>
          <w:szCs w:val="24"/>
          <w:lang w:val="es-MX" w:eastAsia="es-ES"/>
        </w:rPr>
        <w:t>INSTITUTO DEL AGUA DE NUEVO LEÓN</w:t>
      </w:r>
      <w:r w:rsidR="007E2484">
        <w:rPr>
          <w:rFonts w:ascii="Arial" w:hAnsi="Arial" w:cs="Arial"/>
          <w:b/>
          <w:sz w:val="24"/>
          <w:szCs w:val="24"/>
          <w:lang w:val="es-MX" w:eastAsia="es-ES"/>
        </w:rPr>
        <w:t>.</w:t>
      </w:r>
    </w:p>
    <w:p w:rsidR="00D72044" w:rsidRDefault="00190C96" w:rsidP="005F27E6">
      <w:pPr>
        <w:ind w:right="133" w:firstLine="708"/>
        <w:jc w:val="both"/>
        <w:rPr>
          <w:rFonts w:ascii="Arial" w:hAnsi="Arial" w:cs="Arial"/>
          <w:b/>
          <w:bCs/>
          <w:sz w:val="24"/>
          <w:szCs w:val="24"/>
        </w:rPr>
      </w:pPr>
      <w:r w:rsidRPr="00190C96">
        <w:rPr>
          <w:rFonts w:ascii="Arial" w:hAnsi="Arial" w:cs="Arial"/>
          <w:b/>
          <w:bCs/>
          <w:sz w:val="24"/>
          <w:szCs w:val="24"/>
        </w:rPr>
        <w:lastRenderedPageBreak/>
        <w:t xml:space="preserve">CUARTO.- </w:t>
      </w:r>
      <w:r w:rsidR="00D72044" w:rsidRPr="00190C96">
        <w:rPr>
          <w:rFonts w:ascii="Arial" w:hAnsi="Arial" w:cs="Arial"/>
          <w:bCs/>
          <w:sz w:val="24"/>
          <w:szCs w:val="24"/>
        </w:rPr>
        <w:t>Se instruye a la Auditoria Superior del Estado para que en términos del párrafo segundo del artículo 52 de la</w:t>
      </w:r>
      <w:r w:rsidR="00D72044" w:rsidRPr="00190C96">
        <w:rPr>
          <w:rFonts w:ascii="Arial" w:hAnsi="Arial" w:cs="Arial"/>
          <w:bCs/>
          <w:sz w:val="24"/>
          <w:szCs w:val="24"/>
          <w:lang w:val="es-ES_tradnl"/>
        </w:rPr>
        <w:t xml:space="preserve"> </w:t>
      </w:r>
      <w:r w:rsidR="00D72044" w:rsidRPr="00190C96">
        <w:rPr>
          <w:rFonts w:ascii="Arial" w:hAnsi="Arial" w:cs="Arial"/>
          <w:bCs/>
          <w:sz w:val="24"/>
          <w:szCs w:val="24"/>
        </w:rPr>
        <w:t>Ley de Fiscalización Superior del Estado de Nuevo León</w:t>
      </w:r>
      <w:r w:rsidR="00D72044" w:rsidRPr="00190C96">
        <w:rPr>
          <w:rFonts w:ascii="Arial" w:hAnsi="Arial" w:cs="Arial"/>
          <w:b/>
          <w:bCs/>
          <w:sz w:val="24"/>
          <w:szCs w:val="24"/>
        </w:rPr>
        <w:t xml:space="preserve"> EXPIDA EL FINIQUITO CORRESPONDIENTE, </w:t>
      </w:r>
      <w:r w:rsidR="00D72044" w:rsidRPr="00190C96">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D72044">
        <w:rPr>
          <w:rFonts w:ascii="Arial" w:hAnsi="Arial" w:cs="Arial"/>
          <w:bCs/>
          <w:sz w:val="24"/>
          <w:szCs w:val="24"/>
        </w:rPr>
        <w:t>l</w:t>
      </w:r>
      <w:r w:rsidR="00D72044" w:rsidRPr="00C35717">
        <w:rPr>
          <w:rFonts w:ascii="Arial" w:hAnsi="Arial" w:cs="Arial"/>
          <w:b/>
          <w:sz w:val="24"/>
          <w:szCs w:val="24"/>
        </w:rPr>
        <w:t xml:space="preserve"> </w:t>
      </w:r>
      <w:r w:rsidR="00D72044">
        <w:rPr>
          <w:rFonts w:ascii="Arial" w:hAnsi="Arial" w:cs="Arial"/>
          <w:b/>
          <w:sz w:val="24"/>
          <w:szCs w:val="24"/>
          <w:lang w:val="es-MX" w:eastAsia="es-ES"/>
        </w:rPr>
        <w:t xml:space="preserve">INSTITUTO DEL AGUA DE NUEVO LEÓN </w:t>
      </w:r>
      <w:r w:rsidR="00D72044" w:rsidRPr="00190C96">
        <w:rPr>
          <w:rFonts w:ascii="Arial" w:hAnsi="Arial" w:cs="Arial"/>
          <w:bCs/>
          <w:sz w:val="24"/>
          <w:szCs w:val="24"/>
        </w:rPr>
        <w:t xml:space="preserve">correspondiente al ejercicio </w:t>
      </w:r>
      <w:r w:rsidR="00D72044">
        <w:rPr>
          <w:rFonts w:ascii="Arial" w:hAnsi="Arial" w:cs="Arial"/>
          <w:b/>
          <w:bCs/>
          <w:sz w:val="24"/>
          <w:szCs w:val="24"/>
        </w:rPr>
        <w:t>2015</w:t>
      </w:r>
      <w:r w:rsidR="00D72044" w:rsidRPr="00190C96">
        <w:rPr>
          <w:rFonts w:ascii="Arial" w:hAnsi="Arial" w:cs="Arial"/>
          <w:b/>
          <w:bCs/>
          <w:sz w:val="24"/>
          <w:szCs w:val="24"/>
        </w:rPr>
        <w:t>.</w:t>
      </w:r>
    </w:p>
    <w:p w:rsidR="007E6300" w:rsidRPr="007E6300" w:rsidRDefault="00190C96" w:rsidP="000B3CD1">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AUDITORÍA SUPE</w:t>
      </w:r>
      <w:r w:rsidR="00A02D29">
        <w:rPr>
          <w:rFonts w:ascii="Arial" w:hAnsi="Arial" w:cs="Arial"/>
          <w:bCs/>
          <w:sz w:val="24"/>
          <w:szCs w:val="24"/>
        </w:rPr>
        <w:t>R</w:t>
      </w:r>
      <w:r w:rsidR="007E6300">
        <w:rPr>
          <w:rFonts w:ascii="Arial" w:hAnsi="Arial" w:cs="Arial"/>
          <w:bCs/>
          <w:sz w:val="24"/>
          <w:szCs w:val="24"/>
        </w:rPr>
        <w:t>I</w:t>
      </w:r>
      <w:r w:rsidR="00A410B6">
        <w:rPr>
          <w:rFonts w:ascii="Arial" w:hAnsi="Arial" w:cs="Arial"/>
          <w:bCs/>
          <w:sz w:val="24"/>
          <w:szCs w:val="24"/>
        </w:rPr>
        <w:t>O</w:t>
      </w:r>
      <w:r w:rsidR="00C35717">
        <w:rPr>
          <w:rFonts w:ascii="Arial" w:hAnsi="Arial" w:cs="Arial"/>
          <w:bCs/>
          <w:sz w:val="24"/>
          <w:szCs w:val="24"/>
        </w:rPr>
        <w:t>R DEL ESTADO DE NUEVO LEÓN y a</w:t>
      </w:r>
      <w:r w:rsidR="00B15E5A">
        <w:rPr>
          <w:rFonts w:ascii="Arial" w:hAnsi="Arial" w:cs="Arial"/>
          <w:bCs/>
          <w:sz w:val="24"/>
          <w:szCs w:val="24"/>
        </w:rPr>
        <w:t>l</w:t>
      </w:r>
      <w:r w:rsidR="00B15E5A" w:rsidRPr="00B15E5A">
        <w:rPr>
          <w:rFonts w:ascii="Arial" w:hAnsi="Arial" w:cs="Arial"/>
          <w:b/>
          <w:sz w:val="24"/>
          <w:szCs w:val="24"/>
        </w:rPr>
        <w:t xml:space="preserve"> </w:t>
      </w:r>
      <w:r w:rsidR="000B3CD1">
        <w:rPr>
          <w:rFonts w:ascii="Arial" w:hAnsi="Arial" w:cs="Arial"/>
          <w:b/>
          <w:sz w:val="24"/>
          <w:szCs w:val="24"/>
          <w:lang w:val="es-MX" w:eastAsia="es-ES"/>
        </w:rPr>
        <w:t>INSTITUTO DEL AGUA DE NUEVO LEÓN</w:t>
      </w:r>
      <w:r w:rsidR="007E2484">
        <w:rPr>
          <w:rFonts w:ascii="Arial" w:hAnsi="Arial" w:cs="Arial"/>
          <w:b/>
          <w:sz w:val="24"/>
          <w:szCs w:val="24"/>
          <w:lang w:val="es-MX" w:eastAsia="es-ES"/>
        </w:rPr>
        <w:t xml:space="preserve"> </w:t>
      </w:r>
      <w:r w:rsidR="007E6300">
        <w:rPr>
          <w:rFonts w:ascii="Arial" w:hAnsi="Arial" w:cs="Arial"/>
          <w:bCs/>
          <w:sz w:val="24"/>
          <w:szCs w:val="24"/>
        </w:rPr>
        <w:t>para 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001F315D">
        <w:rPr>
          <w:rFonts w:ascii="Arial" w:hAnsi="Arial" w:cs="Arial"/>
          <w:b/>
        </w:rPr>
        <w:t xml:space="preserve"> </w:t>
      </w:r>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Default="00720E1D" w:rsidP="00720E1D">
      <w:pPr>
        <w:rPr>
          <w:lang w:val="es-ES_tradnl" w:eastAsia="ar-SA"/>
        </w:rPr>
      </w:pPr>
    </w:p>
    <w:p w:rsidR="00720E1D" w:rsidRPr="009A7A82" w:rsidRDefault="00720E1D" w:rsidP="00720E1D">
      <w:pPr>
        <w:rPr>
          <w:lang w:val="es-ES_tradnl" w:eastAsia="ar-SA"/>
        </w:rPr>
      </w:pPr>
    </w:p>
    <w:p w:rsidR="00720E1D" w:rsidRDefault="00453047" w:rsidP="00720E1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720E1D">
        <w:rPr>
          <w:rFonts w:ascii="Arial" w:hAnsi="Arial" w:cs="Arial"/>
          <w:b/>
          <w:lang w:val="es-ES_tradnl"/>
        </w:rPr>
        <w:t>:</w:t>
      </w:r>
    </w:p>
    <w:p w:rsidR="00720E1D" w:rsidRDefault="00720E1D" w:rsidP="00720E1D">
      <w:pPr>
        <w:pStyle w:val="Body1"/>
        <w:widowControl w:val="0"/>
        <w:tabs>
          <w:tab w:val="left" w:pos="3828"/>
        </w:tabs>
        <w:suppressAutoHyphens/>
        <w:spacing w:after="120" w:line="360" w:lineRule="auto"/>
        <w:jc w:val="center"/>
        <w:rPr>
          <w:rFonts w:ascii="Arial" w:hAnsi="Arial" w:cs="Arial"/>
          <w:b/>
          <w:sz w:val="22"/>
          <w:lang w:val="es-ES_tradnl"/>
        </w:rPr>
      </w:pPr>
    </w:p>
    <w:p w:rsidR="008E06E1" w:rsidRPr="008E06E1" w:rsidRDefault="008E06E1" w:rsidP="008E06E1">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720E1D" w:rsidRPr="006743D1" w:rsidRDefault="00720E1D" w:rsidP="00720E1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bookmarkStart w:id="0" w:name="_GoBack"/>
      <w:bookmarkEnd w:id="0"/>
    </w:p>
    <w:sectPr w:rsidR="00720E1D" w:rsidRPr="00720E1D" w:rsidSect="0024136A">
      <w:footerReference w:type="default" r:id="rId1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3F" w:rsidRDefault="0028403F" w:rsidP="005003EB">
      <w:pPr>
        <w:spacing w:after="0" w:line="240" w:lineRule="auto"/>
      </w:pPr>
      <w:r>
        <w:separator/>
      </w:r>
    </w:p>
  </w:endnote>
  <w:endnote w:type="continuationSeparator" w:id="0">
    <w:p w:rsidR="0028403F" w:rsidRDefault="0028403F"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03" w:rsidRPr="0088072B" w:rsidRDefault="00805203">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24136A">
      <w:rPr>
        <w:rFonts w:ascii="Century Gothic" w:hAnsi="Century Gothic"/>
        <w:noProof/>
        <w:sz w:val="20"/>
        <w:szCs w:val="20"/>
      </w:rPr>
      <w:t>38</w:t>
    </w:r>
    <w:r w:rsidRPr="0088072B">
      <w:rPr>
        <w:rFonts w:ascii="Century Gothic" w:hAnsi="Century Gothic"/>
        <w:sz w:val="20"/>
        <w:szCs w:val="20"/>
      </w:rPr>
      <w:fldChar w:fldCharType="end"/>
    </w:r>
  </w:p>
  <w:p w:rsidR="00805203" w:rsidRPr="008701F1" w:rsidRDefault="00805203" w:rsidP="004C3170">
    <w:pPr>
      <w:pStyle w:val="Piedepgina"/>
      <w:jc w:val="center"/>
      <w:rPr>
        <w:rFonts w:ascii="Arial" w:hAnsi="Arial" w:cs="Arial"/>
        <w:sz w:val="16"/>
        <w:szCs w:val="16"/>
      </w:rPr>
    </w:pPr>
    <w:r w:rsidRPr="008701F1">
      <w:rPr>
        <w:rFonts w:ascii="Arial" w:hAnsi="Arial" w:cs="Arial"/>
        <w:sz w:val="16"/>
        <w:szCs w:val="16"/>
      </w:rPr>
      <w:t>Comisión de Hacienda del Estado</w:t>
    </w:r>
  </w:p>
  <w:p w:rsidR="00805203" w:rsidRPr="004C3170" w:rsidRDefault="00805203" w:rsidP="004C3170">
    <w:pPr>
      <w:autoSpaceDE w:val="0"/>
      <w:autoSpaceDN w:val="0"/>
      <w:adjustRightInd w:val="0"/>
      <w:spacing w:after="0" w:line="240" w:lineRule="auto"/>
      <w:jc w:val="center"/>
      <w:rPr>
        <w:rFonts w:ascii="Arial" w:hAnsi="Arial" w:cs="Arial"/>
        <w:sz w:val="4"/>
        <w:szCs w:val="16"/>
      </w:rPr>
    </w:pPr>
    <w:r>
      <w:rPr>
        <w:rFonts w:ascii="Arial" w:hAnsi="Arial" w:cs="Arial"/>
        <w:sz w:val="16"/>
        <w:szCs w:val="16"/>
      </w:rPr>
      <w:t xml:space="preserve">Dictamen del Expediente </w:t>
    </w:r>
    <w:r w:rsidR="008E06E1">
      <w:rPr>
        <w:rFonts w:ascii="Arial" w:hAnsi="Arial" w:cs="Arial"/>
        <w:sz w:val="16"/>
        <w:szCs w:val="16"/>
      </w:rPr>
      <w:t>10470</w:t>
    </w:r>
    <w:r>
      <w:rPr>
        <w:rFonts w:ascii="Arial" w:hAnsi="Arial" w:cs="Arial"/>
        <w:sz w:val="16"/>
        <w:szCs w:val="16"/>
      </w:rPr>
      <w:t>/LXXIV</w:t>
    </w:r>
    <w:r w:rsidRPr="008701F1">
      <w:rPr>
        <w:rFonts w:ascii="Arial" w:hAnsi="Arial" w:cs="Arial"/>
        <w:sz w:val="16"/>
        <w:szCs w:val="16"/>
      </w:rPr>
      <w:t xml:space="preserve"> Cuenta Pública 201</w:t>
    </w:r>
    <w:r w:rsidR="008E06E1">
      <w:rPr>
        <w:rFonts w:ascii="Arial" w:hAnsi="Arial" w:cs="Arial"/>
        <w:sz w:val="16"/>
        <w:szCs w:val="16"/>
      </w:rPr>
      <w:t>5</w:t>
    </w:r>
    <w:r w:rsidRPr="008701F1">
      <w:rPr>
        <w:rFonts w:ascii="Arial" w:hAnsi="Arial" w:cs="Arial"/>
        <w:sz w:val="16"/>
        <w:szCs w:val="16"/>
      </w:rPr>
      <w:t xml:space="preserve"> </w:t>
    </w:r>
    <w:r>
      <w:rPr>
        <w:rFonts w:ascii="Arial" w:hAnsi="Arial" w:cs="Arial"/>
        <w:sz w:val="16"/>
        <w:szCs w:val="32"/>
        <w:lang w:val="es-MX" w:eastAsia="es-ES"/>
      </w:rPr>
      <w:t xml:space="preserve">Instituto del Agua del Estado de Nuevo León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3F" w:rsidRDefault="0028403F" w:rsidP="005003EB">
      <w:pPr>
        <w:spacing w:after="0" w:line="240" w:lineRule="auto"/>
      </w:pPr>
      <w:r>
        <w:separator/>
      </w:r>
    </w:p>
  </w:footnote>
  <w:footnote w:type="continuationSeparator" w:id="0">
    <w:p w:rsidR="0028403F" w:rsidRDefault="0028403F"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C94"/>
    <w:multiLevelType w:val="hybridMultilevel"/>
    <w:tmpl w:val="5F5EF37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A5960"/>
    <w:multiLevelType w:val="hybridMultilevel"/>
    <w:tmpl w:val="B0DA511C"/>
    <w:lvl w:ilvl="0" w:tplc="3118D6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01429"/>
    <w:multiLevelType w:val="hybridMultilevel"/>
    <w:tmpl w:val="0FD60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28301B"/>
    <w:multiLevelType w:val="hybridMultilevel"/>
    <w:tmpl w:val="B73CEF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981059"/>
    <w:multiLevelType w:val="hybridMultilevel"/>
    <w:tmpl w:val="26F4D1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D64E96"/>
    <w:multiLevelType w:val="hybridMultilevel"/>
    <w:tmpl w:val="9D5AF4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317E8"/>
    <w:multiLevelType w:val="hybridMultilevel"/>
    <w:tmpl w:val="B71E6E7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4793A"/>
    <w:multiLevelType w:val="hybridMultilevel"/>
    <w:tmpl w:val="09069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326D8"/>
    <w:multiLevelType w:val="hybridMultilevel"/>
    <w:tmpl w:val="C930D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1542A"/>
    <w:multiLevelType w:val="hybridMultilevel"/>
    <w:tmpl w:val="E8A0ED06"/>
    <w:lvl w:ilvl="0" w:tplc="EEB88A0A">
      <w:start w:val="1"/>
      <w:numFmt w:val="upperRoman"/>
      <w:lvlText w:val="%1."/>
      <w:lvlJc w:val="left"/>
      <w:pPr>
        <w:ind w:left="1080" w:hanging="720"/>
      </w:pPr>
      <w:rPr>
        <w:rFonts w:hint="default"/>
      </w:rPr>
    </w:lvl>
    <w:lvl w:ilvl="1" w:tplc="3DEAA0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E669B0"/>
    <w:multiLevelType w:val="hybridMultilevel"/>
    <w:tmpl w:val="C9CA0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3012B1"/>
    <w:multiLevelType w:val="hybridMultilevel"/>
    <w:tmpl w:val="AC4EB9C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6D6C6A"/>
    <w:multiLevelType w:val="hybridMultilevel"/>
    <w:tmpl w:val="E342190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52F8D"/>
    <w:multiLevelType w:val="hybridMultilevel"/>
    <w:tmpl w:val="EFF8893C"/>
    <w:lvl w:ilvl="0" w:tplc="DA4AF4FE">
      <w:start w:val="1"/>
      <w:numFmt w:val="upperRoman"/>
      <w:lvlText w:val="%1."/>
      <w:lvlJc w:val="left"/>
      <w:pPr>
        <w:ind w:left="1080" w:hanging="720"/>
      </w:pPr>
      <w:rPr>
        <w:rFonts w:hint="default"/>
      </w:rPr>
    </w:lvl>
    <w:lvl w:ilvl="1" w:tplc="47F63A6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DF1B39"/>
    <w:multiLevelType w:val="hybridMultilevel"/>
    <w:tmpl w:val="27E02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5C023C"/>
    <w:multiLevelType w:val="hybridMultilevel"/>
    <w:tmpl w:val="A7A85A66"/>
    <w:lvl w:ilvl="0" w:tplc="080A0017">
      <w:start w:val="1"/>
      <w:numFmt w:val="lowerLetter"/>
      <w:lvlText w:val="%1)"/>
      <w:lvlJc w:val="left"/>
      <w:pPr>
        <w:ind w:left="720" w:hanging="360"/>
      </w:pPr>
      <w:rPr>
        <w:rFonts w:hint="default"/>
      </w:rPr>
    </w:lvl>
    <w:lvl w:ilvl="1" w:tplc="FE9AFDBC">
      <w:start w:val="1"/>
      <w:numFmt w:val="bullet"/>
      <w:lvlText w:val="•"/>
      <w:lvlJc w:val="left"/>
      <w:pPr>
        <w:ind w:left="1440" w:hanging="360"/>
      </w:pPr>
      <w:rPr>
        <w:rFonts w:ascii="Arial" w:eastAsia="Calibri" w:hAnsi="Arial" w:cs="Arial" w:hint="default"/>
      </w:rPr>
    </w:lvl>
    <w:lvl w:ilvl="2" w:tplc="95F0959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7D6452"/>
    <w:multiLevelType w:val="hybridMultilevel"/>
    <w:tmpl w:val="756E7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CFD4564"/>
    <w:multiLevelType w:val="hybridMultilevel"/>
    <w:tmpl w:val="74FC65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7862DC"/>
    <w:multiLevelType w:val="hybridMultilevel"/>
    <w:tmpl w:val="99D63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CF1AA8"/>
    <w:multiLevelType w:val="hybridMultilevel"/>
    <w:tmpl w:val="82A0AF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A15BDD"/>
    <w:multiLevelType w:val="hybridMultilevel"/>
    <w:tmpl w:val="653AF594"/>
    <w:lvl w:ilvl="0" w:tplc="55C62310">
      <w:start w:val="1"/>
      <w:numFmt w:val="upperRoman"/>
      <w:lvlText w:val="%1."/>
      <w:lvlJc w:val="left"/>
      <w:pPr>
        <w:ind w:left="1080" w:hanging="720"/>
      </w:pPr>
      <w:rPr>
        <w:rFonts w:hint="default"/>
      </w:rPr>
    </w:lvl>
    <w:lvl w:ilvl="1" w:tplc="5C86017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CD4E8C"/>
    <w:multiLevelType w:val="hybridMultilevel"/>
    <w:tmpl w:val="749628BA"/>
    <w:lvl w:ilvl="0" w:tplc="080A0015">
      <w:start w:val="1"/>
      <w:numFmt w:val="upperLetter"/>
      <w:lvlText w:val="%1."/>
      <w:lvlJc w:val="left"/>
      <w:pPr>
        <w:ind w:left="720" w:hanging="360"/>
      </w:pPr>
      <w:rPr>
        <w:rFonts w:hint="default"/>
      </w:rPr>
    </w:lvl>
    <w:lvl w:ilvl="1" w:tplc="BFC44346">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851D20"/>
    <w:multiLevelType w:val="hybridMultilevel"/>
    <w:tmpl w:val="8A0A2E9A"/>
    <w:lvl w:ilvl="0" w:tplc="21BCA3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27A03"/>
    <w:multiLevelType w:val="hybridMultilevel"/>
    <w:tmpl w:val="3F2E5BA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DE0C9B"/>
    <w:multiLevelType w:val="hybridMultilevel"/>
    <w:tmpl w:val="204A1210"/>
    <w:lvl w:ilvl="0" w:tplc="55C62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D509DD"/>
    <w:multiLevelType w:val="hybridMultilevel"/>
    <w:tmpl w:val="4802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027264"/>
    <w:multiLevelType w:val="hybridMultilevel"/>
    <w:tmpl w:val="B3A65B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DF7191"/>
    <w:multiLevelType w:val="hybridMultilevel"/>
    <w:tmpl w:val="91A4B980"/>
    <w:lvl w:ilvl="0" w:tplc="A27E6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24738C"/>
    <w:multiLevelType w:val="hybridMultilevel"/>
    <w:tmpl w:val="A6BC20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B9A1289"/>
    <w:multiLevelType w:val="hybridMultilevel"/>
    <w:tmpl w:val="AC98E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8"/>
  </w:num>
  <w:num w:numId="4">
    <w:abstractNumId w:val="1"/>
  </w:num>
  <w:num w:numId="5">
    <w:abstractNumId w:val="28"/>
  </w:num>
  <w:num w:numId="6">
    <w:abstractNumId w:val="11"/>
  </w:num>
  <w:num w:numId="7">
    <w:abstractNumId w:val="27"/>
  </w:num>
  <w:num w:numId="8">
    <w:abstractNumId w:val="3"/>
  </w:num>
  <w:num w:numId="9">
    <w:abstractNumId w:val="6"/>
  </w:num>
  <w:num w:numId="10">
    <w:abstractNumId w:val="24"/>
  </w:num>
  <w:num w:numId="11">
    <w:abstractNumId w:val="23"/>
  </w:num>
  <w:num w:numId="12">
    <w:abstractNumId w:val="4"/>
  </w:num>
  <w:num w:numId="13">
    <w:abstractNumId w:val="15"/>
  </w:num>
  <w:num w:numId="14">
    <w:abstractNumId w:val="2"/>
  </w:num>
  <w:num w:numId="15">
    <w:abstractNumId w:val="25"/>
  </w:num>
  <w:num w:numId="16">
    <w:abstractNumId w:val="9"/>
  </w:num>
  <w:num w:numId="17">
    <w:abstractNumId w:val="30"/>
  </w:num>
  <w:num w:numId="18">
    <w:abstractNumId w:val="32"/>
  </w:num>
  <w:num w:numId="19">
    <w:abstractNumId w:val="14"/>
  </w:num>
  <w:num w:numId="20">
    <w:abstractNumId w:val="29"/>
  </w:num>
  <w:num w:numId="21">
    <w:abstractNumId w:val="19"/>
  </w:num>
  <w:num w:numId="22">
    <w:abstractNumId w:val="21"/>
  </w:num>
  <w:num w:numId="23">
    <w:abstractNumId w:val="8"/>
  </w:num>
  <w:num w:numId="24">
    <w:abstractNumId w:val="10"/>
  </w:num>
  <w:num w:numId="25">
    <w:abstractNumId w:val="17"/>
  </w:num>
  <w:num w:numId="26">
    <w:abstractNumId w:val="16"/>
  </w:num>
  <w:num w:numId="27">
    <w:abstractNumId w:val="7"/>
  </w:num>
  <w:num w:numId="28">
    <w:abstractNumId w:val="0"/>
  </w:num>
  <w:num w:numId="29">
    <w:abstractNumId w:val="13"/>
  </w:num>
  <w:num w:numId="30">
    <w:abstractNumId w:val="12"/>
  </w:num>
  <w:num w:numId="31">
    <w:abstractNumId w:val="26"/>
  </w:num>
  <w:num w:numId="32">
    <w:abstractNumId w:val="20"/>
  </w:num>
  <w:num w:numId="3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38B"/>
    <w:rsid w:val="00024BFE"/>
    <w:rsid w:val="000270BA"/>
    <w:rsid w:val="00030357"/>
    <w:rsid w:val="00030A7F"/>
    <w:rsid w:val="00030F07"/>
    <w:rsid w:val="000331A3"/>
    <w:rsid w:val="00035CE3"/>
    <w:rsid w:val="00036186"/>
    <w:rsid w:val="000367DD"/>
    <w:rsid w:val="0004049B"/>
    <w:rsid w:val="000405DF"/>
    <w:rsid w:val="00040D81"/>
    <w:rsid w:val="00042451"/>
    <w:rsid w:val="00044ADF"/>
    <w:rsid w:val="00046A7F"/>
    <w:rsid w:val="00047CCC"/>
    <w:rsid w:val="00050916"/>
    <w:rsid w:val="00051286"/>
    <w:rsid w:val="000522D8"/>
    <w:rsid w:val="00055486"/>
    <w:rsid w:val="00056690"/>
    <w:rsid w:val="00056BF6"/>
    <w:rsid w:val="0005714F"/>
    <w:rsid w:val="00057B3D"/>
    <w:rsid w:val="00063CBA"/>
    <w:rsid w:val="000643C1"/>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7527"/>
    <w:rsid w:val="00091A4C"/>
    <w:rsid w:val="00092263"/>
    <w:rsid w:val="00093131"/>
    <w:rsid w:val="00093C5B"/>
    <w:rsid w:val="00096111"/>
    <w:rsid w:val="000A2518"/>
    <w:rsid w:val="000A2DBB"/>
    <w:rsid w:val="000A2DE6"/>
    <w:rsid w:val="000A59BF"/>
    <w:rsid w:val="000A63E0"/>
    <w:rsid w:val="000A6C73"/>
    <w:rsid w:val="000A6FDF"/>
    <w:rsid w:val="000A7D9B"/>
    <w:rsid w:val="000B16E4"/>
    <w:rsid w:val="000B2E4E"/>
    <w:rsid w:val="000B3778"/>
    <w:rsid w:val="000B3CD1"/>
    <w:rsid w:val="000B516E"/>
    <w:rsid w:val="000B6E88"/>
    <w:rsid w:val="000C002B"/>
    <w:rsid w:val="000C02F1"/>
    <w:rsid w:val="000C03A1"/>
    <w:rsid w:val="000C1023"/>
    <w:rsid w:val="000C18C6"/>
    <w:rsid w:val="000C1977"/>
    <w:rsid w:val="000C2061"/>
    <w:rsid w:val="000C2D6F"/>
    <w:rsid w:val="000C3A06"/>
    <w:rsid w:val="000C4EE8"/>
    <w:rsid w:val="000C5991"/>
    <w:rsid w:val="000C676C"/>
    <w:rsid w:val="000D0605"/>
    <w:rsid w:val="000D0959"/>
    <w:rsid w:val="000D2C1B"/>
    <w:rsid w:val="000D34D5"/>
    <w:rsid w:val="000D5EEA"/>
    <w:rsid w:val="000D7465"/>
    <w:rsid w:val="000D7680"/>
    <w:rsid w:val="000E00D7"/>
    <w:rsid w:val="000E3121"/>
    <w:rsid w:val="000E3177"/>
    <w:rsid w:val="000E729A"/>
    <w:rsid w:val="000F0421"/>
    <w:rsid w:val="000F0D10"/>
    <w:rsid w:val="000F1CE0"/>
    <w:rsid w:val="000F3F71"/>
    <w:rsid w:val="000F41AD"/>
    <w:rsid w:val="000F5448"/>
    <w:rsid w:val="000F5619"/>
    <w:rsid w:val="000F5D6E"/>
    <w:rsid w:val="00100351"/>
    <w:rsid w:val="00100C21"/>
    <w:rsid w:val="00100C4C"/>
    <w:rsid w:val="00101DE0"/>
    <w:rsid w:val="00102664"/>
    <w:rsid w:val="00102DB5"/>
    <w:rsid w:val="001042B4"/>
    <w:rsid w:val="00104468"/>
    <w:rsid w:val="0010531A"/>
    <w:rsid w:val="00106FA7"/>
    <w:rsid w:val="0010753E"/>
    <w:rsid w:val="00110834"/>
    <w:rsid w:val="001123AF"/>
    <w:rsid w:val="0011267E"/>
    <w:rsid w:val="00114296"/>
    <w:rsid w:val="001154FB"/>
    <w:rsid w:val="0012029B"/>
    <w:rsid w:val="00123C99"/>
    <w:rsid w:val="0012450B"/>
    <w:rsid w:val="00125A02"/>
    <w:rsid w:val="00127BEA"/>
    <w:rsid w:val="001307BE"/>
    <w:rsid w:val="00133BCB"/>
    <w:rsid w:val="00135504"/>
    <w:rsid w:val="00141D60"/>
    <w:rsid w:val="00141DEA"/>
    <w:rsid w:val="00141ED8"/>
    <w:rsid w:val="0014216A"/>
    <w:rsid w:val="001432A0"/>
    <w:rsid w:val="001436C3"/>
    <w:rsid w:val="00143BB7"/>
    <w:rsid w:val="00143D85"/>
    <w:rsid w:val="001448FD"/>
    <w:rsid w:val="00145515"/>
    <w:rsid w:val="00153BB3"/>
    <w:rsid w:val="00154BF5"/>
    <w:rsid w:val="00157295"/>
    <w:rsid w:val="00161467"/>
    <w:rsid w:val="001614FB"/>
    <w:rsid w:val="00162737"/>
    <w:rsid w:val="00164696"/>
    <w:rsid w:val="00164899"/>
    <w:rsid w:val="00165DF5"/>
    <w:rsid w:val="00167803"/>
    <w:rsid w:val="00171621"/>
    <w:rsid w:val="001811BA"/>
    <w:rsid w:val="00182A12"/>
    <w:rsid w:val="00182FA2"/>
    <w:rsid w:val="00186CB2"/>
    <w:rsid w:val="00186DB7"/>
    <w:rsid w:val="0018716E"/>
    <w:rsid w:val="00190C96"/>
    <w:rsid w:val="00191679"/>
    <w:rsid w:val="001938B4"/>
    <w:rsid w:val="001938C2"/>
    <w:rsid w:val="00194242"/>
    <w:rsid w:val="001954A2"/>
    <w:rsid w:val="00195AE8"/>
    <w:rsid w:val="0019773E"/>
    <w:rsid w:val="001A0CAB"/>
    <w:rsid w:val="001A0F50"/>
    <w:rsid w:val="001A1313"/>
    <w:rsid w:val="001A1594"/>
    <w:rsid w:val="001A568F"/>
    <w:rsid w:val="001A6E0D"/>
    <w:rsid w:val="001A727A"/>
    <w:rsid w:val="001A7FB2"/>
    <w:rsid w:val="001B0AF2"/>
    <w:rsid w:val="001B40AD"/>
    <w:rsid w:val="001B434F"/>
    <w:rsid w:val="001B47DA"/>
    <w:rsid w:val="001B56BC"/>
    <w:rsid w:val="001B72E7"/>
    <w:rsid w:val="001B77AA"/>
    <w:rsid w:val="001B7FFE"/>
    <w:rsid w:val="001C071A"/>
    <w:rsid w:val="001C15DE"/>
    <w:rsid w:val="001C1F1F"/>
    <w:rsid w:val="001C4722"/>
    <w:rsid w:val="001C54E5"/>
    <w:rsid w:val="001C66A8"/>
    <w:rsid w:val="001C73B5"/>
    <w:rsid w:val="001C7975"/>
    <w:rsid w:val="001D253D"/>
    <w:rsid w:val="001D33E0"/>
    <w:rsid w:val="001D5FAA"/>
    <w:rsid w:val="001D6082"/>
    <w:rsid w:val="001E0AF2"/>
    <w:rsid w:val="001E20FC"/>
    <w:rsid w:val="001E2720"/>
    <w:rsid w:val="001E3704"/>
    <w:rsid w:val="001E3D4B"/>
    <w:rsid w:val="001E40A5"/>
    <w:rsid w:val="001E6A19"/>
    <w:rsid w:val="001E6EEF"/>
    <w:rsid w:val="001F1226"/>
    <w:rsid w:val="001F1771"/>
    <w:rsid w:val="001F1D27"/>
    <w:rsid w:val="001F24EF"/>
    <w:rsid w:val="001F2A8E"/>
    <w:rsid w:val="001F315D"/>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136A"/>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7007A"/>
    <w:rsid w:val="00270E97"/>
    <w:rsid w:val="00272AA0"/>
    <w:rsid w:val="0027331D"/>
    <w:rsid w:val="002767DB"/>
    <w:rsid w:val="00277B47"/>
    <w:rsid w:val="00282224"/>
    <w:rsid w:val="00283BB4"/>
    <w:rsid w:val="0028403F"/>
    <w:rsid w:val="00285116"/>
    <w:rsid w:val="002877DC"/>
    <w:rsid w:val="002878EB"/>
    <w:rsid w:val="00290E33"/>
    <w:rsid w:val="0029225D"/>
    <w:rsid w:val="00292A20"/>
    <w:rsid w:val="00295469"/>
    <w:rsid w:val="002959ED"/>
    <w:rsid w:val="00295C16"/>
    <w:rsid w:val="00297B3F"/>
    <w:rsid w:val="002A0AB5"/>
    <w:rsid w:val="002A112F"/>
    <w:rsid w:val="002A19E9"/>
    <w:rsid w:val="002A1AC9"/>
    <w:rsid w:val="002A2DD4"/>
    <w:rsid w:val="002A5B45"/>
    <w:rsid w:val="002A5FB3"/>
    <w:rsid w:val="002A623F"/>
    <w:rsid w:val="002A6802"/>
    <w:rsid w:val="002A7822"/>
    <w:rsid w:val="002B1584"/>
    <w:rsid w:val="002B19EF"/>
    <w:rsid w:val="002B2D70"/>
    <w:rsid w:val="002B330B"/>
    <w:rsid w:val="002B4EA7"/>
    <w:rsid w:val="002B515F"/>
    <w:rsid w:val="002B6026"/>
    <w:rsid w:val="002C07ED"/>
    <w:rsid w:val="002C13EF"/>
    <w:rsid w:val="002C31E1"/>
    <w:rsid w:val="002C3A6D"/>
    <w:rsid w:val="002C3F44"/>
    <w:rsid w:val="002C3FD6"/>
    <w:rsid w:val="002C41D0"/>
    <w:rsid w:val="002C528F"/>
    <w:rsid w:val="002C57CD"/>
    <w:rsid w:val="002D3152"/>
    <w:rsid w:val="002D3ADB"/>
    <w:rsid w:val="002D4A62"/>
    <w:rsid w:val="002D4A87"/>
    <w:rsid w:val="002D5294"/>
    <w:rsid w:val="002E1772"/>
    <w:rsid w:val="002E2E4D"/>
    <w:rsid w:val="002E6F5D"/>
    <w:rsid w:val="002E7A32"/>
    <w:rsid w:val="002E7F5A"/>
    <w:rsid w:val="002F0B30"/>
    <w:rsid w:val="002F1915"/>
    <w:rsid w:val="002F2B6D"/>
    <w:rsid w:val="002F34C1"/>
    <w:rsid w:val="002F41EB"/>
    <w:rsid w:val="002F5C7D"/>
    <w:rsid w:val="002F6570"/>
    <w:rsid w:val="002F7886"/>
    <w:rsid w:val="003049DF"/>
    <w:rsid w:val="00305F18"/>
    <w:rsid w:val="003066CA"/>
    <w:rsid w:val="0030675A"/>
    <w:rsid w:val="00310909"/>
    <w:rsid w:val="00310DD5"/>
    <w:rsid w:val="00312652"/>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CA4"/>
    <w:rsid w:val="00335A36"/>
    <w:rsid w:val="0033659E"/>
    <w:rsid w:val="00337175"/>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B3B"/>
    <w:rsid w:val="00381C5F"/>
    <w:rsid w:val="00382EDA"/>
    <w:rsid w:val="00386473"/>
    <w:rsid w:val="00387BDD"/>
    <w:rsid w:val="0039209E"/>
    <w:rsid w:val="003926B0"/>
    <w:rsid w:val="00393507"/>
    <w:rsid w:val="003939C8"/>
    <w:rsid w:val="00393F80"/>
    <w:rsid w:val="00394448"/>
    <w:rsid w:val="00397279"/>
    <w:rsid w:val="003977EA"/>
    <w:rsid w:val="003A0259"/>
    <w:rsid w:val="003A0278"/>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68D"/>
    <w:rsid w:val="003D73AC"/>
    <w:rsid w:val="003E0D97"/>
    <w:rsid w:val="003E1E6D"/>
    <w:rsid w:val="003E1F43"/>
    <w:rsid w:val="003E3BD5"/>
    <w:rsid w:val="003E577F"/>
    <w:rsid w:val="003E70B0"/>
    <w:rsid w:val="003F0110"/>
    <w:rsid w:val="003F3977"/>
    <w:rsid w:val="003F540C"/>
    <w:rsid w:val="003F6B5B"/>
    <w:rsid w:val="003F74E0"/>
    <w:rsid w:val="00401547"/>
    <w:rsid w:val="00401C23"/>
    <w:rsid w:val="00401EB7"/>
    <w:rsid w:val="004029FD"/>
    <w:rsid w:val="00403F05"/>
    <w:rsid w:val="00404E96"/>
    <w:rsid w:val="00405ACF"/>
    <w:rsid w:val="00407EE2"/>
    <w:rsid w:val="004100C6"/>
    <w:rsid w:val="004104DB"/>
    <w:rsid w:val="00411C96"/>
    <w:rsid w:val="00412DF1"/>
    <w:rsid w:val="004132C5"/>
    <w:rsid w:val="00413C7F"/>
    <w:rsid w:val="00414E39"/>
    <w:rsid w:val="00414F86"/>
    <w:rsid w:val="00415199"/>
    <w:rsid w:val="00422BB1"/>
    <w:rsid w:val="00422C3D"/>
    <w:rsid w:val="004235E7"/>
    <w:rsid w:val="00424F17"/>
    <w:rsid w:val="0042588A"/>
    <w:rsid w:val="00434D69"/>
    <w:rsid w:val="00434DB8"/>
    <w:rsid w:val="00437DF6"/>
    <w:rsid w:val="004412AD"/>
    <w:rsid w:val="004427B1"/>
    <w:rsid w:val="004431B4"/>
    <w:rsid w:val="00443275"/>
    <w:rsid w:val="00444189"/>
    <w:rsid w:val="00445101"/>
    <w:rsid w:val="00445A5F"/>
    <w:rsid w:val="00446628"/>
    <w:rsid w:val="00451991"/>
    <w:rsid w:val="00451E73"/>
    <w:rsid w:val="00453047"/>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2E65"/>
    <w:rsid w:val="00474218"/>
    <w:rsid w:val="00475E05"/>
    <w:rsid w:val="004770EE"/>
    <w:rsid w:val="00482830"/>
    <w:rsid w:val="004838EF"/>
    <w:rsid w:val="00484373"/>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CA9"/>
    <w:rsid w:val="004B5D5F"/>
    <w:rsid w:val="004C14CB"/>
    <w:rsid w:val="004C2F21"/>
    <w:rsid w:val="004C3170"/>
    <w:rsid w:val="004C6001"/>
    <w:rsid w:val="004C7596"/>
    <w:rsid w:val="004D3E79"/>
    <w:rsid w:val="004D4DBF"/>
    <w:rsid w:val="004D5CD7"/>
    <w:rsid w:val="004D68FE"/>
    <w:rsid w:val="004D7B9B"/>
    <w:rsid w:val="004E0459"/>
    <w:rsid w:val="004E0E22"/>
    <w:rsid w:val="004E2BA1"/>
    <w:rsid w:val="004E4F78"/>
    <w:rsid w:val="004E6656"/>
    <w:rsid w:val="004E6E8E"/>
    <w:rsid w:val="004F093F"/>
    <w:rsid w:val="004F15D5"/>
    <w:rsid w:val="004F2CC6"/>
    <w:rsid w:val="004F2FC2"/>
    <w:rsid w:val="004F580B"/>
    <w:rsid w:val="004F5CC7"/>
    <w:rsid w:val="004F60CD"/>
    <w:rsid w:val="004F666B"/>
    <w:rsid w:val="004F6842"/>
    <w:rsid w:val="005003EB"/>
    <w:rsid w:val="005017C9"/>
    <w:rsid w:val="005038BA"/>
    <w:rsid w:val="00504DBB"/>
    <w:rsid w:val="00505563"/>
    <w:rsid w:val="00506F3E"/>
    <w:rsid w:val="00507D7B"/>
    <w:rsid w:val="005101B3"/>
    <w:rsid w:val="005123B6"/>
    <w:rsid w:val="005123EC"/>
    <w:rsid w:val="00512C6E"/>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4663"/>
    <w:rsid w:val="0054613E"/>
    <w:rsid w:val="005467D2"/>
    <w:rsid w:val="00546A1A"/>
    <w:rsid w:val="0054782B"/>
    <w:rsid w:val="00553153"/>
    <w:rsid w:val="00553D7B"/>
    <w:rsid w:val="005542C8"/>
    <w:rsid w:val="0055454C"/>
    <w:rsid w:val="0055474B"/>
    <w:rsid w:val="00562C2C"/>
    <w:rsid w:val="00562EF9"/>
    <w:rsid w:val="00564516"/>
    <w:rsid w:val="005646CB"/>
    <w:rsid w:val="00564DF7"/>
    <w:rsid w:val="00566BD2"/>
    <w:rsid w:val="005733B4"/>
    <w:rsid w:val="00574129"/>
    <w:rsid w:val="0057555C"/>
    <w:rsid w:val="005758DD"/>
    <w:rsid w:val="00576CA8"/>
    <w:rsid w:val="00580490"/>
    <w:rsid w:val="00581E10"/>
    <w:rsid w:val="0058315F"/>
    <w:rsid w:val="00583762"/>
    <w:rsid w:val="0058672B"/>
    <w:rsid w:val="00586733"/>
    <w:rsid w:val="0058707D"/>
    <w:rsid w:val="00587295"/>
    <w:rsid w:val="00587498"/>
    <w:rsid w:val="005902D3"/>
    <w:rsid w:val="005917E2"/>
    <w:rsid w:val="005932DE"/>
    <w:rsid w:val="005975C4"/>
    <w:rsid w:val="005A0538"/>
    <w:rsid w:val="005A10DB"/>
    <w:rsid w:val="005A2999"/>
    <w:rsid w:val="005A29D9"/>
    <w:rsid w:val="005A2CD9"/>
    <w:rsid w:val="005A3C41"/>
    <w:rsid w:val="005A4369"/>
    <w:rsid w:val="005A4E6B"/>
    <w:rsid w:val="005A69DD"/>
    <w:rsid w:val="005A73E1"/>
    <w:rsid w:val="005A751D"/>
    <w:rsid w:val="005B1F6F"/>
    <w:rsid w:val="005B232C"/>
    <w:rsid w:val="005B47F9"/>
    <w:rsid w:val="005B50A9"/>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27E6"/>
    <w:rsid w:val="005F6F02"/>
    <w:rsid w:val="006029A0"/>
    <w:rsid w:val="0060411D"/>
    <w:rsid w:val="00606583"/>
    <w:rsid w:val="0060719D"/>
    <w:rsid w:val="00607749"/>
    <w:rsid w:val="006102CD"/>
    <w:rsid w:val="006110ED"/>
    <w:rsid w:val="006136D3"/>
    <w:rsid w:val="006139C5"/>
    <w:rsid w:val="00613AED"/>
    <w:rsid w:val="00616B19"/>
    <w:rsid w:val="00617EAA"/>
    <w:rsid w:val="00621A98"/>
    <w:rsid w:val="00623D27"/>
    <w:rsid w:val="006264F4"/>
    <w:rsid w:val="00626A88"/>
    <w:rsid w:val="006276E0"/>
    <w:rsid w:val="00627A77"/>
    <w:rsid w:val="00627F56"/>
    <w:rsid w:val="00630BCE"/>
    <w:rsid w:val="006312AB"/>
    <w:rsid w:val="006326D6"/>
    <w:rsid w:val="00633465"/>
    <w:rsid w:val="00634667"/>
    <w:rsid w:val="006400FE"/>
    <w:rsid w:val="00640E9E"/>
    <w:rsid w:val="00645132"/>
    <w:rsid w:val="0064678A"/>
    <w:rsid w:val="00646A5A"/>
    <w:rsid w:val="006470A6"/>
    <w:rsid w:val="00650B56"/>
    <w:rsid w:val="00651F19"/>
    <w:rsid w:val="0065266D"/>
    <w:rsid w:val="0065398D"/>
    <w:rsid w:val="006563AE"/>
    <w:rsid w:val="00656C4F"/>
    <w:rsid w:val="00660361"/>
    <w:rsid w:val="00660DFB"/>
    <w:rsid w:val="006622CB"/>
    <w:rsid w:val="006648B2"/>
    <w:rsid w:val="00664DCC"/>
    <w:rsid w:val="00665584"/>
    <w:rsid w:val="00667089"/>
    <w:rsid w:val="00667143"/>
    <w:rsid w:val="00671703"/>
    <w:rsid w:val="00671B9E"/>
    <w:rsid w:val="0067243E"/>
    <w:rsid w:val="00672BEC"/>
    <w:rsid w:val="00673004"/>
    <w:rsid w:val="00673F95"/>
    <w:rsid w:val="00675AC1"/>
    <w:rsid w:val="00676FBD"/>
    <w:rsid w:val="006775AA"/>
    <w:rsid w:val="0068014E"/>
    <w:rsid w:val="00682E6C"/>
    <w:rsid w:val="006842B6"/>
    <w:rsid w:val="006856E3"/>
    <w:rsid w:val="00691F05"/>
    <w:rsid w:val="00692454"/>
    <w:rsid w:val="006925C6"/>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0AA1"/>
    <w:rsid w:val="006B1496"/>
    <w:rsid w:val="006B24CD"/>
    <w:rsid w:val="006B34F8"/>
    <w:rsid w:val="006B355B"/>
    <w:rsid w:val="006B5348"/>
    <w:rsid w:val="006B5A3F"/>
    <w:rsid w:val="006B6153"/>
    <w:rsid w:val="006C0B46"/>
    <w:rsid w:val="006C2543"/>
    <w:rsid w:val="006C2E6C"/>
    <w:rsid w:val="006C31CC"/>
    <w:rsid w:val="006C36DE"/>
    <w:rsid w:val="006C59DE"/>
    <w:rsid w:val="006D2336"/>
    <w:rsid w:val="006D4BFA"/>
    <w:rsid w:val="006D691D"/>
    <w:rsid w:val="006E18E2"/>
    <w:rsid w:val="006E6339"/>
    <w:rsid w:val="006E6809"/>
    <w:rsid w:val="006E681F"/>
    <w:rsid w:val="006F096B"/>
    <w:rsid w:val="006F1794"/>
    <w:rsid w:val="006F2D61"/>
    <w:rsid w:val="006F2F9B"/>
    <w:rsid w:val="006F37EF"/>
    <w:rsid w:val="006F3859"/>
    <w:rsid w:val="006F5B52"/>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3F14"/>
    <w:rsid w:val="00756A48"/>
    <w:rsid w:val="0075736A"/>
    <w:rsid w:val="00757498"/>
    <w:rsid w:val="007574F6"/>
    <w:rsid w:val="007608FD"/>
    <w:rsid w:val="00762337"/>
    <w:rsid w:val="007626EE"/>
    <w:rsid w:val="0076292E"/>
    <w:rsid w:val="00763360"/>
    <w:rsid w:val="00764416"/>
    <w:rsid w:val="00764488"/>
    <w:rsid w:val="00764AB7"/>
    <w:rsid w:val="007665C7"/>
    <w:rsid w:val="007710A8"/>
    <w:rsid w:val="00771FB5"/>
    <w:rsid w:val="0077383E"/>
    <w:rsid w:val="00775774"/>
    <w:rsid w:val="00776D3E"/>
    <w:rsid w:val="00777025"/>
    <w:rsid w:val="0078078B"/>
    <w:rsid w:val="007823F6"/>
    <w:rsid w:val="00782DD5"/>
    <w:rsid w:val="0079024E"/>
    <w:rsid w:val="00793F07"/>
    <w:rsid w:val="007965A4"/>
    <w:rsid w:val="007967E7"/>
    <w:rsid w:val="00796F49"/>
    <w:rsid w:val="00797556"/>
    <w:rsid w:val="00797723"/>
    <w:rsid w:val="007A0BE6"/>
    <w:rsid w:val="007A0C5E"/>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2484"/>
    <w:rsid w:val="007E251D"/>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5203"/>
    <w:rsid w:val="00806BE7"/>
    <w:rsid w:val="0080715F"/>
    <w:rsid w:val="00812292"/>
    <w:rsid w:val="00813DF6"/>
    <w:rsid w:val="00816CB8"/>
    <w:rsid w:val="00816E5B"/>
    <w:rsid w:val="00817A35"/>
    <w:rsid w:val="00817DC5"/>
    <w:rsid w:val="0082134E"/>
    <w:rsid w:val="0082325A"/>
    <w:rsid w:val="008237A7"/>
    <w:rsid w:val="0082476F"/>
    <w:rsid w:val="00824C9E"/>
    <w:rsid w:val="0082584B"/>
    <w:rsid w:val="00830183"/>
    <w:rsid w:val="00831D49"/>
    <w:rsid w:val="0083225F"/>
    <w:rsid w:val="00832615"/>
    <w:rsid w:val="008327D4"/>
    <w:rsid w:val="00833808"/>
    <w:rsid w:val="008356E2"/>
    <w:rsid w:val="0083672B"/>
    <w:rsid w:val="0083712E"/>
    <w:rsid w:val="0084251D"/>
    <w:rsid w:val="00845748"/>
    <w:rsid w:val="00845F45"/>
    <w:rsid w:val="00846BE3"/>
    <w:rsid w:val="00846EB9"/>
    <w:rsid w:val="00847C4B"/>
    <w:rsid w:val="0085040A"/>
    <w:rsid w:val="00850BAD"/>
    <w:rsid w:val="00853ABF"/>
    <w:rsid w:val="00853F9E"/>
    <w:rsid w:val="00855C41"/>
    <w:rsid w:val="0085613D"/>
    <w:rsid w:val="0085645F"/>
    <w:rsid w:val="0086172B"/>
    <w:rsid w:val="00861C46"/>
    <w:rsid w:val="008621AD"/>
    <w:rsid w:val="0086282D"/>
    <w:rsid w:val="00862FC4"/>
    <w:rsid w:val="008632CF"/>
    <w:rsid w:val="008645A5"/>
    <w:rsid w:val="00865154"/>
    <w:rsid w:val="00865C5D"/>
    <w:rsid w:val="008701F1"/>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1E22"/>
    <w:rsid w:val="008A271C"/>
    <w:rsid w:val="008A287D"/>
    <w:rsid w:val="008A2D79"/>
    <w:rsid w:val="008A356E"/>
    <w:rsid w:val="008A4282"/>
    <w:rsid w:val="008A510E"/>
    <w:rsid w:val="008A69FD"/>
    <w:rsid w:val="008B1660"/>
    <w:rsid w:val="008B3305"/>
    <w:rsid w:val="008B3769"/>
    <w:rsid w:val="008B3FCA"/>
    <w:rsid w:val="008B488D"/>
    <w:rsid w:val="008B6336"/>
    <w:rsid w:val="008B74DC"/>
    <w:rsid w:val="008B756D"/>
    <w:rsid w:val="008C301B"/>
    <w:rsid w:val="008C4A76"/>
    <w:rsid w:val="008C72AC"/>
    <w:rsid w:val="008C7A4F"/>
    <w:rsid w:val="008C7AB7"/>
    <w:rsid w:val="008C7B45"/>
    <w:rsid w:val="008D13BC"/>
    <w:rsid w:val="008D361B"/>
    <w:rsid w:val="008D3CE3"/>
    <w:rsid w:val="008D6F09"/>
    <w:rsid w:val="008E06C8"/>
    <w:rsid w:val="008E06E1"/>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6B39"/>
    <w:rsid w:val="00906B79"/>
    <w:rsid w:val="009102C9"/>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4898"/>
    <w:rsid w:val="0095612E"/>
    <w:rsid w:val="00956E73"/>
    <w:rsid w:val="009610E5"/>
    <w:rsid w:val="00965C0C"/>
    <w:rsid w:val="00966307"/>
    <w:rsid w:val="00971694"/>
    <w:rsid w:val="00971CFA"/>
    <w:rsid w:val="0097338E"/>
    <w:rsid w:val="00975896"/>
    <w:rsid w:val="00976220"/>
    <w:rsid w:val="009771AB"/>
    <w:rsid w:val="0097732A"/>
    <w:rsid w:val="00977868"/>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B10A9"/>
    <w:rsid w:val="009B21F6"/>
    <w:rsid w:val="009B2A23"/>
    <w:rsid w:val="009B2E4D"/>
    <w:rsid w:val="009B3B09"/>
    <w:rsid w:val="009B47CC"/>
    <w:rsid w:val="009B54F3"/>
    <w:rsid w:val="009B5B26"/>
    <w:rsid w:val="009B63FA"/>
    <w:rsid w:val="009C0345"/>
    <w:rsid w:val="009C0575"/>
    <w:rsid w:val="009C27D7"/>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468E"/>
    <w:rsid w:val="00A25331"/>
    <w:rsid w:val="00A25ED9"/>
    <w:rsid w:val="00A26A02"/>
    <w:rsid w:val="00A26BF2"/>
    <w:rsid w:val="00A27746"/>
    <w:rsid w:val="00A3242E"/>
    <w:rsid w:val="00A32686"/>
    <w:rsid w:val="00A350F2"/>
    <w:rsid w:val="00A3647C"/>
    <w:rsid w:val="00A36586"/>
    <w:rsid w:val="00A36641"/>
    <w:rsid w:val="00A40204"/>
    <w:rsid w:val="00A40572"/>
    <w:rsid w:val="00A410B6"/>
    <w:rsid w:val="00A41555"/>
    <w:rsid w:val="00A42D7A"/>
    <w:rsid w:val="00A42F7D"/>
    <w:rsid w:val="00A46599"/>
    <w:rsid w:val="00A47444"/>
    <w:rsid w:val="00A5117A"/>
    <w:rsid w:val="00A54E47"/>
    <w:rsid w:val="00A5616D"/>
    <w:rsid w:val="00A563EE"/>
    <w:rsid w:val="00A57201"/>
    <w:rsid w:val="00A60692"/>
    <w:rsid w:val="00A61E65"/>
    <w:rsid w:val="00A62781"/>
    <w:rsid w:val="00A6315A"/>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A8A"/>
    <w:rsid w:val="00A90F09"/>
    <w:rsid w:val="00A9282B"/>
    <w:rsid w:val="00A96E45"/>
    <w:rsid w:val="00AA08F6"/>
    <w:rsid w:val="00AA1098"/>
    <w:rsid w:val="00AA10B8"/>
    <w:rsid w:val="00AA10C3"/>
    <w:rsid w:val="00AA1C95"/>
    <w:rsid w:val="00AA2108"/>
    <w:rsid w:val="00AA2AAB"/>
    <w:rsid w:val="00AA3F41"/>
    <w:rsid w:val="00AA57C8"/>
    <w:rsid w:val="00AA6299"/>
    <w:rsid w:val="00AA62E3"/>
    <w:rsid w:val="00AB0494"/>
    <w:rsid w:val="00AB0529"/>
    <w:rsid w:val="00AB1308"/>
    <w:rsid w:val="00AB14A8"/>
    <w:rsid w:val="00AB3DFB"/>
    <w:rsid w:val="00AB52EB"/>
    <w:rsid w:val="00AB6DC8"/>
    <w:rsid w:val="00AB7ABF"/>
    <w:rsid w:val="00AC042D"/>
    <w:rsid w:val="00AC3914"/>
    <w:rsid w:val="00AC4462"/>
    <w:rsid w:val="00AD0EA3"/>
    <w:rsid w:val="00AD2800"/>
    <w:rsid w:val="00AD520F"/>
    <w:rsid w:val="00AD5649"/>
    <w:rsid w:val="00AD70F9"/>
    <w:rsid w:val="00AE1628"/>
    <w:rsid w:val="00AE1EF7"/>
    <w:rsid w:val="00AE26AF"/>
    <w:rsid w:val="00AE3BA2"/>
    <w:rsid w:val="00AE5937"/>
    <w:rsid w:val="00AE6A73"/>
    <w:rsid w:val="00AE6DA7"/>
    <w:rsid w:val="00AE7804"/>
    <w:rsid w:val="00AE784B"/>
    <w:rsid w:val="00AF083C"/>
    <w:rsid w:val="00AF18E3"/>
    <w:rsid w:val="00AF31E7"/>
    <w:rsid w:val="00AF3BAF"/>
    <w:rsid w:val="00AF3CA2"/>
    <w:rsid w:val="00B001B4"/>
    <w:rsid w:val="00B01893"/>
    <w:rsid w:val="00B04FBD"/>
    <w:rsid w:val="00B07B8E"/>
    <w:rsid w:val="00B07CD9"/>
    <w:rsid w:val="00B112E6"/>
    <w:rsid w:val="00B126B2"/>
    <w:rsid w:val="00B13026"/>
    <w:rsid w:val="00B15E5A"/>
    <w:rsid w:val="00B21FC3"/>
    <w:rsid w:val="00B2476E"/>
    <w:rsid w:val="00B26D84"/>
    <w:rsid w:val="00B2707D"/>
    <w:rsid w:val="00B306D3"/>
    <w:rsid w:val="00B334E0"/>
    <w:rsid w:val="00B348C9"/>
    <w:rsid w:val="00B3602D"/>
    <w:rsid w:val="00B36F51"/>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DBA"/>
    <w:rsid w:val="00B65FCF"/>
    <w:rsid w:val="00B65FED"/>
    <w:rsid w:val="00B66210"/>
    <w:rsid w:val="00B66CD8"/>
    <w:rsid w:val="00B67E1E"/>
    <w:rsid w:val="00B702FE"/>
    <w:rsid w:val="00B7037A"/>
    <w:rsid w:val="00B72AA2"/>
    <w:rsid w:val="00B72F26"/>
    <w:rsid w:val="00B74320"/>
    <w:rsid w:val="00B759DD"/>
    <w:rsid w:val="00B7610A"/>
    <w:rsid w:val="00B768B2"/>
    <w:rsid w:val="00B76A1E"/>
    <w:rsid w:val="00B77048"/>
    <w:rsid w:val="00B77A24"/>
    <w:rsid w:val="00B77BDF"/>
    <w:rsid w:val="00B77D70"/>
    <w:rsid w:val="00B80B55"/>
    <w:rsid w:val="00B82CD4"/>
    <w:rsid w:val="00B837BC"/>
    <w:rsid w:val="00B83A71"/>
    <w:rsid w:val="00B84DCE"/>
    <w:rsid w:val="00B85695"/>
    <w:rsid w:val="00B9047B"/>
    <w:rsid w:val="00B92054"/>
    <w:rsid w:val="00B93132"/>
    <w:rsid w:val="00B96F1B"/>
    <w:rsid w:val="00BA0212"/>
    <w:rsid w:val="00BA1FE0"/>
    <w:rsid w:val="00BA26E0"/>
    <w:rsid w:val="00BA2972"/>
    <w:rsid w:val="00BA360C"/>
    <w:rsid w:val="00BA5254"/>
    <w:rsid w:val="00BA729D"/>
    <w:rsid w:val="00BB0A4C"/>
    <w:rsid w:val="00BB6553"/>
    <w:rsid w:val="00BB7207"/>
    <w:rsid w:val="00BB79C2"/>
    <w:rsid w:val="00BC02BC"/>
    <w:rsid w:val="00BC04C0"/>
    <w:rsid w:val="00BC1C71"/>
    <w:rsid w:val="00BC3DD8"/>
    <w:rsid w:val="00BC3EB5"/>
    <w:rsid w:val="00BC3ED5"/>
    <w:rsid w:val="00BC4D52"/>
    <w:rsid w:val="00BD3181"/>
    <w:rsid w:val="00BD5005"/>
    <w:rsid w:val="00BD6723"/>
    <w:rsid w:val="00BD7816"/>
    <w:rsid w:val="00BE08EC"/>
    <w:rsid w:val="00BE1187"/>
    <w:rsid w:val="00BE1BEA"/>
    <w:rsid w:val="00BE2CB6"/>
    <w:rsid w:val="00BE40CA"/>
    <w:rsid w:val="00BE604D"/>
    <w:rsid w:val="00BE6361"/>
    <w:rsid w:val="00BE777B"/>
    <w:rsid w:val="00BE785A"/>
    <w:rsid w:val="00BF3F0E"/>
    <w:rsid w:val="00BF44BF"/>
    <w:rsid w:val="00BF490A"/>
    <w:rsid w:val="00BF54E1"/>
    <w:rsid w:val="00BF69BE"/>
    <w:rsid w:val="00C00A29"/>
    <w:rsid w:val="00C0108D"/>
    <w:rsid w:val="00C033C5"/>
    <w:rsid w:val="00C03FB2"/>
    <w:rsid w:val="00C040E7"/>
    <w:rsid w:val="00C0737D"/>
    <w:rsid w:val="00C10188"/>
    <w:rsid w:val="00C12C29"/>
    <w:rsid w:val="00C144FF"/>
    <w:rsid w:val="00C14A35"/>
    <w:rsid w:val="00C2080C"/>
    <w:rsid w:val="00C22004"/>
    <w:rsid w:val="00C22050"/>
    <w:rsid w:val="00C25855"/>
    <w:rsid w:val="00C30826"/>
    <w:rsid w:val="00C30B91"/>
    <w:rsid w:val="00C30EB0"/>
    <w:rsid w:val="00C32697"/>
    <w:rsid w:val="00C33600"/>
    <w:rsid w:val="00C35135"/>
    <w:rsid w:val="00C35717"/>
    <w:rsid w:val="00C4199E"/>
    <w:rsid w:val="00C41E1F"/>
    <w:rsid w:val="00C4275C"/>
    <w:rsid w:val="00C4374A"/>
    <w:rsid w:val="00C43AA3"/>
    <w:rsid w:val="00C4419A"/>
    <w:rsid w:val="00C447F9"/>
    <w:rsid w:val="00C44C34"/>
    <w:rsid w:val="00C44F31"/>
    <w:rsid w:val="00C4516F"/>
    <w:rsid w:val="00C45B67"/>
    <w:rsid w:val="00C461FB"/>
    <w:rsid w:val="00C51360"/>
    <w:rsid w:val="00C5210D"/>
    <w:rsid w:val="00C52970"/>
    <w:rsid w:val="00C53AD7"/>
    <w:rsid w:val="00C54430"/>
    <w:rsid w:val="00C5462A"/>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6902"/>
    <w:rsid w:val="00C77425"/>
    <w:rsid w:val="00C777DF"/>
    <w:rsid w:val="00C77AB2"/>
    <w:rsid w:val="00C80760"/>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01F6"/>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608A"/>
    <w:rsid w:val="00CE6C30"/>
    <w:rsid w:val="00CF0B93"/>
    <w:rsid w:val="00CF2F63"/>
    <w:rsid w:val="00CF4551"/>
    <w:rsid w:val="00CF55C8"/>
    <w:rsid w:val="00CF58E0"/>
    <w:rsid w:val="00CF6BE3"/>
    <w:rsid w:val="00CF76C6"/>
    <w:rsid w:val="00D01AEA"/>
    <w:rsid w:val="00D029B6"/>
    <w:rsid w:val="00D03895"/>
    <w:rsid w:val="00D0573B"/>
    <w:rsid w:val="00D137B7"/>
    <w:rsid w:val="00D13EDC"/>
    <w:rsid w:val="00D20104"/>
    <w:rsid w:val="00D227A4"/>
    <w:rsid w:val="00D2468B"/>
    <w:rsid w:val="00D24B26"/>
    <w:rsid w:val="00D26CDD"/>
    <w:rsid w:val="00D271BA"/>
    <w:rsid w:val="00D2728F"/>
    <w:rsid w:val="00D30A10"/>
    <w:rsid w:val="00D318FB"/>
    <w:rsid w:val="00D3288F"/>
    <w:rsid w:val="00D42B04"/>
    <w:rsid w:val="00D42F4B"/>
    <w:rsid w:val="00D42F97"/>
    <w:rsid w:val="00D431E2"/>
    <w:rsid w:val="00D4337F"/>
    <w:rsid w:val="00D44509"/>
    <w:rsid w:val="00D44F46"/>
    <w:rsid w:val="00D45C66"/>
    <w:rsid w:val="00D50A60"/>
    <w:rsid w:val="00D524DA"/>
    <w:rsid w:val="00D52D45"/>
    <w:rsid w:val="00D53DC8"/>
    <w:rsid w:val="00D55EBD"/>
    <w:rsid w:val="00D56B2F"/>
    <w:rsid w:val="00D56E3D"/>
    <w:rsid w:val="00D6041A"/>
    <w:rsid w:val="00D60C51"/>
    <w:rsid w:val="00D62053"/>
    <w:rsid w:val="00D62A6A"/>
    <w:rsid w:val="00D6390B"/>
    <w:rsid w:val="00D649D9"/>
    <w:rsid w:val="00D64E0F"/>
    <w:rsid w:val="00D65040"/>
    <w:rsid w:val="00D6505D"/>
    <w:rsid w:val="00D6529C"/>
    <w:rsid w:val="00D71FAF"/>
    <w:rsid w:val="00D72044"/>
    <w:rsid w:val="00D729B9"/>
    <w:rsid w:val="00D73394"/>
    <w:rsid w:val="00D74BF4"/>
    <w:rsid w:val="00D74D4C"/>
    <w:rsid w:val="00D74DA6"/>
    <w:rsid w:val="00D7509C"/>
    <w:rsid w:val="00D75965"/>
    <w:rsid w:val="00D75BEF"/>
    <w:rsid w:val="00D802A3"/>
    <w:rsid w:val="00D81302"/>
    <w:rsid w:val="00D82383"/>
    <w:rsid w:val="00D83C96"/>
    <w:rsid w:val="00D86422"/>
    <w:rsid w:val="00D86B85"/>
    <w:rsid w:val="00D8709C"/>
    <w:rsid w:val="00D87EE3"/>
    <w:rsid w:val="00D90AFF"/>
    <w:rsid w:val="00D915C0"/>
    <w:rsid w:val="00D94552"/>
    <w:rsid w:val="00D96B26"/>
    <w:rsid w:val="00DA253F"/>
    <w:rsid w:val="00DA2D48"/>
    <w:rsid w:val="00DA447A"/>
    <w:rsid w:val="00DA5CD2"/>
    <w:rsid w:val="00DA633A"/>
    <w:rsid w:val="00DA7456"/>
    <w:rsid w:val="00DB175F"/>
    <w:rsid w:val="00DB2260"/>
    <w:rsid w:val="00DB235A"/>
    <w:rsid w:val="00DB2D2A"/>
    <w:rsid w:val="00DB40BE"/>
    <w:rsid w:val="00DB4B03"/>
    <w:rsid w:val="00DB5822"/>
    <w:rsid w:val="00DB6B81"/>
    <w:rsid w:val="00DB751D"/>
    <w:rsid w:val="00DB7BFE"/>
    <w:rsid w:val="00DC3FE9"/>
    <w:rsid w:val="00DC4A4B"/>
    <w:rsid w:val="00DC5145"/>
    <w:rsid w:val="00DC5F4B"/>
    <w:rsid w:val="00DD0225"/>
    <w:rsid w:val="00DD1FF7"/>
    <w:rsid w:val="00DD2322"/>
    <w:rsid w:val="00DD2534"/>
    <w:rsid w:val="00DD2915"/>
    <w:rsid w:val="00DD2AA7"/>
    <w:rsid w:val="00DD2CC9"/>
    <w:rsid w:val="00DE0B9F"/>
    <w:rsid w:val="00DE3323"/>
    <w:rsid w:val="00DE34A1"/>
    <w:rsid w:val="00DE3BE9"/>
    <w:rsid w:val="00DE587B"/>
    <w:rsid w:val="00DE726A"/>
    <w:rsid w:val="00DF0C87"/>
    <w:rsid w:val="00DF271A"/>
    <w:rsid w:val="00DF2F7D"/>
    <w:rsid w:val="00DF2FC4"/>
    <w:rsid w:val="00DF463D"/>
    <w:rsid w:val="00DF4D6F"/>
    <w:rsid w:val="00DF4FE2"/>
    <w:rsid w:val="00DF5F6C"/>
    <w:rsid w:val="00DF76AF"/>
    <w:rsid w:val="00E01128"/>
    <w:rsid w:val="00E0164E"/>
    <w:rsid w:val="00E01DB1"/>
    <w:rsid w:val="00E03020"/>
    <w:rsid w:val="00E033FC"/>
    <w:rsid w:val="00E04C5D"/>
    <w:rsid w:val="00E04CAF"/>
    <w:rsid w:val="00E0561B"/>
    <w:rsid w:val="00E05828"/>
    <w:rsid w:val="00E0706F"/>
    <w:rsid w:val="00E11534"/>
    <w:rsid w:val="00E1289B"/>
    <w:rsid w:val="00E1326E"/>
    <w:rsid w:val="00E14459"/>
    <w:rsid w:val="00E153F4"/>
    <w:rsid w:val="00E17E42"/>
    <w:rsid w:val="00E205E1"/>
    <w:rsid w:val="00E21635"/>
    <w:rsid w:val="00E21BD5"/>
    <w:rsid w:val="00E2240E"/>
    <w:rsid w:val="00E2261F"/>
    <w:rsid w:val="00E22B86"/>
    <w:rsid w:val="00E256F6"/>
    <w:rsid w:val="00E27EBA"/>
    <w:rsid w:val="00E30656"/>
    <w:rsid w:val="00E406BC"/>
    <w:rsid w:val="00E409BD"/>
    <w:rsid w:val="00E44B46"/>
    <w:rsid w:val="00E44D8D"/>
    <w:rsid w:val="00E451EE"/>
    <w:rsid w:val="00E4675F"/>
    <w:rsid w:val="00E55433"/>
    <w:rsid w:val="00E570F9"/>
    <w:rsid w:val="00E60368"/>
    <w:rsid w:val="00E614E6"/>
    <w:rsid w:val="00E625D5"/>
    <w:rsid w:val="00E639F4"/>
    <w:rsid w:val="00E649C4"/>
    <w:rsid w:val="00E67606"/>
    <w:rsid w:val="00E70C69"/>
    <w:rsid w:val="00E729C0"/>
    <w:rsid w:val="00E75852"/>
    <w:rsid w:val="00E75C0C"/>
    <w:rsid w:val="00E7651E"/>
    <w:rsid w:val="00E76994"/>
    <w:rsid w:val="00E772C7"/>
    <w:rsid w:val="00E77599"/>
    <w:rsid w:val="00E80437"/>
    <w:rsid w:val="00E8362C"/>
    <w:rsid w:val="00E913EE"/>
    <w:rsid w:val="00E9418D"/>
    <w:rsid w:val="00E94591"/>
    <w:rsid w:val="00E9486B"/>
    <w:rsid w:val="00E962A7"/>
    <w:rsid w:val="00EA065C"/>
    <w:rsid w:val="00EA4171"/>
    <w:rsid w:val="00EA4224"/>
    <w:rsid w:val="00EA46B1"/>
    <w:rsid w:val="00EA6B0F"/>
    <w:rsid w:val="00EA7ABE"/>
    <w:rsid w:val="00EB02DA"/>
    <w:rsid w:val="00EB0777"/>
    <w:rsid w:val="00EB12B1"/>
    <w:rsid w:val="00EB1B60"/>
    <w:rsid w:val="00EB1C35"/>
    <w:rsid w:val="00EB3B48"/>
    <w:rsid w:val="00EB4A19"/>
    <w:rsid w:val="00EB527E"/>
    <w:rsid w:val="00EB557E"/>
    <w:rsid w:val="00EB5EDE"/>
    <w:rsid w:val="00EB69DD"/>
    <w:rsid w:val="00EB7BA3"/>
    <w:rsid w:val="00EB7ECC"/>
    <w:rsid w:val="00EC07A9"/>
    <w:rsid w:val="00EC5F89"/>
    <w:rsid w:val="00EC7E09"/>
    <w:rsid w:val="00ED28A8"/>
    <w:rsid w:val="00ED2A8D"/>
    <w:rsid w:val="00ED35EB"/>
    <w:rsid w:val="00ED3608"/>
    <w:rsid w:val="00ED521D"/>
    <w:rsid w:val="00EE1C81"/>
    <w:rsid w:val="00EE26A6"/>
    <w:rsid w:val="00EE3351"/>
    <w:rsid w:val="00EE5388"/>
    <w:rsid w:val="00EE63DD"/>
    <w:rsid w:val="00EE6DBF"/>
    <w:rsid w:val="00EF02CF"/>
    <w:rsid w:val="00EF1672"/>
    <w:rsid w:val="00EF4FC2"/>
    <w:rsid w:val="00F00C5B"/>
    <w:rsid w:val="00F01344"/>
    <w:rsid w:val="00F02869"/>
    <w:rsid w:val="00F030BB"/>
    <w:rsid w:val="00F04A09"/>
    <w:rsid w:val="00F05220"/>
    <w:rsid w:val="00F070A2"/>
    <w:rsid w:val="00F11314"/>
    <w:rsid w:val="00F11DA5"/>
    <w:rsid w:val="00F132B1"/>
    <w:rsid w:val="00F13D72"/>
    <w:rsid w:val="00F15B4E"/>
    <w:rsid w:val="00F15D77"/>
    <w:rsid w:val="00F246E4"/>
    <w:rsid w:val="00F25433"/>
    <w:rsid w:val="00F25C83"/>
    <w:rsid w:val="00F25DAF"/>
    <w:rsid w:val="00F26039"/>
    <w:rsid w:val="00F32C7D"/>
    <w:rsid w:val="00F33268"/>
    <w:rsid w:val="00F343A3"/>
    <w:rsid w:val="00F363DB"/>
    <w:rsid w:val="00F37514"/>
    <w:rsid w:val="00F37B2C"/>
    <w:rsid w:val="00F40082"/>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7A76"/>
    <w:rsid w:val="00F57DEF"/>
    <w:rsid w:val="00F60175"/>
    <w:rsid w:val="00F61C21"/>
    <w:rsid w:val="00F658A2"/>
    <w:rsid w:val="00F659C1"/>
    <w:rsid w:val="00F66900"/>
    <w:rsid w:val="00F70270"/>
    <w:rsid w:val="00F707FF"/>
    <w:rsid w:val="00F72D02"/>
    <w:rsid w:val="00F73FA1"/>
    <w:rsid w:val="00F75AD2"/>
    <w:rsid w:val="00F77F3C"/>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26F9"/>
    <w:rsid w:val="00FA27B5"/>
    <w:rsid w:val="00FA3377"/>
    <w:rsid w:val="00FA597F"/>
    <w:rsid w:val="00FA5BD5"/>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25EB"/>
    <w:rsid w:val="00FD397E"/>
    <w:rsid w:val="00FD47BC"/>
    <w:rsid w:val="00FD6CD9"/>
    <w:rsid w:val="00FE16B7"/>
    <w:rsid w:val="00FE61B4"/>
    <w:rsid w:val="00FE6528"/>
    <w:rsid w:val="00FE776C"/>
    <w:rsid w:val="00FE79A8"/>
    <w:rsid w:val="00FF0822"/>
    <w:rsid w:val="00FF17CB"/>
    <w:rsid w:val="00FF2F7B"/>
    <w:rsid w:val="00FF5763"/>
    <w:rsid w:val="00FF645C"/>
    <w:rsid w:val="00FF66EC"/>
    <w:rsid w:val="00FF67CF"/>
    <w:rsid w:val="00FF743B"/>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750B7A-595B-4398-BEA8-59206A73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4B5CA9"/>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65FCF"/>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3AA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75AD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62337"/>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5B4E"/>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4466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A26A0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B3CD1"/>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136461200">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379674585">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775296969">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055856506">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791047906">
      <w:bodyDiv w:val="1"/>
      <w:marLeft w:val="0"/>
      <w:marRight w:val="0"/>
      <w:marTop w:val="0"/>
      <w:marBottom w:val="0"/>
      <w:divBdr>
        <w:top w:val="none" w:sz="0" w:space="0" w:color="auto"/>
        <w:left w:val="none" w:sz="0" w:space="0" w:color="auto"/>
        <w:bottom w:val="none" w:sz="0" w:space="0" w:color="auto"/>
        <w:right w:val="none" w:sz="0" w:space="0" w:color="auto"/>
      </w:divBdr>
    </w:div>
    <w:div w:id="179235751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B7B1-3EFD-41C4-93DD-77B822CD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41</Pages>
  <Words>7746</Words>
  <Characters>42605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50251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abi lozano hernandez</dc:creator>
  <cp:lastModifiedBy>operador_pc</cp:lastModifiedBy>
  <cp:revision>12</cp:revision>
  <cp:lastPrinted>2017-03-07T15:32:00Z</cp:lastPrinted>
  <dcterms:created xsi:type="dcterms:W3CDTF">2016-12-02T01:17:00Z</dcterms:created>
  <dcterms:modified xsi:type="dcterms:W3CDTF">2017-03-07T15:32:00Z</dcterms:modified>
</cp:coreProperties>
</file>