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744D70" w:rsidRPr="00A50FEB" w:rsidRDefault="00744D70" w:rsidP="00744D70">
      <w:pPr>
        <w:spacing w:after="0" w:line="360" w:lineRule="auto"/>
        <w:ind w:firstLine="708"/>
        <w:jc w:val="both"/>
        <w:rPr>
          <w:rFonts w:ascii="Arial" w:hAnsi="Arial" w:cs="Arial"/>
        </w:rPr>
      </w:pPr>
      <w:r w:rsidRPr="001D64E8">
        <w:rPr>
          <w:rFonts w:ascii="Arial" w:hAnsi="Arial" w:cs="Arial"/>
        </w:rPr>
        <w:t xml:space="preserve">A </w:t>
      </w:r>
      <w:r w:rsidRPr="00671A27">
        <w:rPr>
          <w:rFonts w:ascii="Arial" w:hAnsi="Arial" w:cs="Arial"/>
        </w:rPr>
        <w:t xml:space="preserve">la </w:t>
      </w:r>
      <w:r w:rsidRPr="00671A27">
        <w:rPr>
          <w:rFonts w:ascii="Arial" w:hAnsi="Arial" w:cs="Arial"/>
          <w:b/>
        </w:rPr>
        <w:t xml:space="preserve">Comisión </w:t>
      </w:r>
      <w:r w:rsidR="00A0105C" w:rsidRPr="00671A27">
        <w:rPr>
          <w:rFonts w:ascii="Arial" w:hAnsi="Arial" w:cs="Arial"/>
          <w:b/>
        </w:rPr>
        <w:t>Segunda</w:t>
      </w:r>
      <w:r w:rsidRPr="00671A27">
        <w:rPr>
          <w:rFonts w:ascii="Arial" w:hAnsi="Arial" w:cs="Arial"/>
          <w:b/>
        </w:rPr>
        <w:t xml:space="preserve"> de Hacienda y Desarrollo Municipal</w:t>
      </w:r>
      <w:r w:rsidRPr="00671A27">
        <w:rPr>
          <w:rFonts w:ascii="Arial" w:hAnsi="Arial" w:cs="Arial"/>
        </w:rPr>
        <w:t xml:space="preserve">, el </w:t>
      </w:r>
      <w:r w:rsidR="00671A27" w:rsidRPr="00671A27">
        <w:rPr>
          <w:rFonts w:ascii="Arial" w:hAnsi="Arial" w:cs="Arial"/>
        </w:rPr>
        <w:t>14</w:t>
      </w:r>
      <w:r w:rsidRPr="00671A27">
        <w:rPr>
          <w:rFonts w:ascii="Arial" w:hAnsi="Arial" w:cs="Arial"/>
        </w:rPr>
        <w:t xml:space="preserve"> de </w:t>
      </w:r>
      <w:r w:rsidR="00671A27" w:rsidRPr="00671A27">
        <w:rPr>
          <w:rFonts w:ascii="Arial" w:hAnsi="Arial" w:cs="Arial"/>
        </w:rPr>
        <w:t>noviembre</w:t>
      </w:r>
      <w:r w:rsidRPr="00671A27">
        <w:rPr>
          <w:rFonts w:ascii="Arial" w:hAnsi="Arial" w:cs="Arial"/>
        </w:rPr>
        <w:t xml:space="preserve"> de 201</w:t>
      </w:r>
      <w:r w:rsidR="00671A27" w:rsidRPr="00671A27">
        <w:rPr>
          <w:rFonts w:ascii="Arial" w:hAnsi="Arial" w:cs="Arial"/>
        </w:rPr>
        <w:t>6</w:t>
      </w:r>
      <w:r w:rsidRPr="00671A27">
        <w:rPr>
          <w:rFonts w:ascii="Arial" w:hAnsi="Arial" w:cs="Arial"/>
        </w:rPr>
        <w:t xml:space="preserve">, le fue turnado para su estudio y dictamen, el expediente número </w:t>
      </w:r>
      <w:r w:rsidR="00671A27" w:rsidRPr="00671A27">
        <w:rPr>
          <w:rFonts w:ascii="Arial" w:hAnsi="Arial" w:cs="Arial"/>
          <w:b/>
        </w:rPr>
        <w:t>10502</w:t>
      </w:r>
      <w:r w:rsidR="00601E44" w:rsidRPr="00671A27">
        <w:rPr>
          <w:rFonts w:ascii="Arial" w:hAnsi="Arial" w:cs="Arial"/>
          <w:b/>
          <w:color w:val="000000"/>
        </w:rPr>
        <w:t>/LXXIV</w:t>
      </w:r>
      <w:r w:rsidRPr="00671A27">
        <w:rPr>
          <w:rFonts w:ascii="Arial" w:hAnsi="Arial" w:cs="Arial"/>
        </w:rPr>
        <w:t>, que</w:t>
      </w:r>
      <w:r w:rsidRPr="00A50FEB">
        <w:rPr>
          <w:rFonts w:ascii="Arial" w:hAnsi="Arial" w:cs="Arial"/>
        </w:rPr>
        <w:t xml:space="preserv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00F87F65">
        <w:rPr>
          <w:rFonts w:ascii="Arial" w:hAnsi="Arial" w:cs="Arial"/>
          <w:b/>
        </w:rPr>
        <w:t xml:space="preserve">Instituto </w:t>
      </w:r>
      <w:r w:rsidR="00205AD2">
        <w:rPr>
          <w:rFonts w:ascii="Arial" w:hAnsi="Arial" w:cs="Arial"/>
          <w:b/>
        </w:rPr>
        <w:t xml:space="preserve">Municipal </w:t>
      </w:r>
      <w:r w:rsidR="00F87F65">
        <w:rPr>
          <w:rFonts w:ascii="Arial" w:hAnsi="Arial" w:cs="Arial"/>
          <w:b/>
        </w:rPr>
        <w:t>de la Juventud</w:t>
      </w:r>
      <w:r w:rsidRPr="00A05975">
        <w:rPr>
          <w:rFonts w:ascii="Arial" w:hAnsi="Arial" w:cs="Arial"/>
          <w:b/>
        </w:rPr>
        <w:t xml:space="preserve"> de</w:t>
      </w:r>
      <w:r w:rsidR="006171EF">
        <w:rPr>
          <w:rFonts w:ascii="Arial" w:hAnsi="Arial" w:cs="Arial"/>
          <w:b/>
        </w:rPr>
        <w:t xml:space="preserve"> </w:t>
      </w:r>
      <w:r w:rsidR="00B1485B">
        <w:rPr>
          <w:rFonts w:ascii="Arial" w:hAnsi="Arial" w:cs="Arial"/>
          <w:b/>
        </w:rPr>
        <w:t>Apodaca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0531A5">
        <w:rPr>
          <w:rFonts w:ascii="Arial" w:hAnsi="Arial" w:cs="Arial"/>
          <w:b/>
        </w:rPr>
        <w:t>Ejercicio Fiscal 2015.</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 xml:space="preserve">El </w:t>
      </w:r>
      <w:r w:rsidR="00340232" w:rsidRPr="00671A27">
        <w:rPr>
          <w:rFonts w:ascii="Arial" w:hAnsi="Arial" w:cs="Arial"/>
        </w:rPr>
        <w:t xml:space="preserve">Instituto </w:t>
      </w:r>
      <w:r w:rsidR="00205AD2" w:rsidRPr="00671A27">
        <w:rPr>
          <w:rFonts w:ascii="Arial" w:hAnsi="Arial" w:cs="Arial"/>
        </w:rPr>
        <w:t xml:space="preserve">Municipal </w:t>
      </w:r>
      <w:r w:rsidR="00340232" w:rsidRPr="00671A27">
        <w:rPr>
          <w:rFonts w:ascii="Arial" w:hAnsi="Arial" w:cs="Arial"/>
        </w:rPr>
        <w:t>de la Juventud de Apodaca</w:t>
      </w:r>
      <w:r w:rsidRPr="00671A27">
        <w:rPr>
          <w:rFonts w:ascii="Arial" w:hAnsi="Arial" w:cs="Arial"/>
        </w:rPr>
        <w:t>, Nuevo León, presentó el</w:t>
      </w:r>
      <w:r w:rsidR="007F19DC" w:rsidRPr="00671A27">
        <w:rPr>
          <w:rFonts w:ascii="Arial" w:hAnsi="Arial" w:cs="Arial"/>
        </w:rPr>
        <w:t xml:space="preserve"> </w:t>
      </w:r>
      <w:r w:rsidR="00671A27" w:rsidRPr="00671A27">
        <w:rPr>
          <w:rFonts w:ascii="Arial" w:hAnsi="Arial" w:cs="Arial"/>
        </w:rPr>
        <w:t>18 de marzo de 2016</w:t>
      </w:r>
      <w:r w:rsidR="00744D70" w:rsidRPr="00671A27">
        <w:rPr>
          <w:rFonts w:ascii="Arial" w:hAnsi="Arial" w:cs="Arial"/>
        </w:rPr>
        <w:t xml:space="preserve"> ante</w:t>
      </w:r>
      <w:r w:rsidR="00744D70">
        <w:rPr>
          <w:rFonts w:ascii="Arial" w:hAnsi="Arial" w:cs="Arial"/>
        </w:rPr>
        <w:t xml:space="preserve"> esta Soberanía, su Cuenta Pública correspondiente al Ejercicio Fiscal 201</w:t>
      </w:r>
      <w:r w:rsidR="000531A5">
        <w:rPr>
          <w:rFonts w:ascii="Arial" w:hAnsi="Arial" w:cs="Arial"/>
        </w:rPr>
        <w:t>5</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En la revisión a la Cuenta Pública de referencia, y a efecto de estar en aptitud de que se cumplan con los objetivos definidos en los artículos 18 y 19 de la Ley del </w:t>
      </w:r>
      <w:r w:rsidRPr="001D64E8">
        <w:rPr>
          <w:rFonts w:ascii="Arial" w:hAnsi="Arial" w:cs="Arial"/>
        </w:rPr>
        <w:lastRenderedPageBreak/>
        <w:t>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0531A5">
        <w:rPr>
          <w:rFonts w:ascii="Arial" w:hAnsi="Arial" w:cs="Arial"/>
        </w:rPr>
        <w:t>5</w:t>
      </w:r>
      <w:r w:rsidRPr="001D64E8">
        <w:rPr>
          <w:rFonts w:ascii="Arial" w:hAnsi="Arial" w:cs="Arial"/>
        </w:rPr>
        <w:t xml:space="preserve"> del </w:t>
      </w:r>
      <w:r w:rsidR="00340232" w:rsidRPr="00340232">
        <w:rPr>
          <w:rFonts w:ascii="Arial" w:hAnsi="Arial" w:cs="Arial"/>
        </w:rPr>
        <w:t>Instituto</w:t>
      </w:r>
      <w:r w:rsidR="00205AD2">
        <w:rPr>
          <w:rFonts w:ascii="Arial" w:hAnsi="Arial" w:cs="Arial"/>
        </w:rPr>
        <w:t xml:space="preserve"> Municipal</w:t>
      </w:r>
      <w:r w:rsidR="00340232" w:rsidRPr="00340232">
        <w:rPr>
          <w:rFonts w:ascii="Arial" w:hAnsi="Arial" w:cs="Arial"/>
        </w:rPr>
        <w:t xml:space="preserve"> de la Juventud de Apodaca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w:t>
      </w:r>
      <w:r w:rsidRPr="001D64E8">
        <w:rPr>
          <w:rFonts w:ascii="Arial" w:hAnsi="Arial" w:cs="Arial"/>
        </w:rPr>
        <w:lastRenderedPageBreak/>
        <w:t>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0531A5">
        <w:rPr>
          <w:rFonts w:ascii="Arial" w:hAnsi="Arial" w:cs="Arial"/>
        </w:rPr>
        <w:t>5</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340232" w:rsidRPr="00340232">
        <w:rPr>
          <w:rFonts w:ascii="Arial" w:hAnsi="Arial" w:cs="Arial"/>
        </w:rPr>
        <w:t xml:space="preserve">Instituto </w:t>
      </w:r>
      <w:r w:rsidR="00205AD2">
        <w:rPr>
          <w:rFonts w:ascii="Arial" w:hAnsi="Arial" w:cs="Arial"/>
        </w:rPr>
        <w:t xml:space="preserve">Municipal </w:t>
      </w:r>
      <w:r w:rsidR="00340232" w:rsidRPr="00340232">
        <w:rPr>
          <w:rFonts w:ascii="Arial" w:hAnsi="Arial" w:cs="Arial"/>
        </w:rPr>
        <w:t>de la Juventud de Apodaca</w:t>
      </w:r>
      <w:r>
        <w:rPr>
          <w:rFonts w:ascii="Arial" w:hAnsi="Arial" w:cs="Arial"/>
          <w:color w:val="000000"/>
        </w:rPr>
        <w:t xml:space="preserve">, Nuevo León, </w:t>
      </w:r>
      <w:r w:rsidRPr="001D64E8">
        <w:rPr>
          <w:rFonts w:ascii="Arial" w:hAnsi="Arial" w:cs="Arial"/>
        </w:rPr>
        <w:t>como Cuenta Pública correspondiente al ejercicio de 201</w:t>
      </w:r>
      <w:r w:rsidR="000531A5">
        <w:rPr>
          <w:rFonts w:ascii="Arial" w:hAnsi="Arial" w:cs="Arial"/>
        </w:rPr>
        <w:t>5</w:t>
      </w:r>
      <w:r w:rsidRPr="001D64E8">
        <w:rPr>
          <w:rFonts w:ascii="Arial" w:hAnsi="Arial" w:cs="Arial"/>
        </w:rPr>
        <w:t>, presenta razonablemente el manejo, custodia y aplicación de los ingresos, egresos, fondos y en g</w:t>
      </w:r>
      <w:r>
        <w:rPr>
          <w:rFonts w:ascii="Arial" w:hAnsi="Arial" w:cs="Arial"/>
        </w:rPr>
        <w:t xml:space="preserve">eneral de los </w:t>
      </w:r>
      <w:r>
        <w:rPr>
          <w:rFonts w:ascii="Arial" w:hAnsi="Arial" w:cs="Arial"/>
        </w:rPr>
        <w:lastRenderedPageBreak/>
        <w:t xml:space="preserve">recursos públicos, </w:t>
      </w:r>
      <w:r w:rsidRPr="00743413">
        <w:rPr>
          <w:rFonts w:ascii="Arial" w:hAnsi="Arial" w:cs="Arial"/>
          <w:b/>
        </w:rPr>
        <w:t>salvo en su caso por</w:t>
      </w:r>
      <w:r>
        <w:rPr>
          <w:rFonts w:ascii="Arial" w:hAnsi="Arial" w:cs="Arial"/>
          <w:b/>
        </w:rPr>
        <w:t xml:space="preserve"> lo mencion</w:t>
      </w:r>
      <w:r w:rsidR="00340232">
        <w:rPr>
          <w:rFonts w:ascii="Arial" w:hAnsi="Arial" w:cs="Arial"/>
          <w:b/>
        </w:rPr>
        <w:t xml:space="preserve">ado en el capítulo </w:t>
      </w:r>
      <w:r>
        <w:rPr>
          <w:rFonts w:ascii="Arial" w:hAnsi="Arial" w:cs="Arial"/>
          <w:b/>
        </w:rPr>
        <w:t>V</w:t>
      </w:r>
      <w:r w:rsidR="000531A5">
        <w:rPr>
          <w:rFonts w:ascii="Arial" w:hAnsi="Arial" w:cs="Arial"/>
          <w:b/>
        </w:rPr>
        <w:t>II</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22916">
        <w:rPr>
          <w:rFonts w:ascii="Arial" w:hAnsi="Arial" w:cs="Arial"/>
        </w:rPr>
        <w:t>Apodaca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0531A5"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2015</w:t>
            </w:r>
          </w:p>
        </w:tc>
      </w:tr>
      <w:tr w:rsidR="00744D70" w:rsidRPr="00833567" w:rsidTr="003A2713">
        <w:trPr>
          <w:trHeight w:val="338"/>
        </w:trPr>
        <w:tc>
          <w:tcPr>
            <w:tcW w:w="4595" w:type="dxa"/>
            <w:shd w:val="clear" w:color="auto" w:fill="auto"/>
            <w:vAlign w:val="bottom"/>
            <w:hideMark/>
          </w:tcPr>
          <w:p w:rsidR="00744D70" w:rsidRPr="00833567" w:rsidRDefault="000531A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Participaciones y aportaciones</w:t>
            </w:r>
          </w:p>
        </w:tc>
        <w:tc>
          <w:tcPr>
            <w:tcW w:w="2019" w:type="dxa"/>
            <w:shd w:val="clear" w:color="auto" w:fill="auto"/>
            <w:noWrap/>
            <w:vAlign w:val="bottom"/>
            <w:hideMark/>
          </w:tcPr>
          <w:p w:rsidR="00744D70" w:rsidRPr="00833567" w:rsidRDefault="000531A5"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$2,113,704</w:t>
            </w:r>
          </w:p>
        </w:tc>
      </w:tr>
      <w:tr w:rsidR="000531A5" w:rsidRPr="00833567" w:rsidTr="003A2713">
        <w:trPr>
          <w:trHeight w:val="338"/>
        </w:trPr>
        <w:tc>
          <w:tcPr>
            <w:tcW w:w="4595" w:type="dxa"/>
            <w:shd w:val="clear" w:color="auto" w:fill="auto"/>
            <w:vAlign w:val="bottom"/>
          </w:tcPr>
          <w:p w:rsidR="000531A5" w:rsidRDefault="000531A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Transferencias, asignaciones subsidios y otras ayudas</w:t>
            </w:r>
          </w:p>
        </w:tc>
        <w:tc>
          <w:tcPr>
            <w:tcW w:w="2019" w:type="dxa"/>
            <w:shd w:val="clear" w:color="auto" w:fill="auto"/>
            <w:noWrap/>
            <w:vAlign w:val="bottom"/>
          </w:tcPr>
          <w:p w:rsidR="000531A5" w:rsidRDefault="000531A5"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33,375</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Pr="000531A5" w:rsidRDefault="000531A5" w:rsidP="005D5636">
            <w:pPr>
              <w:spacing w:after="0" w:line="240" w:lineRule="auto"/>
              <w:jc w:val="right"/>
              <w:rPr>
                <w:rFonts w:ascii="Arial" w:eastAsia="Times New Roman" w:hAnsi="Arial" w:cs="Arial"/>
                <w:b/>
                <w:color w:val="000000"/>
                <w:lang w:eastAsia="es-MX"/>
              </w:rPr>
            </w:pPr>
            <w:r>
              <w:rPr>
                <w:rFonts w:ascii="Arial" w:eastAsia="Times New Roman" w:hAnsi="Arial" w:cs="Arial"/>
                <w:b/>
                <w:color w:val="000000"/>
                <w:lang w:val="es-MX" w:eastAsia="es-MX"/>
              </w:rPr>
              <w:t>$2,147,079</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0531A5">
              <w:rPr>
                <w:rFonts w:ascii="Arial" w:eastAsia="Times New Roman" w:hAnsi="Arial" w:cs="Arial"/>
                <w:b/>
                <w:bCs/>
                <w:color w:val="000000"/>
                <w:lang w:eastAsia="es-MX"/>
              </w:rPr>
              <w:t>5</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Personales</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7F19DC" w:rsidP="000531A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w:t>
            </w:r>
            <w:r w:rsidR="000531A5">
              <w:rPr>
                <w:rFonts w:ascii="Arial" w:eastAsia="Times New Roman" w:hAnsi="Arial" w:cs="Arial"/>
                <w:color w:val="000000"/>
                <w:lang w:val="es-MX" w:eastAsia="es-MX"/>
              </w:rPr>
              <w:t>915,246</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lastRenderedPageBreak/>
              <w:t>Materiales y Suministros</w:t>
            </w:r>
          </w:p>
        </w:tc>
        <w:tc>
          <w:tcPr>
            <w:tcW w:w="1560" w:type="dxa"/>
            <w:shd w:val="clear" w:color="auto" w:fill="auto"/>
            <w:noWrap/>
            <w:vAlign w:val="center"/>
          </w:tcPr>
          <w:p w:rsidR="00744D70" w:rsidRPr="00833567" w:rsidRDefault="000531A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94,323</w:t>
            </w:r>
          </w:p>
        </w:tc>
      </w:tr>
      <w:tr w:rsidR="00744D70" w:rsidRPr="00374F3F" w:rsidTr="00FB4419">
        <w:trPr>
          <w:trHeight w:val="145"/>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Generales</w:t>
            </w:r>
          </w:p>
        </w:tc>
        <w:tc>
          <w:tcPr>
            <w:tcW w:w="1560" w:type="dxa"/>
            <w:shd w:val="clear" w:color="auto" w:fill="auto"/>
            <w:noWrap/>
            <w:vAlign w:val="center"/>
          </w:tcPr>
          <w:p w:rsidR="00744D70" w:rsidRPr="00833567" w:rsidRDefault="000531A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602,492</w:t>
            </w:r>
          </w:p>
        </w:tc>
      </w:tr>
      <w:tr w:rsidR="000531A5" w:rsidRPr="00374F3F" w:rsidTr="00FB4419">
        <w:trPr>
          <w:trHeight w:val="145"/>
        </w:trPr>
        <w:tc>
          <w:tcPr>
            <w:tcW w:w="4595" w:type="dxa"/>
            <w:shd w:val="clear" w:color="auto" w:fill="auto"/>
            <w:vAlign w:val="bottom"/>
          </w:tcPr>
          <w:p w:rsidR="000531A5" w:rsidRDefault="000531A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Otros gastos y pérdidas extraordinarias</w:t>
            </w:r>
          </w:p>
        </w:tc>
        <w:tc>
          <w:tcPr>
            <w:tcW w:w="1560" w:type="dxa"/>
            <w:shd w:val="clear" w:color="auto" w:fill="auto"/>
            <w:noWrap/>
            <w:vAlign w:val="center"/>
          </w:tcPr>
          <w:p w:rsidR="000531A5" w:rsidRDefault="000531A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21,350</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Pr="000531A5" w:rsidRDefault="000531A5" w:rsidP="00AF1389">
            <w:pPr>
              <w:spacing w:after="0" w:line="240" w:lineRule="auto"/>
              <w:jc w:val="right"/>
              <w:rPr>
                <w:rFonts w:ascii="Arial" w:eastAsia="Times New Roman" w:hAnsi="Arial" w:cs="Arial"/>
                <w:b/>
                <w:color w:val="000000"/>
                <w:lang w:eastAsia="es-MX"/>
              </w:rPr>
            </w:pPr>
            <w:r>
              <w:rPr>
                <w:rFonts w:ascii="Arial" w:eastAsia="Times New Roman" w:hAnsi="Arial" w:cs="Arial"/>
                <w:b/>
                <w:color w:val="000000"/>
                <w:lang w:eastAsia="es-MX"/>
              </w:rPr>
              <w:t>1,633,411</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3B3827" w:rsidP="00744D70">
      <w:pPr>
        <w:spacing w:after="0" w:line="360" w:lineRule="auto"/>
        <w:ind w:firstLine="708"/>
        <w:jc w:val="both"/>
        <w:rPr>
          <w:rFonts w:ascii="Arial" w:hAnsi="Arial" w:cs="Arial"/>
        </w:rPr>
      </w:pPr>
      <w:r>
        <w:rPr>
          <w:rFonts w:ascii="Arial" w:hAnsi="Arial" w:cs="Arial"/>
          <w:b/>
        </w:rPr>
        <w:t xml:space="preserve">CUARTO.- </w:t>
      </w:r>
      <w:r w:rsidR="00C01B14">
        <w:rPr>
          <w:rFonts w:ascii="Arial" w:hAnsi="Arial" w:cs="Arial"/>
        </w:rPr>
        <w:t xml:space="preserve">En el apartado </w:t>
      </w:r>
      <w:r w:rsidR="00744D70">
        <w:rPr>
          <w:rFonts w:ascii="Arial" w:hAnsi="Arial" w:cs="Arial"/>
        </w:rPr>
        <w:t>V</w:t>
      </w:r>
      <w:r w:rsidR="000531A5">
        <w:rPr>
          <w:rFonts w:ascii="Arial" w:hAnsi="Arial" w:cs="Arial"/>
        </w:rPr>
        <w:t>II</w:t>
      </w:r>
      <w:r w:rsidR="00744D70">
        <w:rPr>
          <w:rFonts w:ascii="Arial" w:hAnsi="Arial" w:cs="Arial"/>
        </w:rPr>
        <w:t xml:space="preserve"> del I</w:t>
      </w:r>
      <w:r w:rsidR="00744D70"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sidR="00744D70">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AF1389" w:rsidRPr="005D5636" w:rsidRDefault="005D5636" w:rsidP="005D5636">
      <w:pPr>
        <w:spacing w:after="0" w:line="360" w:lineRule="auto"/>
        <w:jc w:val="both"/>
        <w:rPr>
          <w:rFonts w:ascii="Arial" w:hAnsi="Arial" w:cs="Arial"/>
          <w:b/>
          <w:bCs/>
          <w:lang w:val="es-MX"/>
        </w:rPr>
      </w:pPr>
      <w:r w:rsidRPr="005D5636">
        <w:rPr>
          <w:rFonts w:ascii="Arial" w:hAnsi="Arial" w:cs="Arial"/>
          <w:b/>
          <w:bCs/>
          <w:lang w:val="es-MX"/>
        </w:rPr>
        <w:t>GESTIÓN FINANCIERA</w:t>
      </w:r>
    </w:p>
    <w:p w:rsidR="005D5636" w:rsidRDefault="005D5636" w:rsidP="005D5636">
      <w:pPr>
        <w:autoSpaceDE w:val="0"/>
        <w:autoSpaceDN w:val="0"/>
        <w:adjustRightInd w:val="0"/>
        <w:spacing w:after="0" w:line="360" w:lineRule="auto"/>
        <w:jc w:val="both"/>
        <w:rPr>
          <w:rFonts w:ascii="Arial,Bold" w:eastAsiaTheme="minorHAnsi" w:hAnsi="Arial,Bold" w:cs="Arial,Bold"/>
          <w:b/>
          <w:bCs/>
          <w:lang w:val="es-MX"/>
        </w:rPr>
      </w:pPr>
      <w:r w:rsidRPr="005D5636">
        <w:rPr>
          <w:rFonts w:ascii="Arial,Bold" w:eastAsiaTheme="minorHAnsi" w:hAnsi="Arial,Bold" w:cs="Arial,Bold"/>
          <w:b/>
          <w:bCs/>
          <w:lang w:val="es-MX"/>
        </w:rPr>
        <w:t>LEY GENERAL DE CONTABILIDAD GUBERNAMENTAL</w:t>
      </w:r>
    </w:p>
    <w:p w:rsidR="003A4C71" w:rsidRDefault="003A4C71" w:rsidP="005D5636">
      <w:pPr>
        <w:autoSpaceDE w:val="0"/>
        <w:autoSpaceDN w:val="0"/>
        <w:adjustRightInd w:val="0"/>
        <w:spacing w:after="0" w:line="360" w:lineRule="auto"/>
        <w:jc w:val="both"/>
        <w:rPr>
          <w:rFonts w:ascii="Arial,Bold" w:eastAsiaTheme="minorHAnsi" w:hAnsi="Arial,Bold" w:cs="Arial,Bold"/>
          <w:b/>
          <w:bCs/>
          <w:lang w:val="es-MX"/>
        </w:rPr>
      </w:pPr>
    </w:p>
    <w:p w:rsidR="003A4C71" w:rsidRPr="003A4C71" w:rsidRDefault="003A4C71" w:rsidP="003A4C71">
      <w:pPr>
        <w:autoSpaceDE w:val="0"/>
        <w:autoSpaceDN w:val="0"/>
        <w:adjustRightInd w:val="0"/>
        <w:spacing w:after="0" w:line="360" w:lineRule="auto"/>
        <w:ind w:firstLine="709"/>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1.</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Se revisó la observancia de la Ley General de Contabilidad Gubernamental (LGCG) y la normatividad emitida por el Consejo Nacional de Armonización Contable (</w:t>
      </w:r>
      <w:proofErr w:type="spellStart"/>
      <w:r w:rsidRPr="003A4C71">
        <w:rPr>
          <w:rFonts w:ascii="Arial" w:eastAsiaTheme="minorHAnsi" w:hAnsi="Arial" w:cs="Arial"/>
          <w:color w:val="000000"/>
          <w:szCs w:val="24"/>
          <w:lang w:val="es-MX"/>
        </w:rPr>
        <w:t>Conac</w:t>
      </w:r>
      <w:proofErr w:type="spellEnd"/>
      <w:r w:rsidRPr="003A4C71">
        <w:rPr>
          <w:rFonts w:ascii="Arial" w:eastAsiaTheme="minorHAnsi" w:hAnsi="Arial" w:cs="Arial"/>
          <w:color w:val="000000"/>
          <w:szCs w:val="24"/>
          <w:lang w:val="es-MX"/>
        </w:rPr>
        <w:t>) publicada en el Periódico Oficial del Estado de Nuevo León (POE), advirtiéndose incumplimientos por parte del ente público, a las obligaciones que diversos preceptos de la referida Ley le imponen, acorde con lo que se enuncia a continuación:</w:t>
      </w:r>
    </w:p>
    <w:p w:rsidR="003A4C71" w:rsidRPr="003A4C71" w:rsidRDefault="003A4C71" w:rsidP="003A4C71">
      <w:pPr>
        <w:pStyle w:val="Prrafodelista"/>
        <w:numPr>
          <w:ilvl w:val="0"/>
          <w:numId w:val="30"/>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Registros Contables</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p>
    <w:p w:rsidR="003A4C71" w:rsidRDefault="003A4C71" w:rsidP="003A4C71">
      <w:pPr>
        <w:pStyle w:val="Prrafodelista"/>
        <w:numPr>
          <w:ilvl w:val="0"/>
          <w:numId w:val="31"/>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Contar con manuales de contabilidad (artículo 20).</w:t>
      </w:r>
    </w:p>
    <w:p w:rsidR="003A4C71" w:rsidRDefault="003A4C71" w:rsidP="00F058B5">
      <w:pPr>
        <w:pStyle w:val="Prrafodelista"/>
        <w:numPr>
          <w:ilvl w:val="0"/>
          <w:numId w:val="31"/>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 xml:space="preserve">Realizar los registros contables con base acumulativa, el gasto conforme a su fecha de realización y el ingreso se registra cuando exista jurídicamente derecho de cobro (artículo 34, conforme a Normas y metodología para la determinación de los momentos contables de los ingresos y Normas y </w:t>
      </w:r>
      <w:r w:rsidRPr="003A4C71">
        <w:rPr>
          <w:rFonts w:ascii="Arial" w:eastAsiaTheme="minorHAnsi" w:hAnsi="Arial" w:cs="Arial"/>
          <w:color w:val="000000"/>
          <w:szCs w:val="24"/>
          <w:lang w:val="es-MX"/>
        </w:rPr>
        <w:lastRenderedPageBreak/>
        <w:t>metodología para la determinación de los momentos contables de los egresos, publicadas en el POE).</w:t>
      </w:r>
    </w:p>
    <w:p w:rsidR="003A4C71" w:rsidRPr="003A4C71" w:rsidRDefault="003A4C71" w:rsidP="00DA1D0C">
      <w:pPr>
        <w:pStyle w:val="Prrafodelista"/>
        <w:numPr>
          <w:ilvl w:val="0"/>
          <w:numId w:val="31"/>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Disponer de catálogo de bienes y las respectivas matrices de conversión con las características señaladas en los artículos 40 y 41, asimismo de la Norma y metodología que establezca los momentos contables de ingresos y gastos previstos</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en la Ley.</w:t>
      </w:r>
    </w:p>
    <w:p w:rsidR="003A4C71" w:rsidRPr="003A4C71" w:rsidRDefault="003A4C71" w:rsidP="003A4C71">
      <w:pPr>
        <w:pStyle w:val="Prrafodelista"/>
        <w:numPr>
          <w:ilvl w:val="0"/>
          <w:numId w:val="30"/>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Registros Administrativos</w:t>
      </w:r>
    </w:p>
    <w:p w:rsidR="003A4C71" w:rsidRPr="003A4C71" w:rsidRDefault="003A4C71" w:rsidP="003A4C71">
      <w:pPr>
        <w:pStyle w:val="Prrafodelista"/>
        <w:autoSpaceDE w:val="0"/>
        <w:autoSpaceDN w:val="0"/>
        <w:adjustRightInd w:val="0"/>
        <w:spacing w:after="0" w:line="360" w:lineRule="auto"/>
        <w:ind w:left="1080"/>
        <w:jc w:val="both"/>
        <w:rPr>
          <w:rFonts w:ascii="Arial" w:eastAsiaTheme="minorHAnsi" w:hAnsi="Arial" w:cs="Arial"/>
          <w:color w:val="000000"/>
          <w:szCs w:val="24"/>
          <w:lang w:val="es-MX"/>
        </w:rPr>
      </w:pPr>
    </w:p>
    <w:p w:rsidR="003A4C71" w:rsidRPr="003A4C71" w:rsidRDefault="003A4C71" w:rsidP="003A4C71">
      <w:pPr>
        <w:pStyle w:val="Prrafodelista"/>
        <w:numPr>
          <w:ilvl w:val="0"/>
          <w:numId w:val="32"/>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Realizar los pagos directamente en forma electrónica, mediante abono en cuenta del beneficiario (artículo 67 párrafo segundo).</w:t>
      </w:r>
    </w:p>
    <w:p w:rsidR="003A4C71" w:rsidRDefault="003A4C71" w:rsidP="00093376">
      <w:pPr>
        <w:pStyle w:val="Prrafodelista"/>
        <w:numPr>
          <w:ilvl w:val="0"/>
          <w:numId w:val="32"/>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Los procesos administrativos o subsistemas que operan en tiempo real son los que permitirán la emisión periódica (mes, trimestre, anual, etc.) de los Estados</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Financieros.</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p>
    <w:p w:rsidR="003A4C71" w:rsidRDefault="003A4C71" w:rsidP="003A4C71">
      <w:pPr>
        <w:pStyle w:val="Prrafodelista"/>
        <w:numPr>
          <w:ilvl w:val="0"/>
          <w:numId w:val="30"/>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Cuenta Pública</w:t>
      </w:r>
    </w:p>
    <w:p w:rsidR="003A4C71" w:rsidRPr="003A4C71" w:rsidRDefault="003A4C71" w:rsidP="003A4C71">
      <w:pPr>
        <w:pStyle w:val="Prrafodelista"/>
        <w:autoSpaceDE w:val="0"/>
        <w:autoSpaceDN w:val="0"/>
        <w:adjustRightInd w:val="0"/>
        <w:spacing w:after="0" w:line="360" w:lineRule="auto"/>
        <w:ind w:left="1080"/>
        <w:jc w:val="both"/>
        <w:rPr>
          <w:rFonts w:ascii="Arial" w:eastAsiaTheme="minorHAnsi" w:hAnsi="Arial" w:cs="Arial"/>
          <w:color w:val="000000"/>
          <w:szCs w:val="24"/>
          <w:lang w:val="es-MX"/>
        </w:rPr>
      </w:pPr>
    </w:p>
    <w:p w:rsidR="003A4C71" w:rsidRDefault="003A4C71" w:rsidP="003A4C71">
      <w:pPr>
        <w:autoSpaceDE w:val="0"/>
        <w:autoSpaceDN w:val="0"/>
        <w:adjustRightInd w:val="0"/>
        <w:spacing w:after="0" w:line="360" w:lineRule="auto"/>
        <w:ind w:firstLine="709"/>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Generar información para la integración de la cuenta pública por parte del</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Ayuntamiento</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del Municipio, conforme al artículo 55 con relación a los artículos 46 y 48 del acuerdo por</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el que se armoniza la estructura de las cuentas públicas, las Normas y metodología para la</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emisión de información financiera y estructura de los estados financieros básicos del ente</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público y características de sus notas y el Manual de contabilidad gubernamental publicados</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en el POE, la cual debe contener:</w:t>
      </w:r>
    </w:p>
    <w:p w:rsidR="003A4C71" w:rsidRPr="003A4C71" w:rsidRDefault="003A4C71" w:rsidP="003A4C71">
      <w:pPr>
        <w:autoSpaceDE w:val="0"/>
        <w:autoSpaceDN w:val="0"/>
        <w:adjustRightInd w:val="0"/>
        <w:spacing w:after="0" w:line="360" w:lineRule="auto"/>
        <w:ind w:firstLine="709"/>
        <w:jc w:val="both"/>
        <w:rPr>
          <w:rFonts w:ascii="Arial" w:eastAsiaTheme="minorHAnsi" w:hAnsi="Arial" w:cs="Arial"/>
          <w:color w:val="000000"/>
          <w:szCs w:val="24"/>
          <w:lang w:val="es-MX"/>
        </w:rPr>
      </w:pP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a)</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Información contable</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a.1.Estado de situación financiera.</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a.2.Estado de actividades.</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lastRenderedPageBreak/>
        <w:t>a.3.Estado de variación en la hacienda pública.</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a.4.Estado de cambios en la situación financiera (Flujo de Efectivo)</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a.5.Notas a los estados financieros.</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a.6.Estado analítico del activo.</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b) Información presupuestaria</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b.1. Estado analítico de ingresos del que se derivará la presentación en clasificación</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económica por fuente de financiamiento y concepto, incluyendo los ingresos excedentes</w:t>
      </w:r>
      <w:r>
        <w:rPr>
          <w:rFonts w:ascii="Arial" w:eastAsiaTheme="minorHAnsi" w:hAnsi="Arial" w:cs="Arial"/>
          <w:color w:val="000000"/>
          <w:szCs w:val="24"/>
          <w:lang w:val="es-MX"/>
        </w:rPr>
        <w:t xml:space="preserve"> </w:t>
      </w:r>
      <w:r w:rsidRPr="003A4C71">
        <w:rPr>
          <w:rFonts w:ascii="Arial" w:eastAsiaTheme="minorHAnsi" w:hAnsi="Arial" w:cs="Arial"/>
          <w:color w:val="000000"/>
          <w:szCs w:val="24"/>
          <w:lang w:val="es-MX"/>
        </w:rPr>
        <w:t>generados.</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b.2. Estado analítico del ejercicio del presupuesto de egresos que incluya las clasificaciones</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 Administrativa</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 Económica y por objeto del gasto</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 Funcional</w:t>
      </w:r>
    </w:p>
    <w:p w:rsid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 Programática</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p>
    <w:p w:rsidR="003A4C71" w:rsidRPr="003A4C71" w:rsidRDefault="003A4C71" w:rsidP="003A4C71">
      <w:pPr>
        <w:pStyle w:val="Prrafodelista"/>
        <w:numPr>
          <w:ilvl w:val="0"/>
          <w:numId w:val="30"/>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Transparencia</w:t>
      </w:r>
    </w:p>
    <w:p w:rsidR="003A4C71" w:rsidRPr="003A4C71" w:rsidRDefault="003A4C71" w:rsidP="003A4C71">
      <w:pPr>
        <w:autoSpaceDE w:val="0"/>
        <w:autoSpaceDN w:val="0"/>
        <w:adjustRightInd w:val="0"/>
        <w:spacing w:after="0" w:line="360" w:lineRule="auto"/>
        <w:jc w:val="both"/>
        <w:rPr>
          <w:rFonts w:ascii="Arial" w:eastAsiaTheme="minorHAnsi" w:hAnsi="Arial" w:cs="Arial"/>
          <w:color w:val="000000"/>
          <w:szCs w:val="24"/>
          <w:lang w:val="es-MX"/>
        </w:rPr>
      </w:pPr>
    </w:p>
    <w:p w:rsidR="003A4C71" w:rsidRDefault="003A4C71" w:rsidP="003A4C71">
      <w:pPr>
        <w:pStyle w:val="Prrafodelista"/>
        <w:numPr>
          <w:ilvl w:val="0"/>
          <w:numId w:val="34"/>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Publicación del inventario de los bienes</w:t>
      </w:r>
      <w:r>
        <w:rPr>
          <w:rFonts w:ascii="Arial" w:eastAsiaTheme="minorHAnsi" w:hAnsi="Arial" w:cs="Arial"/>
          <w:color w:val="000000"/>
          <w:szCs w:val="24"/>
          <w:lang w:val="es-MX"/>
        </w:rPr>
        <w:t>.</w:t>
      </w:r>
    </w:p>
    <w:p w:rsidR="003A4C71" w:rsidRPr="003A4C71" w:rsidRDefault="003A4C71" w:rsidP="003A4C71">
      <w:pPr>
        <w:pStyle w:val="Prrafodelista"/>
        <w:numPr>
          <w:ilvl w:val="0"/>
          <w:numId w:val="34"/>
        </w:numPr>
        <w:autoSpaceDE w:val="0"/>
        <w:autoSpaceDN w:val="0"/>
        <w:adjustRightInd w:val="0"/>
        <w:spacing w:after="0" w:line="360" w:lineRule="auto"/>
        <w:jc w:val="both"/>
        <w:rPr>
          <w:rFonts w:ascii="Arial" w:eastAsiaTheme="minorHAnsi" w:hAnsi="Arial" w:cs="Arial"/>
          <w:color w:val="000000"/>
          <w:szCs w:val="24"/>
          <w:lang w:val="es-MX"/>
        </w:rPr>
      </w:pPr>
      <w:r w:rsidRPr="003A4C71">
        <w:rPr>
          <w:rFonts w:ascii="Arial" w:eastAsiaTheme="minorHAnsi" w:hAnsi="Arial" w:cs="Arial"/>
          <w:color w:val="000000"/>
          <w:szCs w:val="24"/>
          <w:lang w:val="es-MX"/>
        </w:rPr>
        <w:t>Publicar para consulta de la población en general las cuentas públicas (artículo cuarto transitorio fracción IV en relación con el 61 de la LGCG).</w:t>
      </w:r>
    </w:p>
    <w:p w:rsidR="00C17821" w:rsidRDefault="00C17821" w:rsidP="00C17821">
      <w:pPr>
        <w:autoSpaceDE w:val="0"/>
        <w:autoSpaceDN w:val="0"/>
        <w:adjustRightInd w:val="0"/>
        <w:spacing w:after="0" w:line="360" w:lineRule="auto"/>
        <w:ind w:firstLine="709"/>
        <w:jc w:val="both"/>
        <w:rPr>
          <w:rFonts w:ascii="Arial" w:eastAsiaTheme="minorHAnsi" w:hAnsi="Arial" w:cs="Arial"/>
          <w:sz w:val="20"/>
          <w:szCs w:val="24"/>
          <w:lang w:val="es-MX"/>
        </w:rPr>
      </w:pPr>
    </w:p>
    <w:p w:rsidR="003A4C71" w:rsidRPr="003A4C71" w:rsidRDefault="003A4C71" w:rsidP="003A4C71">
      <w:pPr>
        <w:autoSpaceDE w:val="0"/>
        <w:autoSpaceDN w:val="0"/>
        <w:adjustRightInd w:val="0"/>
        <w:spacing w:after="0" w:line="360" w:lineRule="auto"/>
        <w:jc w:val="both"/>
        <w:rPr>
          <w:rFonts w:ascii="Arial" w:eastAsiaTheme="minorHAnsi" w:hAnsi="Arial" w:cs="Arial"/>
          <w:b/>
          <w:bCs/>
          <w:szCs w:val="24"/>
          <w:lang w:val="es-MX"/>
        </w:rPr>
      </w:pPr>
      <w:r w:rsidRPr="003A4C71">
        <w:rPr>
          <w:rFonts w:ascii="Arial" w:eastAsiaTheme="minorHAnsi" w:hAnsi="Arial" w:cs="Arial"/>
          <w:b/>
          <w:bCs/>
          <w:szCs w:val="24"/>
          <w:lang w:val="es-MX"/>
        </w:rPr>
        <w:t>Análisis de la Auditoría Superior del Estado</w:t>
      </w:r>
    </w:p>
    <w:p w:rsidR="003A4C71" w:rsidRPr="003A4C71" w:rsidRDefault="003A4C71" w:rsidP="003A4C71">
      <w:pPr>
        <w:autoSpaceDE w:val="0"/>
        <w:autoSpaceDN w:val="0"/>
        <w:adjustRightInd w:val="0"/>
        <w:spacing w:after="0" w:line="360" w:lineRule="auto"/>
        <w:jc w:val="both"/>
        <w:rPr>
          <w:rFonts w:ascii="Arial" w:eastAsiaTheme="minorHAnsi" w:hAnsi="Arial" w:cs="Arial"/>
          <w:szCs w:val="24"/>
          <w:lang w:val="es-MX"/>
        </w:rPr>
      </w:pPr>
      <w:r w:rsidRPr="003A4C71">
        <w:rPr>
          <w:rFonts w:ascii="Arial" w:eastAsiaTheme="minorHAnsi" w:hAnsi="Arial" w:cs="Arial"/>
          <w:szCs w:val="24"/>
          <w:lang w:val="es-MX"/>
        </w:rPr>
        <w:t>Se analizó la documentación y aclaración presentada por el Ente Público y el Extitular, la</w:t>
      </w:r>
      <w:r>
        <w:rPr>
          <w:rFonts w:ascii="Arial" w:eastAsiaTheme="minorHAnsi" w:hAnsi="Arial" w:cs="Arial"/>
          <w:szCs w:val="24"/>
          <w:lang w:val="es-MX"/>
        </w:rPr>
        <w:t xml:space="preserve"> </w:t>
      </w:r>
      <w:r w:rsidRPr="003A4C71">
        <w:rPr>
          <w:rFonts w:ascii="Arial" w:eastAsiaTheme="minorHAnsi" w:hAnsi="Arial" w:cs="Arial"/>
          <w:szCs w:val="24"/>
          <w:lang w:val="es-MX"/>
        </w:rPr>
        <w:t>cual no solventa la observación de aspecto normativo debido a que aún y cuando se anexa</w:t>
      </w:r>
      <w:r>
        <w:rPr>
          <w:rFonts w:ascii="Arial" w:eastAsiaTheme="minorHAnsi" w:hAnsi="Arial" w:cs="Arial"/>
          <w:szCs w:val="24"/>
          <w:lang w:val="es-MX"/>
        </w:rPr>
        <w:t xml:space="preserve"> </w:t>
      </w:r>
      <w:r w:rsidRPr="003A4C71">
        <w:rPr>
          <w:rFonts w:ascii="Arial" w:eastAsiaTheme="minorHAnsi" w:hAnsi="Arial" w:cs="Arial"/>
          <w:szCs w:val="24"/>
          <w:lang w:val="es-MX"/>
        </w:rPr>
        <w:t>evidencia relativa al ejercicio 2016 que permite comprobar que el Instituto ya implementó</w:t>
      </w:r>
      <w:r>
        <w:rPr>
          <w:rFonts w:ascii="Arial" w:eastAsiaTheme="minorHAnsi" w:hAnsi="Arial" w:cs="Arial"/>
          <w:szCs w:val="24"/>
          <w:lang w:val="es-MX"/>
        </w:rPr>
        <w:t xml:space="preserve"> </w:t>
      </w:r>
      <w:r w:rsidRPr="003A4C71">
        <w:rPr>
          <w:rFonts w:ascii="Arial" w:eastAsiaTheme="minorHAnsi" w:hAnsi="Arial" w:cs="Arial"/>
          <w:szCs w:val="24"/>
          <w:lang w:val="es-MX"/>
        </w:rPr>
        <w:t xml:space="preserve">un sistema contable de acuerdo a las disposiciones establecidas en la Ley </w:t>
      </w:r>
      <w:r w:rsidRPr="003A4C71">
        <w:rPr>
          <w:rFonts w:ascii="Arial" w:eastAsiaTheme="minorHAnsi" w:hAnsi="Arial" w:cs="Arial"/>
          <w:szCs w:val="24"/>
          <w:lang w:val="es-MX"/>
        </w:rPr>
        <w:lastRenderedPageBreak/>
        <w:t>General de</w:t>
      </w:r>
      <w:r>
        <w:rPr>
          <w:rFonts w:ascii="Arial" w:eastAsiaTheme="minorHAnsi" w:hAnsi="Arial" w:cs="Arial"/>
          <w:szCs w:val="24"/>
          <w:lang w:val="es-MX"/>
        </w:rPr>
        <w:t xml:space="preserve"> </w:t>
      </w:r>
      <w:r w:rsidRPr="003A4C71">
        <w:rPr>
          <w:rFonts w:ascii="Arial" w:eastAsiaTheme="minorHAnsi" w:hAnsi="Arial" w:cs="Arial"/>
          <w:szCs w:val="24"/>
          <w:lang w:val="es-MX"/>
        </w:rPr>
        <w:t>Contabilidad Gubernamental; no desvirtúan el incumplimiento a los fundamentos señalados</w:t>
      </w:r>
      <w:r>
        <w:rPr>
          <w:rFonts w:ascii="Arial" w:eastAsiaTheme="minorHAnsi" w:hAnsi="Arial" w:cs="Arial"/>
          <w:szCs w:val="24"/>
          <w:lang w:val="es-MX"/>
        </w:rPr>
        <w:t xml:space="preserve"> </w:t>
      </w:r>
      <w:r w:rsidRPr="003A4C71">
        <w:rPr>
          <w:rFonts w:ascii="Arial" w:eastAsiaTheme="minorHAnsi" w:hAnsi="Arial" w:cs="Arial"/>
          <w:szCs w:val="24"/>
          <w:lang w:val="es-MX"/>
        </w:rPr>
        <w:t>en relación al ejercicio 2015.</w:t>
      </w:r>
    </w:p>
    <w:p w:rsidR="003A4C71" w:rsidRPr="003A4C71" w:rsidRDefault="003A4C71" w:rsidP="003A4C71">
      <w:pPr>
        <w:autoSpaceDE w:val="0"/>
        <w:autoSpaceDN w:val="0"/>
        <w:adjustRightInd w:val="0"/>
        <w:spacing w:after="0" w:line="360" w:lineRule="auto"/>
        <w:jc w:val="both"/>
        <w:rPr>
          <w:rFonts w:ascii="Arial" w:eastAsiaTheme="minorHAnsi" w:hAnsi="Arial" w:cs="Arial"/>
          <w:b/>
          <w:bCs/>
          <w:szCs w:val="24"/>
          <w:lang w:val="es-MX"/>
        </w:rPr>
      </w:pPr>
      <w:r w:rsidRPr="003A4C71">
        <w:rPr>
          <w:rFonts w:ascii="Arial" w:eastAsiaTheme="minorHAnsi" w:hAnsi="Arial" w:cs="Arial"/>
          <w:b/>
          <w:bCs/>
          <w:szCs w:val="24"/>
          <w:lang w:val="es-MX"/>
        </w:rPr>
        <w:t>Acción(es) o recomendación(es) emitida(s)</w:t>
      </w:r>
    </w:p>
    <w:p w:rsidR="003A4C71" w:rsidRPr="003A4C71" w:rsidRDefault="003A4C71" w:rsidP="003A4C71">
      <w:pPr>
        <w:autoSpaceDE w:val="0"/>
        <w:autoSpaceDN w:val="0"/>
        <w:adjustRightInd w:val="0"/>
        <w:spacing w:after="0" w:line="360" w:lineRule="auto"/>
        <w:jc w:val="both"/>
        <w:rPr>
          <w:rFonts w:ascii="Arial" w:eastAsiaTheme="minorHAnsi" w:hAnsi="Arial" w:cs="Arial"/>
          <w:sz w:val="18"/>
          <w:szCs w:val="24"/>
          <w:lang w:val="es-MX"/>
        </w:rPr>
      </w:pPr>
      <w:r w:rsidRPr="003A4C71">
        <w:rPr>
          <w:rFonts w:ascii="Arial" w:eastAsiaTheme="minorHAnsi" w:hAnsi="Arial" w:cs="Arial"/>
          <w:i/>
          <w:iCs/>
          <w:szCs w:val="24"/>
          <w:lang w:val="es-MX"/>
        </w:rPr>
        <w:t>Promoción de Intervención de la Instancia de Control Competente.</w:t>
      </w:r>
    </w:p>
    <w:p w:rsidR="003A4C71" w:rsidRDefault="003A4C71" w:rsidP="00744D70">
      <w:pPr>
        <w:spacing w:after="0" w:line="360" w:lineRule="auto"/>
        <w:ind w:firstLine="708"/>
        <w:jc w:val="both"/>
        <w:rPr>
          <w:rFonts w:ascii="Arial" w:hAnsi="Arial" w:cs="Arial"/>
          <w:b/>
          <w:lang w:val="es-MX"/>
        </w:rPr>
      </w:pPr>
    </w:p>
    <w:p w:rsidR="003A4C71" w:rsidRPr="003A4C71" w:rsidRDefault="003A4C71" w:rsidP="003A4C71">
      <w:pPr>
        <w:autoSpaceDE w:val="0"/>
        <w:autoSpaceDN w:val="0"/>
        <w:adjustRightInd w:val="0"/>
        <w:spacing w:after="0" w:line="360" w:lineRule="auto"/>
        <w:jc w:val="both"/>
        <w:rPr>
          <w:rFonts w:ascii="Arial" w:eastAsiaTheme="minorHAnsi" w:hAnsi="Arial" w:cs="Arial"/>
          <w:b/>
          <w:bCs/>
          <w:szCs w:val="24"/>
          <w:lang w:val="es-MX"/>
        </w:rPr>
      </w:pPr>
      <w:r w:rsidRPr="003A4C71">
        <w:rPr>
          <w:rFonts w:ascii="Arial" w:eastAsiaTheme="minorHAnsi" w:hAnsi="Arial" w:cs="Arial"/>
          <w:b/>
          <w:bCs/>
          <w:szCs w:val="24"/>
          <w:lang w:val="es-MX"/>
        </w:rPr>
        <w:t>EGRESOS</w:t>
      </w:r>
    </w:p>
    <w:p w:rsidR="003A4C71" w:rsidRPr="003A4C71" w:rsidRDefault="003A4C71" w:rsidP="003A4C71">
      <w:pPr>
        <w:autoSpaceDE w:val="0"/>
        <w:autoSpaceDN w:val="0"/>
        <w:adjustRightInd w:val="0"/>
        <w:spacing w:after="0" w:line="360" w:lineRule="auto"/>
        <w:jc w:val="both"/>
        <w:rPr>
          <w:rFonts w:ascii="Arial" w:eastAsiaTheme="minorHAnsi" w:hAnsi="Arial" w:cs="Arial"/>
          <w:b/>
          <w:bCs/>
          <w:szCs w:val="24"/>
          <w:lang w:val="es-MX"/>
        </w:rPr>
      </w:pPr>
      <w:r w:rsidRPr="003A4C71">
        <w:rPr>
          <w:rFonts w:ascii="Arial" w:eastAsiaTheme="minorHAnsi" w:hAnsi="Arial" w:cs="Arial"/>
          <w:b/>
          <w:bCs/>
          <w:szCs w:val="24"/>
          <w:lang w:val="es-MX"/>
        </w:rPr>
        <w:t>GENERAL</w:t>
      </w:r>
    </w:p>
    <w:p w:rsidR="003A4C71" w:rsidRDefault="003A4C71" w:rsidP="003A4C71">
      <w:pPr>
        <w:autoSpaceDE w:val="0"/>
        <w:autoSpaceDN w:val="0"/>
        <w:adjustRightInd w:val="0"/>
        <w:spacing w:after="0" w:line="360" w:lineRule="auto"/>
        <w:jc w:val="both"/>
        <w:rPr>
          <w:rFonts w:ascii="Arial" w:eastAsiaTheme="minorHAnsi" w:hAnsi="Arial" w:cs="Arial"/>
          <w:szCs w:val="24"/>
          <w:lang w:val="es-MX"/>
        </w:rPr>
      </w:pPr>
    </w:p>
    <w:p w:rsidR="003A4C71" w:rsidRPr="003A4C71" w:rsidRDefault="003A4C71" w:rsidP="003A4C71">
      <w:pPr>
        <w:autoSpaceDE w:val="0"/>
        <w:autoSpaceDN w:val="0"/>
        <w:adjustRightInd w:val="0"/>
        <w:spacing w:after="0" w:line="360" w:lineRule="auto"/>
        <w:ind w:firstLine="709"/>
        <w:jc w:val="both"/>
        <w:rPr>
          <w:rFonts w:ascii="Arial" w:hAnsi="Arial" w:cs="Arial"/>
          <w:b/>
          <w:sz w:val="20"/>
          <w:lang w:val="es-MX"/>
        </w:rPr>
      </w:pPr>
      <w:r w:rsidRPr="003A4C71">
        <w:rPr>
          <w:rFonts w:ascii="Arial" w:eastAsiaTheme="minorHAnsi" w:hAnsi="Arial" w:cs="Arial"/>
          <w:szCs w:val="24"/>
          <w:lang w:val="es-MX"/>
        </w:rPr>
        <w:t>2. Durante el proceso de la auditoría, se aplicó el cuestionario de control interno a la Titular del</w:t>
      </w:r>
      <w:r>
        <w:rPr>
          <w:rFonts w:ascii="Arial" w:eastAsiaTheme="minorHAnsi" w:hAnsi="Arial" w:cs="Arial"/>
          <w:szCs w:val="24"/>
          <w:lang w:val="es-MX"/>
        </w:rPr>
        <w:t xml:space="preserve"> </w:t>
      </w:r>
      <w:r w:rsidRPr="003A4C71">
        <w:rPr>
          <w:rFonts w:ascii="Arial" w:eastAsiaTheme="minorHAnsi" w:hAnsi="Arial" w:cs="Arial"/>
          <w:szCs w:val="24"/>
          <w:lang w:val="es-MX"/>
        </w:rPr>
        <w:t>Ente sobre el manejo de los egresos en relación con las cuentas bancarias, advirtiendo en</w:t>
      </w:r>
      <w:r>
        <w:rPr>
          <w:rFonts w:ascii="Arial" w:eastAsiaTheme="minorHAnsi" w:hAnsi="Arial" w:cs="Arial"/>
          <w:szCs w:val="24"/>
          <w:lang w:val="es-MX"/>
        </w:rPr>
        <w:t xml:space="preserve"> </w:t>
      </w:r>
      <w:r w:rsidRPr="003A4C71">
        <w:rPr>
          <w:rFonts w:ascii="Arial" w:eastAsiaTheme="minorHAnsi" w:hAnsi="Arial" w:cs="Arial"/>
          <w:szCs w:val="24"/>
          <w:lang w:val="es-MX"/>
        </w:rPr>
        <w:t>las repuestas manifestadas que los cheques se autorizan únicamente por dicha funcionaria</w:t>
      </w:r>
      <w:r>
        <w:rPr>
          <w:rFonts w:ascii="Arial" w:eastAsiaTheme="minorHAnsi" w:hAnsi="Arial" w:cs="Arial"/>
          <w:szCs w:val="24"/>
          <w:lang w:val="es-MX"/>
        </w:rPr>
        <w:t xml:space="preserve"> </w:t>
      </w:r>
      <w:r w:rsidRPr="003A4C71">
        <w:rPr>
          <w:rFonts w:ascii="Arial" w:eastAsiaTheme="minorHAnsi" w:hAnsi="Arial" w:cs="Arial"/>
          <w:szCs w:val="24"/>
          <w:lang w:val="es-MX"/>
        </w:rPr>
        <w:t>sin contar como medio de control, la medida de la autorización mancomunada para realizar</w:t>
      </w:r>
      <w:r>
        <w:rPr>
          <w:rFonts w:ascii="Arial" w:eastAsiaTheme="minorHAnsi" w:hAnsi="Arial" w:cs="Arial"/>
          <w:szCs w:val="24"/>
          <w:lang w:val="es-MX"/>
        </w:rPr>
        <w:t xml:space="preserve"> </w:t>
      </w:r>
      <w:r w:rsidRPr="003A4C71">
        <w:rPr>
          <w:rFonts w:ascii="Arial" w:eastAsiaTheme="minorHAnsi" w:hAnsi="Arial" w:cs="Arial"/>
          <w:szCs w:val="24"/>
          <w:lang w:val="es-MX"/>
        </w:rPr>
        <w:t>dichos movimientos.</w:t>
      </w:r>
    </w:p>
    <w:p w:rsidR="003A4C71" w:rsidRDefault="003A4C71" w:rsidP="00744D70">
      <w:pPr>
        <w:spacing w:after="0" w:line="360" w:lineRule="auto"/>
        <w:ind w:firstLine="708"/>
        <w:jc w:val="both"/>
        <w:rPr>
          <w:rFonts w:ascii="Arial" w:hAnsi="Arial" w:cs="Arial"/>
          <w:b/>
          <w:lang w:val="es-MX"/>
        </w:rPr>
      </w:pPr>
    </w:p>
    <w:p w:rsidR="003A4C71" w:rsidRPr="003A4C71" w:rsidRDefault="003A4C71" w:rsidP="003A4C71">
      <w:pPr>
        <w:autoSpaceDE w:val="0"/>
        <w:autoSpaceDN w:val="0"/>
        <w:adjustRightInd w:val="0"/>
        <w:spacing w:after="0" w:line="360" w:lineRule="auto"/>
        <w:jc w:val="both"/>
        <w:rPr>
          <w:rFonts w:ascii="Arial" w:eastAsiaTheme="minorHAnsi" w:hAnsi="Arial" w:cs="Arial"/>
          <w:b/>
          <w:bCs/>
          <w:szCs w:val="24"/>
          <w:lang w:val="es-MX"/>
        </w:rPr>
      </w:pPr>
      <w:r w:rsidRPr="003A4C71">
        <w:rPr>
          <w:rFonts w:ascii="Arial" w:eastAsiaTheme="minorHAnsi" w:hAnsi="Arial" w:cs="Arial"/>
          <w:b/>
          <w:bCs/>
          <w:szCs w:val="24"/>
          <w:lang w:val="es-MX"/>
        </w:rPr>
        <w:t>Análisis de la Auditoría Superior del Estado</w:t>
      </w:r>
    </w:p>
    <w:p w:rsidR="003A4C71" w:rsidRPr="003A4C71" w:rsidRDefault="003A4C71" w:rsidP="003A4C71">
      <w:pPr>
        <w:autoSpaceDE w:val="0"/>
        <w:autoSpaceDN w:val="0"/>
        <w:adjustRightInd w:val="0"/>
        <w:spacing w:after="0" w:line="360" w:lineRule="auto"/>
        <w:jc w:val="both"/>
        <w:rPr>
          <w:rFonts w:ascii="Arial" w:eastAsiaTheme="minorHAnsi" w:hAnsi="Arial" w:cs="Arial"/>
          <w:szCs w:val="24"/>
          <w:lang w:val="es-MX"/>
        </w:rPr>
      </w:pPr>
      <w:r w:rsidRPr="003A4C71">
        <w:rPr>
          <w:rFonts w:ascii="Arial" w:eastAsiaTheme="minorHAnsi" w:hAnsi="Arial" w:cs="Arial"/>
          <w:szCs w:val="24"/>
          <w:lang w:val="es-MX"/>
        </w:rPr>
        <w:t>Se analizó la documentación y aclaración presentada por el Ente Público y el Extitular, la</w:t>
      </w:r>
      <w:r>
        <w:rPr>
          <w:rFonts w:ascii="Arial" w:eastAsiaTheme="minorHAnsi" w:hAnsi="Arial" w:cs="Arial"/>
          <w:szCs w:val="24"/>
          <w:lang w:val="es-MX"/>
        </w:rPr>
        <w:t xml:space="preserve"> </w:t>
      </w:r>
      <w:r w:rsidRPr="003A4C71">
        <w:rPr>
          <w:rFonts w:ascii="Arial" w:eastAsiaTheme="minorHAnsi" w:hAnsi="Arial" w:cs="Arial"/>
          <w:szCs w:val="24"/>
          <w:lang w:val="es-MX"/>
        </w:rPr>
        <w:t>cual no solventa la observación de control interno debido a que se anexa en copia certificada</w:t>
      </w:r>
      <w:r>
        <w:rPr>
          <w:rFonts w:ascii="Arial" w:eastAsiaTheme="minorHAnsi" w:hAnsi="Arial" w:cs="Arial"/>
          <w:szCs w:val="24"/>
          <w:lang w:val="es-MX"/>
        </w:rPr>
        <w:t xml:space="preserve"> </w:t>
      </w:r>
      <w:r w:rsidRPr="003A4C71">
        <w:rPr>
          <w:rFonts w:ascii="Arial" w:eastAsiaTheme="minorHAnsi" w:hAnsi="Arial" w:cs="Arial"/>
          <w:szCs w:val="24"/>
          <w:lang w:val="es-MX"/>
        </w:rPr>
        <w:t>el Oficio No. IMJ0376/2016 dirigido a la Institución Bancaria Afirme solicitando se les apoye</w:t>
      </w:r>
      <w:r>
        <w:rPr>
          <w:rFonts w:ascii="Arial" w:eastAsiaTheme="minorHAnsi" w:hAnsi="Arial" w:cs="Arial"/>
          <w:szCs w:val="24"/>
          <w:lang w:val="es-MX"/>
        </w:rPr>
        <w:t xml:space="preserve"> </w:t>
      </w:r>
      <w:r w:rsidRPr="003A4C71">
        <w:rPr>
          <w:rFonts w:ascii="Arial" w:eastAsiaTheme="minorHAnsi" w:hAnsi="Arial" w:cs="Arial"/>
          <w:szCs w:val="24"/>
          <w:lang w:val="es-MX"/>
        </w:rPr>
        <w:t>para mancomunar la cuenta con el Coordinador Administrativo del Instituto; sin embargo no</w:t>
      </w:r>
      <w:r>
        <w:rPr>
          <w:rFonts w:ascii="Arial" w:eastAsiaTheme="minorHAnsi" w:hAnsi="Arial" w:cs="Arial"/>
          <w:szCs w:val="24"/>
          <w:lang w:val="es-MX"/>
        </w:rPr>
        <w:t xml:space="preserve"> </w:t>
      </w:r>
      <w:r w:rsidRPr="003A4C71">
        <w:rPr>
          <w:rFonts w:ascii="Arial" w:eastAsiaTheme="minorHAnsi" w:hAnsi="Arial" w:cs="Arial"/>
          <w:szCs w:val="24"/>
          <w:lang w:val="es-MX"/>
        </w:rPr>
        <w:t>se anexa evidencia documental que demuestre que dicha solicitud se haya llevado a cabo;</w:t>
      </w:r>
      <w:r>
        <w:rPr>
          <w:rFonts w:ascii="Arial" w:eastAsiaTheme="minorHAnsi" w:hAnsi="Arial" w:cs="Arial"/>
          <w:szCs w:val="24"/>
          <w:lang w:val="es-MX"/>
        </w:rPr>
        <w:t xml:space="preserve"> </w:t>
      </w:r>
      <w:r w:rsidRPr="003A4C71">
        <w:rPr>
          <w:rFonts w:ascii="Arial" w:eastAsiaTheme="minorHAnsi" w:hAnsi="Arial" w:cs="Arial"/>
          <w:szCs w:val="24"/>
          <w:lang w:val="es-MX"/>
        </w:rPr>
        <w:t>por lo que se le dará seguimiento en la revisión de la Cuenta Pública del ejercicio 2016.</w:t>
      </w:r>
    </w:p>
    <w:p w:rsidR="003A4C71" w:rsidRPr="003A4C71" w:rsidRDefault="003A4C71" w:rsidP="003A4C71">
      <w:pPr>
        <w:autoSpaceDE w:val="0"/>
        <w:autoSpaceDN w:val="0"/>
        <w:adjustRightInd w:val="0"/>
        <w:spacing w:after="0" w:line="360" w:lineRule="auto"/>
        <w:jc w:val="both"/>
        <w:rPr>
          <w:rFonts w:ascii="Arial" w:eastAsiaTheme="minorHAnsi" w:hAnsi="Arial" w:cs="Arial"/>
          <w:b/>
          <w:bCs/>
          <w:szCs w:val="24"/>
          <w:lang w:val="es-MX"/>
        </w:rPr>
      </w:pPr>
      <w:r w:rsidRPr="003A4C71">
        <w:rPr>
          <w:rFonts w:ascii="Arial" w:eastAsiaTheme="minorHAnsi" w:hAnsi="Arial" w:cs="Arial"/>
          <w:b/>
          <w:bCs/>
          <w:szCs w:val="24"/>
          <w:lang w:val="es-MX"/>
        </w:rPr>
        <w:t>Acción(es) o recomendación(es) emitida(s)</w:t>
      </w:r>
    </w:p>
    <w:p w:rsidR="003A4C71" w:rsidRPr="003A4C71" w:rsidRDefault="003A4C71" w:rsidP="003A4C71">
      <w:pPr>
        <w:autoSpaceDE w:val="0"/>
        <w:autoSpaceDN w:val="0"/>
        <w:adjustRightInd w:val="0"/>
        <w:spacing w:after="0" w:line="360" w:lineRule="auto"/>
        <w:jc w:val="both"/>
        <w:rPr>
          <w:rFonts w:ascii="Arial" w:eastAsiaTheme="minorHAnsi" w:hAnsi="Arial" w:cs="Arial"/>
          <w:i/>
          <w:iCs/>
          <w:szCs w:val="24"/>
          <w:lang w:val="es-MX"/>
        </w:rPr>
      </w:pPr>
      <w:r w:rsidRPr="003A4C71">
        <w:rPr>
          <w:rFonts w:ascii="Arial" w:eastAsiaTheme="minorHAnsi" w:hAnsi="Arial" w:cs="Arial"/>
          <w:i/>
          <w:iCs/>
          <w:szCs w:val="24"/>
          <w:lang w:val="es-MX"/>
        </w:rPr>
        <w:t>Recomendaciones en Relación a la Gestión o Control Interno.</w:t>
      </w:r>
    </w:p>
    <w:p w:rsidR="003A4C71" w:rsidRPr="003A4C71" w:rsidRDefault="003A4C71" w:rsidP="003A4C71">
      <w:pPr>
        <w:autoSpaceDE w:val="0"/>
        <w:autoSpaceDN w:val="0"/>
        <w:adjustRightInd w:val="0"/>
        <w:spacing w:after="0" w:line="360" w:lineRule="auto"/>
        <w:jc w:val="both"/>
        <w:rPr>
          <w:rFonts w:ascii="Arial" w:eastAsiaTheme="minorHAnsi" w:hAnsi="Arial" w:cs="Arial"/>
          <w:szCs w:val="24"/>
          <w:lang w:val="es-MX"/>
        </w:rPr>
      </w:pPr>
      <w:r w:rsidRPr="003A4C71">
        <w:rPr>
          <w:rFonts w:ascii="Arial" w:eastAsiaTheme="minorHAnsi" w:hAnsi="Arial" w:cs="Arial"/>
          <w:szCs w:val="24"/>
          <w:lang w:val="es-MX"/>
        </w:rPr>
        <w:t>Establecer como procedimiento de control para el manejo de las cuentas bancarias que las</w:t>
      </w:r>
      <w:r>
        <w:rPr>
          <w:rFonts w:ascii="Arial" w:eastAsiaTheme="minorHAnsi" w:hAnsi="Arial" w:cs="Arial"/>
          <w:szCs w:val="24"/>
          <w:lang w:val="es-MX"/>
        </w:rPr>
        <w:t xml:space="preserve"> </w:t>
      </w:r>
      <w:r w:rsidRPr="003A4C71">
        <w:rPr>
          <w:rFonts w:ascii="Arial" w:eastAsiaTheme="minorHAnsi" w:hAnsi="Arial" w:cs="Arial"/>
          <w:szCs w:val="24"/>
          <w:lang w:val="es-MX"/>
        </w:rPr>
        <w:t>firmas de las mismas sean en forma mancomunada.</w:t>
      </w:r>
    </w:p>
    <w:p w:rsidR="003A4C71" w:rsidRDefault="003A4C71" w:rsidP="003A4C71">
      <w:pPr>
        <w:autoSpaceDE w:val="0"/>
        <w:autoSpaceDN w:val="0"/>
        <w:adjustRightInd w:val="0"/>
        <w:spacing w:after="0" w:line="360" w:lineRule="auto"/>
        <w:ind w:firstLine="709"/>
        <w:jc w:val="both"/>
        <w:rPr>
          <w:rFonts w:ascii="Arial" w:eastAsiaTheme="minorHAnsi" w:hAnsi="Arial" w:cs="Arial"/>
          <w:szCs w:val="24"/>
          <w:lang w:val="es-MX"/>
        </w:rPr>
      </w:pPr>
      <w:r w:rsidRPr="003A4C71">
        <w:rPr>
          <w:rFonts w:ascii="Arial" w:eastAsiaTheme="minorHAnsi" w:hAnsi="Arial" w:cs="Arial"/>
          <w:szCs w:val="24"/>
          <w:lang w:val="es-MX"/>
        </w:rPr>
        <w:lastRenderedPageBreak/>
        <w:t>3. Se registraron pólizas de cheque por $20,880.00 a nombre del C. Juan Francisco Castro</w:t>
      </w:r>
      <w:r>
        <w:rPr>
          <w:rFonts w:ascii="Arial" w:eastAsiaTheme="minorHAnsi" w:hAnsi="Arial" w:cs="Arial"/>
          <w:szCs w:val="24"/>
          <w:lang w:val="es-MX"/>
        </w:rPr>
        <w:t xml:space="preserve"> </w:t>
      </w:r>
      <w:r w:rsidRPr="003A4C71">
        <w:rPr>
          <w:rFonts w:ascii="Arial" w:eastAsiaTheme="minorHAnsi" w:hAnsi="Arial" w:cs="Arial"/>
          <w:szCs w:val="24"/>
          <w:lang w:val="es-MX"/>
        </w:rPr>
        <w:t>Cruz por concepto de servicios profesionales de mantenimiento de la página web del</w:t>
      </w:r>
      <w:r>
        <w:rPr>
          <w:rFonts w:ascii="Arial" w:eastAsiaTheme="minorHAnsi" w:hAnsi="Arial" w:cs="Arial"/>
          <w:szCs w:val="24"/>
          <w:lang w:val="es-MX"/>
        </w:rPr>
        <w:t xml:space="preserve"> </w:t>
      </w:r>
      <w:r w:rsidRPr="003A4C71">
        <w:rPr>
          <w:rFonts w:ascii="Arial" w:eastAsiaTheme="minorHAnsi" w:hAnsi="Arial" w:cs="Arial"/>
          <w:szCs w:val="24"/>
          <w:lang w:val="es-MX"/>
        </w:rPr>
        <w:t>Instituto, observando que dicho importe se registró contablemente en diferentes cuentas,</w:t>
      </w:r>
      <w:r>
        <w:rPr>
          <w:rFonts w:ascii="Arial" w:eastAsiaTheme="minorHAnsi" w:hAnsi="Arial" w:cs="Arial"/>
          <w:szCs w:val="24"/>
          <w:lang w:val="es-MX"/>
        </w:rPr>
        <w:t xml:space="preserve"> </w:t>
      </w:r>
      <w:r w:rsidRPr="003A4C71">
        <w:rPr>
          <w:rFonts w:ascii="Arial" w:eastAsiaTheme="minorHAnsi" w:hAnsi="Arial" w:cs="Arial"/>
          <w:szCs w:val="24"/>
          <w:lang w:val="es-MX"/>
        </w:rPr>
        <w:t>incumpliendo los Postulados básicos de contabilidad gubernamental emitidos por el Consejo</w:t>
      </w:r>
      <w:r>
        <w:rPr>
          <w:rFonts w:ascii="Arial" w:eastAsiaTheme="minorHAnsi" w:hAnsi="Arial" w:cs="Arial"/>
          <w:szCs w:val="24"/>
          <w:lang w:val="es-MX"/>
        </w:rPr>
        <w:t xml:space="preserve"> </w:t>
      </w:r>
      <w:r w:rsidRPr="003A4C71">
        <w:rPr>
          <w:rFonts w:ascii="Arial" w:eastAsiaTheme="minorHAnsi" w:hAnsi="Arial" w:cs="Arial"/>
          <w:szCs w:val="24"/>
          <w:lang w:val="es-MX"/>
        </w:rPr>
        <w:t>Nacional de Armonización Contable, de aplicación obligatoria para los entes públicos por</w:t>
      </w:r>
      <w:r>
        <w:rPr>
          <w:rFonts w:ascii="Arial" w:eastAsiaTheme="minorHAnsi" w:hAnsi="Arial" w:cs="Arial"/>
          <w:szCs w:val="24"/>
          <w:lang w:val="es-MX"/>
        </w:rPr>
        <w:t xml:space="preserve"> </w:t>
      </w:r>
      <w:r w:rsidRPr="003A4C71">
        <w:rPr>
          <w:rFonts w:ascii="Arial" w:eastAsiaTheme="minorHAnsi" w:hAnsi="Arial" w:cs="Arial"/>
          <w:szCs w:val="24"/>
          <w:lang w:val="es-MX"/>
        </w:rPr>
        <w:t>disposición del artículo 7 de la Ley General de Contabilidad Gubernamental, las cuales se</w:t>
      </w:r>
      <w:r>
        <w:rPr>
          <w:rFonts w:ascii="Arial" w:eastAsiaTheme="minorHAnsi" w:hAnsi="Arial" w:cs="Arial"/>
          <w:szCs w:val="24"/>
          <w:lang w:val="es-MX"/>
        </w:rPr>
        <w:t xml:space="preserve"> </w:t>
      </w:r>
      <w:r w:rsidRPr="003A4C71">
        <w:rPr>
          <w:rFonts w:ascii="Arial" w:eastAsiaTheme="minorHAnsi" w:hAnsi="Arial" w:cs="Arial"/>
          <w:szCs w:val="24"/>
          <w:lang w:val="es-MX"/>
        </w:rPr>
        <w:t>detallan a continuación:</w:t>
      </w:r>
    </w:p>
    <w:p w:rsidR="003A4C71" w:rsidRPr="003A4C71" w:rsidRDefault="003A4C71" w:rsidP="003A4C71">
      <w:pPr>
        <w:autoSpaceDE w:val="0"/>
        <w:autoSpaceDN w:val="0"/>
        <w:adjustRightInd w:val="0"/>
        <w:spacing w:after="0" w:line="360" w:lineRule="auto"/>
        <w:ind w:firstLine="709"/>
        <w:jc w:val="both"/>
        <w:rPr>
          <w:rFonts w:ascii="Arial" w:hAnsi="Arial" w:cs="Arial"/>
          <w:b/>
          <w:sz w:val="20"/>
          <w:lang w:val="es-MX"/>
        </w:rPr>
      </w:pPr>
    </w:p>
    <w:tbl>
      <w:tblPr>
        <w:tblW w:w="4455" w:type="pct"/>
        <w:tblCellSpacing w:w="15" w:type="dxa"/>
        <w:tblCellMar>
          <w:top w:w="15" w:type="dxa"/>
          <w:left w:w="15" w:type="dxa"/>
          <w:bottom w:w="15" w:type="dxa"/>
          <w:right w:w="15" w:type="dxa"/>
        </w:tblCellMar>
        <w:tblLook w:val="04A0" w:firstRow="1" w:lastRow="0" w:firstColumn="1" w:lastColumn="0" w:noHBand="0" w:noVBand="1"/>
      </w:tblPr>
      <w:tblGrid>
        <w:gridCol w:w="2273"/>
        <w:gridCol w:w="861"/>
        <w:gridCol w:w="1226"/>
        <w:gridCol w:w="2108"/>
        <w:gridCol w:w="149"/>
        <w:gridCol w:w="804"/>
      </w:tblGrid>
      <w:tr w:rsidR="00BF1C77" w:rsidRPr="003A4C71" w:rsidTr="00BF1C77">
        <w:trPr>
          <w:trHeight w:val="300"/>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b/>
                <w:sz w:val="16"/>
                <w:szCs w:val="16"/>
                <w:u w:val="single"/>
                <w:lang w:val="es-MX" w:eastAsia="es-MX"/>
              </w:rPr>
            </w:pPr>
            <w:r w:rsidRPr="003A4C71">
              <w:rPr>
                <w:rFonts w:ascii="Arial" w:hAnsi="Arial" w:cs="Arial"/>
                <w:b/>
                <w:sz w:val="16"/>
                <w:szCs w:val="16"/>
                <w:u w:val="single"/>
                <w:lang w:val="es-MX" w:eastAsia="es-MX"/>
              </w:rPr>
              <w:t>CUENTA</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b/>
                <w:sz w:val="16"/>
                <w:szCs w:val="16"/>
                <w:u w:val="single"/>
                <w:lang w:val="es-MX" w:eastAsia="es-MX"/>
              </w:rPr>
            </w:pPr>
            <w:r w:rsidRPr="003A4C71">
              <w:rPr>
                <w:rFonts w:ascii="Arial" w:hAnsi="Arial" w:cs="Arial"/>
                <w:b/>
                <w:sz w:val="16"/>
                <w:szCs w:val="16"/>
                <w:u w:val="single"/>
                <w:lang w:val="es-MX" w:eastAsia="es-MX"/>
              </w:rPr>
              <w:t>FECHA</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b/>
                <w:sz w:val="16"/>
                <w:szCs w:val="16"/>
                <w:u w:val="single"/>
                <w:lang w:val="es-MX" w:eastAsia="es-MX"/>
              </w:rPr>
            </w:pPr>
            <w:r w:rsidRPr="003A4C71">
              <w:rPr>
                <w:rFonts w:ascii="Arial" w:hAnsi="Arial" w:cs="Arial"/>
                <w:b/>
                <w:sz w:val="16"/>
                <w:szCs w:val="16"/>
                <w:u w:val="single"/>
                <w:lang w:val="es-MX" w:eastAsia="es-MX"/>
              </w:rPr>
              <w:t>PÓLIZA CHEQUE</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b/>
                <w:sz w:val="16"/>
                <w:szCs w:val="16"/>
                <w:u w:val="single"/>
                <w:lang w:val="es-MX" w:eastAsia="es-MX"/>
              </w:rPr>
            </w:pPr>
            <w:r w:rsidRPr="003A4C71">
              <w:rPr>
                <w:rFonts w:ascii="Arial" w:hAnsi="Arial" w:cs="Arial"/>
                <w:b/>
                <w:sz w:val="16"/>
                <w:szCs w:val="16"/>
                <w:u w:val="single"/>
                <w:lang w:val="es-MX" w:eastAsia="es-MX"/>
              </w:rPr>
              <w:t>MES DEL SERVICIO</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b/>
                <w:sz w:val="16"/>
                <w:szCs w:val="16"/>
                <w:u w:val="single"/>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b/>
                <w:sz w:val="16"/>
                <w:szCs w:val="16"/>
                <w:u w:val="single"/>
                <w:lang w:val="es-MX" w:eastAsia="es-MX"/>
              </w:rPr>
            </w:pPr>
            <w:r w:rsidRPr="003A4C71">
              <w:rPr>
                <w:rFonts w:ascii="Arial" w:hAnsi="Arial" w:cs="Arial"/>
                <w:b/>
                <w:sz w:val="16"/>
                <w:szCs w:val="16"/>
                <w:u w:val="single"/>
                <w:lang w:val="es-MX" w:eastAsia="es-MX"/>
              </w:rPr>
              <w:t>IMPORTE</w:t>
            </w:r>
          </w:p>
        </w:tc>
      </w:tr>
      <w:tr w:rsidR="00BF1C77" w:rsidRPr="003A4C71" w:rsidTr="00BF1C77">
        <w:trPr>
          <w:trHeight w:val="300"/>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Programa Consiente de ti</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19/05/2015</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780</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Abril</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1,740.00</w:t>
            </w:r>
          </w:p>
        </w:tc>
      </w:tr>
      <w:tr w:rsidR="00BF1C77" w:rsidRPr="003A4C71" w:rsidTr="00BF1C77">
        <w:trPr>
          <w:trHeight w:val="300"/>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Programa Rindiendo cuentas</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18/05/2015</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783</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Marzo</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1,740.00</w:t>
            </w:r>
          </w:p>
        </w:tc>
      </w:tr>
      <w:tr w:rsidR="00BF1C77" w:rsidRPr="003A4C71" w:rsidTr="00BF1C77">
        <w:trPr>
          <w:trHeight w:val="300"/>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Programa Rindiendo cuentas</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24/06/2015</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817</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Febrero</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1,740.00</w:t>
            </w:r>
          </w:p>
        </w:tc>
      </w:tr>
      <w:tr w:rsidR="00BF1C77" w:rsidRPr="003A4C71" w:rsidTr="00BF1C77">
        <w:trPr>
          <w:trHeight w:val="300"/>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Programa Rindiendo cuentas</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25/08/2015</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836</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Junio</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1,740.00</w:t>
            </w:r>
          </w:p>
        </w:tc>
      </w:tr>
      <w:tr w:rsidR="00BF1C77" w:rsidRPr="003A4C71" w:rsidTr="00BF1C77">
        <w:trPr>
          <w:trHeight w:val="300"/>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Programas asesorías ingresos UANL</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24/06/2015</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811</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Mayo</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1,740.00</w:t>
            </w:r>
          </w:p>
        </w:tc>
      </w:tr>
      <w:tr w:rsidR="00BF1C77" w:rsidRPr="003A4C71" w:rsidTr="00BF1C77">
        <w:trPr>
          <w:trHeight w:val="300"/>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Página Web</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31/01/2015</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737</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Enero</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1,740.00</w:t>
            </w:r>
          </w:p>
        </w:tc>
      </w:tr>
      <w:tr w:rsidR="00BF1C77" w:rsidRPr="003A4C71" w:rsidTr="00BF1C77">
        <w:trPr>
          <w:trHeight w:val="300"/>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Página Web</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18/09/2015</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843</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Julio y Agosto</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3,480.00</w:t>
            </w:r>
          </w:p>
        </w:tc>
      </w:tr>
      <w:tr w:rsidR="00BF1C77" w:rsidRPr="003A4C71" w:rsidTr="00BF1C77">
        <w:trPr>
          <w:trHeight w:val="185"/>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Página Web</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30/11/2015</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PD 16</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Septiembre, Octubre y Noviembre</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5,220.00</w:t>
            </w:r>
          </w:p>
        </w:tc>
      </w:tr>
      <w:tr w:rsidR="00BF1C77" w:rsidRPr="003A4C71" w:rsidTr="00BF1C77">
        <w:trPr>
          <w:trHeight w:val="195"/>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Página Web</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31/12/2015</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PD 24</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Diciembre</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r w:rsidRPr="003A4C71">
              <w:rPr>
                <w:rFonts w:ascii="Arial" w:hAnsi="Arial" w:cs="Arial"/>
                <w:sz w:val="16"/>
                <w:szCs w:val="16"/>
                <w:lang w:val="es-MX" w:eastAsia="es-MX"/>
              </w:rPr>
              <w:t>1,740.00</w:t>
            </w:r>
          </w:p>
        </w:tc>
      </w:tr>
      <w:tr w:rsidR="00BF1C77" w:rsidRPr="003A4C71" w:rsidTr="00BF1C77">
        <w:trPr>
          <w:trHeight w:val="287"/>
          <w:tblCellSpacing w:w="15" w:type="dxa"/>
        </w:trPr>
        <w:tc>
          <w:tcPr>
            <w:tcW w:w="0" w:type="auto"/>
            <w:shd w:val="clear" w:color="auto" w:fill="auto"/>
            <w:vAlign w:val="center"/>
            <w:hideMark/>
          </w:tcPr>
          <w:p w:rsidR="00BF1C77" w:rsidRPr="003A4C71" w:rsidRDefault="00BF1C77" w:rsidP="00BF1C77">
            <w:pPr>
              <w:spacing w:line="240" w:lineRule="auto"/>
              <w:jc w:val="center"/>
              <w:rPr>
                <w:rFonts w:ascii="Arial" w:hAnsi="Arial" w:cs="Arial"/>
                <w:b/>
                <w:bCs/>
                <w:sz w:val="16"/>
                <w:szCs w:val="16"/>
                <w:lang w:val="es-MX" w:eastAsia="es-MX"/>
              </w:rPr>
            </w:pPr>
            <w:r w:rsidRPr="003A4C71">
              <w:rPr>
                <w:rFonts w:ascii="Arial" w:hAnsi="Arial" w:cs="Arial"/>
                <w:b/>
                <w:bCs/>
                <w:sz w:val="16"/>
                <w:szCs w:val="16"/>
                <w:lang w:val="es-MX" w:eastAsia="es-MX"/>
              </w:rPr>
              <w:t>Total</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b/>
                <w:bCs/>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sz w:val="16"/>
                <w:szCs w:val="16"/>
                <w:lang w:val="es-MX" w:eastAsia="es-MX"/>
              </w:rPr>
            </w:pP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b/>
                <w:bCs/>
                <w:sz w:val="16"/>
                <w:szCs w:val="16"/>
                <w:lang w:val="es-MX" w:eastAsia="es-MX"/>
              </w:rPr>
            </w:pPr>
            <w:r w:rsidRPr="003A4C71">
              <w:rPr>
                <w:rFonts w:ascii="Arial" w:hAnsi="Arial" w:cs="Arial"/>
                <w:b/>
                <w:bCs/>
                <w:sz w:val="16"/>
                <w:szCs w:val="16"/>
                <w:lang w:val="es-MX" w:eastAsia="es-MX"/>
              </w:rPr>
              <w:t>$</w:t>
            </w:r>
          </w:p>
        </w:tc>
        <w:tc>
          <w:tcPr>
            <w:tcW w:w="0" w:type="auto"/>
            <w:shd w:val="clear" w:color="auto" w:fill="auto"/>
            <w:vAlign w:val="center"/>
            <w:hideMark/>
          </w:tcPr>
          <w:p w:rsidR="00BF1C77" w:rsidRPr="003A4C71" w:rsidRDefault="00BF1C77" w:rsidP="00BF1C77">
            <w:pPr>
              <w:spacing w:line="240" w:lineRule="auto"/>
              <w:jc w:val="center"/>
              <w:rPr>
                <w:rFonts w:ascii="Arial" w:hAnsi="Arial" w:cs="Arial"/>
                <w:b/>
                <w:bCs/>
                <w:sz w:val="16"/>
                <w:szCs w:val="16"/>
                <w:lang w:val="es-MX" w:eastAsia="es-MX"/>
              </w:rPr>
            </w:pPr>
            <w:r w:rsidRPr="003A4C71">
              <w:rPr>
                <w:rFonts w:ascii="Arial" w:hAnsi="Arial" w:cs="Arial"/>
                <w:b/>
                <w:bCs/>
                <w:sz w:val="16"/>
                <w:szCs w:val="16"/>
                <w:lang w:val="es-MX" w:eastAsia="es-MX"/>
              </w:rPr>
              <w:t>20,880.00</w:t>
            </w:r>
          </w:p>
        </w:tc>
      </w:tr>
    </w:tbl>
    <w:p w:rsidR="00BF1C77" w:rsidRP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r w:rsidRPr="00BF1C77">
        <w:rPr>
          <w:rFonts w:ascii="Arial" w:eastAsiaTheme="minorHAnsi" w:hAnsi="Arial" w:cs="Arial"/>
          <w:b/>
          <w:bCs/>
          <w:szCs w:val="24"/>
          <w:lang w:val="es-MX"/>
        </w:rPr>
        <w:t>Análisis de la Auditoría Superior del Estado</w:t>
      </w:r>
    </w:p>
    <w:p w:rsidR="00BF1C77" w:rsidRPr="00BF1C77" w:rsidRDefault="00BF1C77" w:rsidP="00BF1C77">
      <w:pPr>
        <w:autoSpaceDE w:val="0"/>
        <w:autoSpaceDN w:val="0"/>
        <w:adjustRightInd w:val="0"/>
        <w:spacing w:after="0" w:line="360" w:lineRule="auto"/>
        <w:jc w:val="both"/>
        <w:rPr>
          <w:rFonts w:ascii="Arial" w:eastAsiaTheme="minorHAnsi" w:hAnsi="Arial" w:cs="Arial"/>
          <w:szCs w:val="24"/>
          <w:lang w:val="es-MX"/>
        </w:rPr>
      </w:pPr>
      <w:r w:rsidRPr="00BF1C77">
        <w:rPr>
          <w:rFonts w:ascii="Arial" w:eastAsiaTheme="minorHAnsi" w:hAnsi="Arial" w:cs="Arial"/>
          <w:szCs w:val="24"/>
          <w:lang w:val="es-MX"/>
        </w:rPr>
        <w:t>Se analizó la aclaración presentada por el Ente Público y el Extitular, la cual no solventa</w:t>
      </w:r>
      <w:r>
        <w:rPr>
          <w:rFonts w:ascii="Arial" w:eastAsiaTheme="minorHAnsi" w:hAnsi="Arial" w:cs="Arial"/>
          <w:szCs w:val="24"/>
          <w:lang w:val="es-MX"/>
        </w:rPr>
        <w:t xml:space="preserve"> </w:t>
      </w:r>
      <w:r w:rsidRPr="00BF1C77">
        <w:rPr>
          <w:rFonts w:ascii="Arial" w:eastAsiaTheme="minorHAnsi" w:hAnsi="Arial" w:cs="Arial"/>
          <w:szCs w:val="24"/>
          <w:lang w:val="es-MX"/>
        </w:rPr>
        <w:t>la observación de aspecto normativo aunque reconocen que hubo un cambio de registro lo</w:t>
      </w:r>
      <w:r>
        <w:rPr>
          <w:rFonts w:ascii="Arial" w:eastAsiaTheme="minorHAnsi" w:hAnsi="Arial" w:cs="Arial"/>
          <w:szCs w:val="24"/>
          <w:lang w:val="es-MX"/>
        </w:rPr>
        <w:t xml:space="preserve"> </w:t>
      </w:r>
      <w:r w:rsidRPr="00BF1C77">
        <w:rPr>
          <w:rFonts w:ascii="Arial" w:eastAsiaTheme="minorHAnsi" w:hAnsi="Arial" w:cs="Arial"/>
          <w:szCs w:val="24"/>
          <w:lang w:val="es-MX"/>
        </w:rPr>
        <w:t>manifestado no desvirtúa el incumplimiento al fundamento señalado.</w:t>
      </w:r>
    </w:p>
    <w:p w:rsidR="00BF1C77" w:rsidRP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r w:rsidRPr="00BF1C77">
        <w:rPr>
          <w:rFonts w:ascii="Arial" w:eastAsiaTheme="minorHAnsi" w:hAnsi="Arial" w:cs="Arial"/>
          <w:b/>
          <w:bCs/>
          <w:szCs w:val="24"/>
          <w:lang w:val="es-MX"/>
        </w:rPr>
        <w:lastRenderedPageBreak/>
        <w:t>Acción(es) o recomendación(es) emitida(s)</w:t>
      </w:r>
    </w:p>
    <w:p w:rsidR="00BF1C77" w:rsidRPr="00BF1C77" w:rsidRDefault="00BF1C77" w:rsidP="00BF1C77">
      <w:pPr>
        <w:autoSpaceDE w:val="0"/>
        <w:autoSpaceDN w:val="0"/>
        <w:adjustRightInd w:val="0"/>
        <w:spacing w:after="0" w:line="360" w:lineRule="auto"/>
        <w:jc w:val="both"/>
        <w:rPr>
          <w:rFonts w:ascii="Arial" w:eastAsiaTheme="minorHAnsi" w:hAnsi="Arial" w:cs="Arial"/>
          <w:i/>
          <w:iCs/>
          <w:szCs w:val="24"/>
          <w:lang w:val="es-MX"/>
        </w:rPr>
      </w:pPr>
      <w:r w:rsidRPr="00BF1C77">
        <w:rPr>
          <w:rFonts w:ascii="Arial" w:eastAsiaTheme="minorHAnsi" w:hAnsi="Arial" w:cs="Arial"/>
          <w:i/>
          <w:iCs/>
          <w:szCs w:val="24"/>
          <w:lang w:val="es-MX"/>
        </w:rPr>
        <w:t>Promoción de Intervención de la Instancia de Control Competente.</w:t>
      </w:r>
    </w:p>
    <w:p w:rsid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p>
    <w:p w:rsidR="00BF1C77" w:rsidRP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r w:rsidRPr="00BF1C77">
        <w:rPr>
          <w:rFonts w:ascii="Arial" w:eastAsiaTheme="minorHAnsi" w:hAnsi="Arial" w:cs="Arial"/>
          <w:b/>
          <w:bCs/>
          <w:szCs w:val="24"/>
          <w:lang w:val="es-MX"/>
        </w:rPr>
        <w:t>MATERIALES Y SUMINISTROS</w:t>
      </w:r>
    </w:p>
    <w:p w:rsidR="00BF1C77" w:rsidRP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r w:rsidRPr="00BF1C77">
        <w:rPr>
          <w:rFonts w:ascii="Arial" w:eastAsiaTheme="minorHAnsi" w:hAnsi="Arial" w:cs="Arial"/>
          <w:b/>
          <w:bCs/>
          <w:szCs w:val="24"/>
          <w:lang w:val="es-MX"/>
        </w:rPr>
        <w:t>Papelería y artículos de oficina</w:t>
      </w:r>
    </w:p>
    <w:p w:rsidR="00BF1C77" w:rsidRDefault="00BF1C77" w:rsidP="00BF1C77">
      <w:pPr>
        <w:autoSpaceDE w:val="0"/>
        <w:autoSpaceDN w:val="0"/>
        <w:adjustRightInd w:val="0"/>
        <w:spacing w:after="0" w:line="360" w:lineRule="auto"/>
        <w:jc w:val="both"/>
        <w:rPr>
          <w:rFonts w:ascii="Arial" w:eastAsiaTheme="minorHAnsi" w:hAnsi="Arial" w:cs="Arial"/>
          <w:szCs w:val="24"/>
          <w:lang w:val="es-MX"/>
        </w:rPr>
      </w:pPr>
    </w:p>
    <w:p w:rsidR="003A4C71" w:rsidRPr="00BF1C77" w:rsidRDefault="00BF1C77" w:rsidP="00BF1C77">
      <w:pPr>
        <w:autoSpaceDE w:val="0"/>
        <w:autoSpaceDN w:val="0"/>
        <w:adjustRightInd w:val="0"/>
        <w:spacing w:after="0" w:line="360" w:lineRule="auto"/>
        <w:ind w:firstLine="709"/>
        <w:jc w:val="both"/>
        <w:rPr>
          <w:rFonts w:ascii="Arial" w:hAnsi="Arial" w:cs="Arial"/>
          <w:b/>
          <w:sz w:val="20"/>
          <w:lang w:val="es-MX"/>
        </w:rPr>
      </w:pPr>
      <w:r w:rsidRPr="00BF1C77">
        <w:rPr>
          <w:rFonts w:ascii="Arial" w:eastAsiaTheme="minorHAnsi" w:hAnsi="Arial" w:cs="Arial"/>
          <w:szCs w:val="24"/>
          <w:lang w:val="es-MX"/>
        </w:rPr>
        <w:t>4. Se registró póliza de diario No. 8 del 30 de junio de 2015 por $5,201.15 observando que se</w:t>
      </w:r>
      <w:r>
        <w:rPr>
          <w:rFonts w:ascii="Arial" w:eastAsiaTheme="minorHAnsi" w:hAnsi="Arial" w:cs="Arial"/>
          <w:szCs w:val="24"/>
          <w:lang w:val="es-MX"/>
        </w:rPr>
        <w:t xml:space="preserve"> </w:t>
      </w:r>
      <w:r w:rsidRPr="00BF1C77">
        <w:rPr>
          <w:rFonts w:ascii="Arial" w:eastAsiaTheme="minorHAnsi" w:hAnsi="Arial" w:cs="Arial"/>
          <w:szCs w:val="24"/>
          <w:lang w:val="es-MX"/>
        </w:rPr>
        <w:t>disminuyeron indebidamente los egresos del ejercicio 2015 por $1,976.35 correspondiente</w:t>
      </w:r>
      <w:r>
        <w:rPr>
          <w:rFonts w:ascii="Arial" w:eastAsiaTheme="minorHAnsi" w:hAnsi="Arial" w:cs="Arial"/>
          <w:szCs w:val="24"/>
          <w:lang w:val="es-MX"/>
        </w:rPr>
        <w:t xml:space="preserve"> </w:t>
      </w:r>
      <w:r w:rsidRPr="00BF1C77">
        <w:rPr>
          <w:rFonts w:ascii="Arial" w:eastAsiaTheme="minorHAnsi" w:hAnsi="Arial" w:cs="Arial"/>
          <w:szCs w:val="24"/>
          <w:lang w:val="es-MX"/>
        </w:rPr>
        <w:t>a la factura F7664 del 24 de julio de 2014 a nombre de Proveedora Escolar y de Oficina</w:t>
      </w:r>
      <w:r>
        <w:rPr>
          <w:rFonts w:ascii="Arial" w:eastAsiaTheme="minorHAnsi" w:hAnsi="Arial" w:cs="Arial"/>
          <w:szCs w:val="24"/>
          <w:lang w:val="es-MX"/>
        </w:rPr>
        <w:t xml:space="preserve"> </w:t>
      </w:r>
      <w:r w:rsidRPr="00BF1C77">
        <w:rPr>
          <w:rFonts w:ascii="Arial" w:eastAsiaTheme="minorHAnsi" w:hAnsi="Arial" w:cs="Arial"/>
          <w:szCs w:val="24"/>
          <w:lang w:val="es-MX"/>
        </w:rPr>
        <w:t>de Nuevo León S.A. de C.V.; ya que se debió contabilizar dicho importe en la cuenta</w:t>
      </w:r>
      <w:r>
        <w:rPr>
          <w:rFonts w:ascii="Arial" w:eastAsiaTheme="minorHAnsi" w:hAnsi="Arial" w:cs="Arial"/>
          <w:szCs w:val="24"/>
          <w:lang w:val="es-MX"/>
        </w:rPr>
        <w:t xml:space="preserve"> </w:t>
      </w:r>
      <w:r w:rsidRPr="00BF1C77">
        <w:rPr>
          <w:rFonts w:ascii="Arial" w:eastAsiaTheme="minorHAnsi" w:hAnsi="Arial" w:cs="Arial"/>
          <w:szCs w:val="24"/>
          <w:lang w:val="es-MX"/>
        </w:rPr>
        <w:t>contable 3.2.5.2 Cambios por errores contables de conformidad con lo establecido en el</w:t>
      </w:r>
      <w:r>
        <w:rPr>
          <w:rFonts w:ascii="Arial" w:eastAsiaTheme="minorHAnsi" w:hAnsi="Arial" w:cs="Arial"/>
          <w:szCs w:val="24"/>
          <w:lang w:val="es-MX"/>
        </w:rPr>
        <w:t xml:space="preserve"> </w:t>
      </w:r>
      <w:r w:rsidRPr="00BF1C77">
        <w:rPr>
          <w:rFonts w:ascii="Arial" w:eastAsiaTheme="minorHAnsi" w:hAnsi="Arial" w:cs="Arial"/>
          <w:szCs w:val="24"/>
          <w:lang w:val="es-MX"/>
        </w:rPr>
        <w:t>Plan de Cuentas emitido por el Consejo Nacional de Armonización Contable, de aplicación</w:t>
      </w:r>
      <w:r>
        <w:rPr>
          <w:rFonts w:ascii="Arial" w:eastAsiaTheme="minorHAnsi" w:hAnsi="Arial" w:cs="Arial"/>
          <w:szCs w:val="24"/>
          <w:lang w:val="es-MX"/>
        </w:rPr>
        <w:t xml:space="preserve"> </w:t>
      </w:r>
      <w:r w:rsidRPr="00BF1C77">
        <w:rPr>
          <w:rFonts w:ascii="Arial" w:eastAsiaTheme="minorHAnsi" w:hAnsi="Arial" w:cs="Arial"/>
          <w:szCs w:val="24"/>
          <w:lang w:val="es-MX"/>
        </w:rPr>
        <w:t>obligatoria para los entes públicos por disposición del artículo 7 de la Ley General de</w:t>
      </w:r>
      <w:r>
        <w:rPr>
          <w:rFonts w:ascii="Arial" w:eastAsiaTheme="minorHAnsi" w:hAnsi="Arial" w:cs="Arial"/>
          <w:szCs w:val="24"/>
          <w:lang w:val="es-MX"/>
        </w:rPr>
        <w:t xml:space="preserve"> </w:t>
      </w:r>
      <w:r w:rsidRPr="00BF1C77">
        <w:rPr>
          <w:rFonts w:ascii="Arial" w:eastAsiaTheme="minorHAnsi" w:hAnsi="Arial" w:cs="Arial"/>
          <w:szCs w:val="24"/>
          <w:lang w:val="es-MX"/>
        </w:rPr>
        <w:t>Contabilidad Gubernamental.</w:t>
      </w:r>
    </w:p>
    <w:p w:rsidR="003A4C71" w:rsidRDefault="003A4C71" w:rsidP="00BF1C77">
      <w:pPr>
        <w:spacing w:after="0" w:line="360" w:lineRule="auto"/>
        <w:ind w:firstLine="708"/>
        <w:jc w:val="both"/>
        <w:rPr>
          <w:rFonts w:ascii="Arial" w:hAnsi="Arial" w:cs="Arial"/>
          <w:b/>
          <w:lang w:val="es-MX"/>
        </w:rPr>
      </w:pPr>
    </w:p>
    <w:p w:rsidR="003A4C71" w:rsidRPr="00BF1C77" w:rsidRDefault="00BF1C77" w:rsidP="00BF1C77">
      <w:pPr>
        <w:autoSpaceDE w:val="0"/>
        <w:autoSpaceDN w:val="0"/>
        <w:adjustRightInd w:val="0"/>
        <w:spacing w:after="0" w:line="360" w:lineRule="auto"/>
        <w:ind w:firstLine="851"/>
        <w:jc w:val="both"/>
        <w:rPr>
          <w:rFonts w:ascii="Arial" w:eastAsiaTheme="minorHAnsi" w:hAnsi="Arial" w:cs="Arial"/>
          <w:szCs w:val="24"/>
          <w:lang w:val="es-MX"/>
        </w:rPr>
      </w:pPr>
      <w:r w:rsidRPr="00BF1C77">
        <w:rPr>
          <w:rFonts w:ascii="Arial" w:eastAsiaTheme="minorHAnsi" w:hAnsi="Arial" w:cs="Arial"/>
          <w:szCs w:val="24"/>
          <w:lang w:val="es-MX"/>
        </w:rPr>
        <w:t>a)</w:t>
      </w:r>
      <w:r>
        <w:rPr>
          <w:rFonts w:ascii="Arial" w:eastAsiaTheme="minorHAnsi" w:hAnsi="Arial" w:cs="Arial"/>
          <w:szCs w:val="24"/>
          <w:lang w:val="es-MX"/>
        </w:rPr>
        <w:t xml:space="preserve"> </w:t>
      </w:r>
      <w:r w:rsidRPr="00BF1C77">
        <w:rPr>
          <w:rFonts w:ascii="Arial" w:eastAsiaTheme="minorHAnsi" w:hAnsi="Arial" w:cs="Arial"/>
          <w:szCs w:val="24"/>
          <w:lang w:val="es-MX"/>
        </w:rPr>
        <w:t>Así mismo no se localizó el pago en el ejercicio 2015 de dicha factura, ni su registro en cuentas por pagar de conformidad con el artículo 34 de la Ley General de Contabilidad Gubernamental.</w:t>
      </w:r>
    </w:p>
    <w:p w:rsidR="00BF1C77" w:rsidRDefault="00BF1C77" w:rsidP="00BF1C77">
      <w:pPr>
        <w:autoSpaceDE w:val="0"/>
        <w:autoSpaceDN w:val="0"/>
        <w:adjustRightInd w:val="0"/>
        <w:spacing w:after="0" w:line="360" w:lineRule="auto"/>
        <w:rPr>
          <w:rFonts w:ascii="Arial" w:eastAsiaTheme="minorHAnsi" w:hAnsi="Arial" w:cs="Arial"/>
          <w:b/>
          <w:bCs/>
          <w:color w:val="000000"/>
          <w:sz w:val="24"/>
          <w:szCs w:val="24"/>
          <w:lang w:val="es-MX"/>
        </w:rPr>
      </w:pPr>
    </w:p>
    <w:p w:rsidR="00BF1C77" w:rsidRPr="00BF1C77" w:rsidRDefault="00BF1C77" w:rsidP="00BF1C77">
      <w:pPr>
        <w:autoSpaceDE w:val="0"/>
        <w:autoSpaceDN w:val="0"/>
        <w:adjustRightInd w:val="0"/>
        <w:spacing w:after="0" w:line="360" w:lineRule="auto"/>
        <w:jc w:val="both"/>
        <w:rPr>
          <w:rFonts w:ascii="Arial" w:eastAsiaTheme="minorHAnsi" w:hAnsi="Arial" w:cs="Arial"/>
          <w:b/>
          <w:bCs/>
          <w:color w:val="000000"/>
          <w:szCs w:val="24"/>
          <w:lang w:val="es-MX"/>
        </w:rPr>
      </w:pPr>
      <w:r w:rsidRPr="00BF1C77">
        <w:rPr>
          <w:rFonts w:ascii="Arial" w:eastAsiaTheme="minorHAnsi" w:hAnsi="Arial" w:cs="Arial"/>
          <w:b/>
          <w:bCs/>
          <w:color w:val="000000"/>
          <w:szCs w:val="24"/>
          <w:lang w:val="es-MX"/>
        </w:rPr>
        <w:t>Análisis de la Auditoría Superior del Estado</w:t>
      </w:r>
    </w:p>
    <w:p w:rsidR="00BF1C77" w:rsidRPr="00BF1C77" w:rsidRDefault="00BF1C77" w:rsidP="00BF1C77">
      <w:pPr>
        <w:autoSpaceDE w:val="0"/>
        <w:autoSpaceDN w:val="0"/>
        <w:adjustRightInd w:val="0"/>
        <w:spacing w:after="0" w:line="360" w:lineRule="auto"/>
        <w:jc w:val="both"/>
        <w:rPr>
          <w:rFonts w:ascii="Arial" w:eastAsiaTheme="minorHAnsi" w:hAnsi="Arial" w:cs="Arial"/>
          <w:color w:val="000000"/>
          <w:szCs w:val="24"/>
          <w:lang w:val="es-MX"/>
        </w:rPr>
      </w:pPr>
      <w:r w:rsidRPr="00BF1C77">
        <w:rPr>
          <w:rFonts w:ascii="Arial" w:eastAsiaTheme="minorHAnsi" w:hAnsi="Arial" w:cs="Arial"/>
          <w:color w:val="000000"/>
          <w:szCs w:val="24"/>
          <w:lang w:val="es-MX"/>
        </w:rPr>
        <w:t>Se analizó la documentación y aclaración presentada por el Ente Público y el Extitular,</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la cual no solventa la observación de aspecto normativo debido a que lo manifestado no</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desvirtúa el incumplimiento al fundamento señalado y en relación al inciso a) se anexa copia</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de la póliza de cheque de 2014 como comprobante del pago de la factura sustituida, lo cual</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aclara por qué no hubo afectación en el ejercicio 2015.</w:t>
      </w:r>
    </w:p>
    <w:p w:rsidR="00BF1C77" w:rsidRPr="00BF1C77" w:rsidRDefault="00BF1C77" w:rsidP="00BF1C77">
      <w:pPr>
        <w:autoSpaceDE w:val="0"/>
        <w:autoSpaceDN w:val="0"/>
        <w:adjustRightInd w:val="0"/>
        <w:spacing w:after="0" w:line="360" w:lineRule="auto"/>
        <w:jc w:val="both"/>
        <w:rPr>
          <w:rFonts w:ascii="Arial" w:eastAsiaTheme="minorHAnsi" w:hAnsi="Arial" w:cs="Arial"/>
          <w:b/>
          <w:bCs/>
          <w:color w:val="000000"/>
          <w:szCs w:val="24"/>
          <w:lang w:val="es-MX"/>
        </w:rPr>
      </w:pPr>
      <w:r w:rsidRPr="00BF1C77">
        <w:rPr>
          <w:rFonts w:ascii="Arial" w:eastAsiaTheme="minorHAnsi" w:hAnsi="Arial" w:cs="Arial"/>
          <w:b/>
          <w:bCs/>
          <w:color w:val="000000"/>
          <w:szCs w:val="24"/>
          <w:lang w:val="es-MX"/>
        </w:rPr>
        <w:t>Acción(es) o recomendación(es) emitida(s)</w:t>
      </w:r>
    </w:p>
    <w:p w:rsidR="00BF1C77" w:rsidRPr="00BF1C77" w:rsidRDefault="00BF1C77" w:rsidP="00BF1C77">
      <w:pPr>
        <w:autoSpaceDE w:val="0"/>
        <w:autoSpaceDN w:val="0"/>
        <w:adjustRightInd w:val="0"/>
        <w:spacing w:after="0" w:line="360" w:lineRule="auto"/>
        <w:jc w:val="both"/>
        <w:rPr>
          <w:rFonts w:ascii="Arial" w:eastAsiaTheme="minorHAnsi" w:hAnsi="Arial" w:cs="Arial"/>
          <w:i/>
          <w:iCs/>
          <w:color w:val="000000"/>
          <w:szCs w:val="24"/>
          <w:lang w:val="es-MX"/>
        </w:rPr>
      </w:pPr>
      <w:r w:rsidRPr="00BF1C77">
        <w:rPr>
          <w:rFonts w:ascii="Arial" w:eastAsiaTheme="minorHAnsi" w:hAnsi="Arial" w:cs="Arial"/>
          <w:i/>
          <w:iCs/>
          <w:color w:val="000000"/>
          <w:szCs w:val="24"/>
          <w:lang w:val="es-MX"/>
        </w:rPr>
        <w:lastRenderedPageBreak/>
        <w:t>Promoción de Intervención de la Instancia de Control Competente.</w:t>
      </w:r>
    </w:p>
    <w:p w:rsidR="00BF1C77" w:rsidRDefault="00BF1C77" w:rsidP="00BF1C77">
      <w:pPr>
        <w:autoSpaceDE w:val="0"/>
        <w:autoSpaceDN w:val="0"/>
        <w:adjustRightInd w:val="0"/>
        <w:spacing w:after="0" w:line="360" w:lineRule="auto"/>
        <w:jc w:val="both"/>
        <w:rPr>
          <w:rFonts w:ascii="Arial" w:eastAsiaTheme="minorHAnsi" w:hAnsi="Arial" w:cs="Arial"/>
          <w:b/>
          <w:bCs/>
          <w:color w:val="000000"/>
          <w:szCs w:val="24"/>
          <w:lang w:val="es-MX"/>
        </w:rPr>
      </w:pPr>
    </w:p>
    <w:p w:rsidR="00BF1C77" w:rsidRPr="00BF1C77" w:rsidRDefault="00BF1C77" w:rsidP="00BF1C77">
      <w:pPr>
        <w:autoSpaceDE w:val="0"/>
        <w:autoSpaceDN w:val="0"/>
        <w:adjustRightInd w:val="0"/>
        <w:spacing w:after="0" w:line="360" w:lineRule="auto"/>
        <w:jc w:val="both"/>
        <w:rPr>
          <w:rFonts w:ascii="Arial" w:eastAsiaTheme="minorHAnsi" w:hAnsi="Arial" w:cs="Arial"/>
          <w:b/>
          <w:bCs/>
          <w:color w:val="000000"/>
          <w:szCs w:val="24"/>
          <w:lang w:val="es-MX"/>
        </w:rPr>
      </w:pPr>
      <w:r w:rsidRPr="00BF1C77">
        <w:rPr>
          <w:rFonts w:ascii="Arial" w:eastAsiaTheme="minorHAnsi" w:hAnsi="Arial" w:cs="Arial"/>
          <w:b/>
          <w:bCs/>
          <w:color w:val="000000"/>
          <w:szCs w:val="24"/>
          <w:lang w:val="es-MX"/>
        </w:rPr>
        <w:t>SERVICIOS GENERALES</w:t>
      </w:r>
    </w:p>
    <w:p w:rsidR="00BF1C77" w:rsidRPr="00BF1C77" w:rsidRDefault="00BF1C77" w:rsidP="00BF1C77">
      <w:pPr>
        <w:autoSpaceDE w:val="0"/>
        <w:autoSpaceDN w:val="0"/>
        <w:adjustRightInd w:val="0"/>
        <w:spacing w:after="0" w:line="360" w:lineRule="auto"/>
        <w:jc w:val="both"/>
        <w:rPr>
          <w:rFonts w:ascii="Arial" w:eastAsiaTheme="minorHAnsi" w:hAnsi="Arial" w:cs="Arial"/>
          <w:b/>
          <w:bCs/>
          <w:color w:val="000000"/>
          <w:szCs w:val="24"/>
          <w:lang w:val="es-MX"/>
        </w:rPr>
      </w:pPr>
      <w:r w:rsidRPr="00BF1C77">
        <w:rPr>
          <w:rFonts w:ascii="Arial" w:eastAsiaTheme="minorHAnsi" w:hAnsi="Arial" w:cs="Arial"/>
          <w:b/>
          <w:bCs/>
          <w:color w:val="000000"/>
          <w:szCs w:val="24"/>
          <w:lang w:val="es-MX"/>
        </w:rPr>
        <w:t>Mantenimiento de vehículos</w:t>
      </w:r>
    </w:p>
    <w:p w:rsidR="00BF1C77" w:rsidRDefault="00BF1C77" w:rsidP="00BF1C77">
      <w:pPr>
        <w:autoSpaceDE w:val="0"/>
        <w:autoSpaceDN w:val="0"/>
        <w:adjustRightInd w:val="0"/>
        <w:spacing w:after="0" w:line="360" w:lineRule="auto"/>
        <w:jc w:val="both"/>
        <w:rPr>
          <w:rFonts w:ascii="Arial" w:eastAsiaTheme="minorHAnsi" w:hAnsi="Arial" w:cs="Arial"/>
          <w:color w:val="000000"/>
          <w:szCs w:val="24"/>
          <w:lang w:val="es-MX"/>
        </w:rPr>
      </w:pPr>
    </w:p>
    <w:p w:rsidR="00BF1C77" w:rsidRPr="00BF1C77" w:rsidRDefault="00BF1C77" w:rsidP="00BF1C77">
      <w:pPr>
        <w:autoSpaceDE w:val="0"/>
        <w:autoSpaceDN w:val="0"/>
        <w:adjustRightInd w:val="0"/>
        <w:spacing w:after="0" w:line="360" w:lineRule="auto"/>
        <w:ind w:firstLine="709"/>
        <w:jc w:val="both"/>
        <w:rPr>
          <w:rFonts w:ascii="Arial" w:eastAsiaTheme="minorHAnsi" w:hAnsi="Arial" w:cs="Arial"/>
          <w:color w:val="000000"/>
          <w:szCs w:val="24"/>
          <w:lang w:val="es-MX"/>
        </w:rPr>
      </w:pPr>
      <w:r w:rsidRPr="00BF1C77">
        <w:rPr>
          <w:rFonts w:ascii="Arial" w:eastAsiaTheme="minorHAnsi" w:hAnsi="Arial" w:cs="Arial"/>
          <w:color w:val="000000"/>
          <w:szCs w:val="24"/>
          <w:lang w:val="es-MX"/>
        </w:rPr>
        <w:t>5. Se registró póliza de diario No. 7 del 30 de junio de 2015 por $1,832.80 correspondiente a</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la cancelación de la factura F15685 del proveedor Grupo Redo S.A. de C.V. del 7 de agosto</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de 2014 observando que se disminuyeron indebidamente los egresos del ejercicio 2015; ya</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que se debió contabilizar dicho importe en la cuenta contable 3.2.5.2 Cambios por errores</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contables de conformidad con lo establecido en el Plan de Cuentas emitido por el Consejo</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Nacional de Armonización Contable, de aplicación obligatoria para los entes públicos por</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disposición del artículo 7 de la Ley General de Contabilidad Gubernamental.</w:t>
      </w:r>
    </w:p>
    <w:p w:rsidR="00BF1C77" w:rsidRDefault="00BF1C77" w:rsidP="00BF1C77">
      <w:pPr>
        <w:autoSpaceDE w:val="0"/>
        <w:autoSpaceDN w:val="0"/>
        <w:adjustRightInd w:val="0"/>
        <w:spacing w:after="0" w:line="360" w:lineRule="auto"/>
        <w:ind w:firstLine="709"/>
        <w:jc w:val="both"/>
        <w:rPr>
          <w:rFonts w:ascii="Arial" w:eastAsiaTheme="minorHAnsi" w:hAnsi="Arial" w:cs="Arial"/>
          <w:color w:val="000000"/>
          <w:szCs w:val="24"/>
          <w:lang w:val="es-MX"/>
        </w:rPr>
      </w:pPr>
    </w:p>
    <w:p w:rsidR="00BF1C77" w:rsidRPr="00BF1C77" w:rsidRDefault="00BF1C77" w:rsidP="00BF1C77">
      <w:pPr>
        <w:autoSpaceDE w:val="0"/>
        <w:autoSpaceDN w:val="0"/>
        <w:adjustRightInd w:val="0"/>
        <w:spacing w:after="0" w:line="360" w:lineRule="auto"/>
        <w:ind w:firstLine="709"/>
        <w:jc w:val="both"/>
        <w:rPr>
          <w:rFonts w:ascii="Arial" w:eastAsiaTheme="minorHAnsi" w:hAnsi="Arial" w:cs="Arial"/>
          <w:color w:val="000000"/>
          <w:szCs w:val="24"/>
          <w:lang w:val="es-MX"/>
        </w:rPr>
      </w:pPr>
      <w:r w:rsidRPr="00BF1C77">
        <w:rPr>
          <w:rFonts w:ascii="Arial" w:eastAsiaTheme="minorHAnsi" w:hAnsi="Arial" w:cs="Arial"/>
          <w:color w:val="000000"/>
          <w:szCs w:val="24"/>
          <w:lang w:val="es-MX"/>
        </w:rPr>
        <w:t>a) Así mismo no se localizó el pago en el ejercicio 2015 de dicha factura, ni su registro</w:t>
      </w:r>
      <w:r>
        <w:rPr>
          <w:rFonts w:ascii="Arial" w:eastAsiaTheme="minorHAnsi" w:hAnsi="Arial" w:cs="Arial"/>
          <w:color w:val="000000"/>
          <w:szCs w:val="24"/>
          <w:lang w:val="es-MX"/>
        </w:rPr>
        <w:t xml:space="preserve"> </w:t>
      </w:r>
      <w:r w:rsidRPr="00BF1C77">
        <w:rPr>
          <w:rFonts w:ascii="Arial" w:eastAsiaTheme="minorHAnsi" w:hAnsi="Arial" w:cs="Arial"/>
          <w:color w:val="000000"/>
          <w:szCs w:val="24"/>
          <w:lang w:val="es-MX"/>
        </w:rPr>
        <w:t>en cuentas por pagar de conformidad con el artículo 34 de la Ley General de</w:t>
      </w:r>
    </w:p>
    <w:p w:rsidR="00BF1C77" w:rsidRPr="00BF1C77" w:rsidRDefault="00BF1C77" w:rsidP="00BF1C77">
      <w:pPr>
        <w:spacing w:line="360" w:lineRule="auto"/>
        <w:jc w:val="both"/>
        <w:rPr>
          <w:b/>
          <w:sz w:val="18"/>
          <w:lang w:val="es-MX"/>
        </w:rPr>
      </w:pPr>
      <w:r w:rsidRPr="00BF1C77">
        <w:rPr>
          <w:rFonts w:ascii="Arial" w:eastAsiaTheme="minorHAnsi" w:hAnsi="Arial" w:cs="Arial"/>
          <w:color w:val="000000"/>
          <w:szCs w:val="24"/>
          <w:lang w:val="es-MX"/>
        </w:rPr>
        <w:t>Contabilidad Gubernamental.</w:t>
      </w:r>
    </w:p>
    <w:p w:rsidR="00BF1C77" w:rsidRP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r w:rsidRPr="00BF1C77">
        <w:rPr>
          <w:rFonts w:ascii="Arial" w:eastAsiaTheme="minorHAnsi" w:hAnsi="Arial" w:cs="Arial"/>
          <w:b/>
          <w:bCs/>
          <w:szCs w:val="24"/>
          <w:lang w:val="es-MX"/>
        </w:rPr>
        <w:t>Análisis de la Auditoría Superior del Estado</w:t>
      </w:r>
    </w:p>
    <w:p w:rsidR="00BF1C77" w:rsidRPr="00BF1C77" w:rsidRDefault="00BF1C77" w:rsidP="00BF1C77">
      <w:pPr>
        <w:autoSpaceDE w:val="0"/>
        <w:autoSpaceDN w:val="0"/>
        <w:adjustRightInd w:val="0"/>
        <w:spacing w:after="0" w:line="360" w:lineRule="auto"/>
        <w:jc w:val="both"/>
        <w:rPr>
          <w:rFonts w:ascii="Arial" w:eastAsiaTheme="minorHAnsi" w:hAnsi="Arial" w:cs="Arial"/>
          <w:szCs w:val="24"/>
          <w:lang w:val="es-MX"/>
        </w:rPr>
      </w:pPr>
      <w:r w:rsidRPr="00BF1C77">
        <w:rPr>
          <w:rFonts w:ascii="Arial" w:eastAsiaTheme="minorHAnsi" w:hAnsi="Arial" w:cs="Arial"/>
          <w:szCs w:val="24"/>
          <w:lang w:val="es-MX"/>
        </w:rPr>
        <w:t>Se analizó la documentación y aclaración presentada por el Ente Público y el Extitular, la cual</w:t>
      </w:r>
      <w:r>
        <w:rPr>
          <w:rFonts w:ascii="Arial" w:eastAsiaTheme="minorHAnsi" w:hAnsi="Arial" w:cs="Arial"/>
          <w:szCs w:val="24"/>
          <w:lang w:val="es-MX"/>
        </w:rPr>
        <w:t xml:space="preserve"> </w:t>
      </w:r>
      <w:r w:rsidRPr="00BF1C77">
        <w:rPr>
          <w:rFonts w:ascii="Arial" w:eastAsiaTheme="minorHAnsi" w:hAnsi="Arial" w:cs="Arial"/>
          <w:szCs w:val="24"/>
          <w:lang w:val="es-MX"/>
        </w:rPr>
        <w:t>no solventa la observación de aspecto normativo debido a que lo manifestado no desvirtúa</w:t>
      </w:r>
      <w:r>
        <w:rPr>
          <w:rFonts w:ascii="Arial" w:eastAsiaTheme="minorHAnsi" w:hAnsi="Arial" w:cs="Arial"/>
          <w:szCs w:val="24"/>
          <w:lang w:val="es-MX"/>
        </w:rPr>
        <w:t xml:space="preserve"> </w:t>
      </w:r>
      <w:r w:rsidRPr="00BF1C77">
        <w:rPr>
          <w:rFonts w:ascii="Arial" w:eastAsiaTheme="minorHAnsi" w:hAnsi="Arial" w:cs="Arial"/>
          <w:szCs w:val="24"/>
          <w:lang w:val="es-MX"/>
        </w:rPr>
        <w:t>el incumplimiento al fundamento señalado y en relación al inciso a) se anexa copia de la</w:t>
      </w:r>
      <w:r>
        <w:rPr>
          <w:rFonts w:ascii="Arial" w:eastAsiaTheme="minorHAnsi" w:hAnsi="Arial" w:cs="Arial"/>
          <w:szCs w:val="24"/>
          <w:lang w:val="es-MX"/>
        </w:rPr>
        <w:t xml:space="preserve"> </w:t>
      </w:r>
      <w:r w:rsidRPr="00BF1C77">
        <w:rPr>
          <w:rFonts w:ascii="Arial" w:eastAsiaTheme="minorHAnsi" w:hAnsi="Arial" w:cs="Arial"/>
          <w:szCs w:val="24"/>
          <w:lang w:val="es-MX"/>
        </w:rPr>
        <w:t>factura F15685 del 07 de julio de 2014 con sello de cancelado; sin embargo dicha factura</w:t>
      </w:r>
      <w:r>
        <w:rPr>
          <w:rFonts w:ascii="Arial" w:eastAsiaTheme="minorHAnsi" w:hAnsi="Arial" w:cs="Arial"/>
          <w:szCs w:val="24"/>
          <w:lang w:val="es-MX"/>
        </w:rPr>
        <w:t xml:space="preserve"> </w:t>
      </w:r>
      <w:r w:rsidRPr="00BF1C77">
        <w:rPr>
          <w:rFonts w:ascii="Arial" w:eastAsiaTheme="minorHAnsi" w:hAnsi="Arial" w:cs="Arial"/>
          <w:szCs w:val="24"/>
          <w:lang w:val="es-MX"/>
        </w:rPr>
        <w:t>fue verificada en la página del SAT detectando que el estatus aparece vigente, por lo que se</w:t>
      </w:r>
      <w:r>
        <w:rPr>
          <w:rFonts w:ascii="Arial" w:eastAsiaTheme="minorHAnsi" w:hAnsi="Arial" w:cs="Arial"/>
          <w:szCs w:val="24"/>
          <w:lang w:val="es-MX"/>
        </w:rPr>
        <w:t xml:space="preserve"> </w:t>
      </w:r>
      <w:r w:rsidRPr="00BF1C77">
        <w:rPr>
          <w:rFonts w:ascii="Arial" w:eastAsiaTheme="minorHAnsi" w:hAnsi="Arial" w:cs="Arial"/>
          <w:szCs w:val="24"/>
          <w:lang w:val="es-MX"/>
        </w:rPr>
        <w:t>debió solicitar al proveedor la cancelación de la misma para garantizar que no sea utilizada</w:t>
      </w:r>
      <w:r>
        <w:rPr>
          <w:rFonts w:ascii="Arial" w:eastAsiaTheme="minorHAnsi" w:hAnsi="Arial" w:cs="Arial"/>
          <w:szCs w:val="24"/>
          <w:lang w:val="es-MX"/>
        </w:rPr>
        <w:t xml:space="preserve"> </w:t>
      </w:r>
      <w:r w:rsidRPr="00BF1C77">
        <w:rPr>
          <w:rFonts w:ascii="Arial" w:eastAsiaTheme="minorHAnsi" w:hAnsi="Arial" w:cs="Arial"/>
          <w:szCs w:val="24"/>
          <w:lang w:val="es-MX"/>
        </w:rPr>
        <w:t xml:space="preserve">en futuras ocasiones, debido a que es un </w:t>
      </w:r>
      <w:r w:rsidRPr="00BF1C77">
        <w:rPr>
          <w:rFonts w:ascii="Arial" w:eastAsiaTheme="minorHAnsi" w:hAnsi="Arial" w:cs="Arial"/>
          <w:szCs w:val="24"/>
          <w:lang w:val="es-MX"/>
        </w:rPr>
        <w:lastRenderedPageBreak/>
        <w:t>comprobante fiscal digital y por tal motivo puede</w:t>
      </w:r>
      <w:r>
        <w:rPr>
          <w:rFonts w:ascii="Arial" w:eastAsiaTheme="minorHAnsi" w:hAnsi="Arial" w:cs="Arial"/>
          <w:szCs w:val="24"/>
          <w:lang w:val="es-MX"/>
        </w:rPr>
        <w:t xml:space="preserve"> </w:t>
      </w:r>
      <w:r w:rsidRPr="00BF1C77">
        <w:rPr>
          <w:rFonts w:ascii="Arial" w:eastAsiaTheme="minorHAnsi" w:hAnsi="Arial" w:cs="Arial"/>
          <w:szCs w:val="24"/>
          <w:lang w:val="es-MX"/>
        </w:rPr>
        <w:t>ser reimpreso sin el sello de cancelado.</w:t>
      </w:r>
    </w:p>
    <w:p w:rsidR="00BF1C77" w:rsidRP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r w:rsidRPr="00BF1C77">
        <w:rPr>
          <w:rFonts w:ascii="Arial" w:eastAsiaTheme="minorHAnsi" w:hAnsi="Arial" w:cs="Arial"/>
          <w:b/>
          <w:bCs/>
          <w:szCs w:val="24"/>
          <w:lang w:val="es-MX"/>
        </w:rPr>
        <w:t>Acción(es) o recomendación(es) emitida(s)</w:t>
      </w:r>
    </w:p>
    <w:p w:rsidR="00BF1C77" w:rsidRPr="00BF1C77" w:rsidRDefault="00BF1C77" w:rsidP="00BF1C77">
      <w:pPr>
        <w:autoSpaceDE w:val="0"/>
        <w:autoSpaceDN w:val="0"/>
        <w:adjustRightInd w:val="0"/>
        <w:spacing w:after="0" w:line="360" w:lineRule="auto"/>
        <w:jc w:val="both"/>
        <w:rPr>
          <w:rFonts w:ascii="Arial" w:eastAsiaTheme="minorHAnsi" w:hAnsi="Arial" w:cs="Arial"/>
          <w:i/>
          <w:iCs/>
          <w:szCs w:val="24"/>
          <w:lang w:val="es-MX"/>
        </w:rPr>
      </w:pPr>
      <w:r w:rsidRPr="00BF1C77">
        <w:rPr>
          <w:rFonts w:ascii="Arial" w:eastAsiaTheme="minorHAnsi" w:hAnsi="Arial" w:cs="Arial"/>
          <w:i/>
          <w:iCs/>
          <w:szCs w:val="24"/>
          <w:lang w:val="es-MX"/>
        </w:rPr>
        <w:t>Promoción de Intervención de la Instancia de Control Competente.</w:t>
      </w:r>
    </w:p>
    <w:p w:rsid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p>
    <w:p w:rsidR="00BF1C77" w:rsidRP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r w:rsidRPr="00BF1C77">
        <w:rPr>
          <w:rFonts w:ascii="Arial" w:eastAsiaTheme="minorHAnsi" w:hAnsi="Arial" w:cs="Arial"/>
          <w:b/>
          <w:bCs/>
          <w:szCs w:val="24"/>
          <w:lang w:val="es-MX"/>
        </w:rPr>
        <w:t>NORMATIVIDAD</w:t>
      </w:r>
    </w:p>
    <w:p w:rsidR="00BF1C77" w:rsidRPr="00BF1C77" w:rsidRDefault="00BF1C77" w:rsidP="00BF1C77">
      <w:pPr>
        <w:autoSpaceDE w:val="0"/>
        <w:autoSpaceDN w:val="0"/>
        <w:adjustRightInd w:val="0"/>
        <w:spacing w:after="0" w:line="360" w:lineRule="auto"/>
        <w:jc w:val="both"/>
        <w:rPr>
          <w:rFonts w:ascii="Arial" w:eastAsiaTheme="minorHAnsi" w:hAnsi="Arial" w:cs="Arial"/>
          <w:b/>
          <w:bCs/>
          <w:szCs w:val="24"/>
          <w:lang w:val="es-MX"/>
        </w:rPr>
      </w:pPr>
      <w:r w:rsidRPr="00BF1C77">
        <w:rPr>
          <w:rFonts w:ascii="Arial" w:eastAsiaTheme="minorHAnsi" w:hAnsi="Arial" w:cs="Arial"/>
          <w:b/>
          <w:bCs/>
          <w:szCs w:val="24"/>
          <w:lang w:val="es-MX"/>
        </w:rPr>
        <w:t>CUENTA PÚBLICA</w:t>
      </w:r>
    </w:p>
    <w:p w:rsidR="00BF1C77" w:rsidRDefault="00BF1C77" w:rsidP="00BF1C77">
      <w:pPr>
        <w:autoSpaceDE w:val="0"/>
        <w:autoSpaceDN w:val="0"/>
        <w:adjustRightInd w:val="0"/>
        <w:spacing w:after="0" w:line="360" w:lineRule="auto"/>
        <w:jc w:val="both"/>
        <w:rPr>
          <w:rFonts w:ascii="Arial" w:eastAsiaTheme="minorHAnsi" w:hAnsi="Arial" w:cs="Arial"/>
          <w:szCs w:val="24"/>
          <w:lang w:val="es-MX"/>
        </w:rPr>
      </w:pPr>
    </w:p>
    <w:p w:rsidR="00BF1C77" w:rsidRPr="00BF1C77" w:rsidRDefault="00BF1C77" w:rsidP="00BF1C77">
      <w:pPr>
        <w:autoSpaceDE w:val="0"/>
        <w:autoSpaceDN w:val="0"/>
        <w:adjustRightInd w:val="0"/>
        <w:spacing w:after="0" w:line="360" w:lineRule="auto"/>
        <w:ind w:firstLine="709"/>
        <w:jc w:val="both"/>
        <w:rPr>
          <w:rFonts w:ascii="Arial" w:eastAsiaTheme="minorHAnsi" w:hAnsi="Arial" w:cs="Arial"/>
          <w:szCs w:val="24"/>
          <w:lang w:val="es-MX"/>
        </w:rPr>
      </w:pPr>
      <w:r w:rsidRPr="00BF1C77">
        <w:rPr>
          <w:rFonts w:ascii="Arial" w:eastAsiaTheme="minorHAnsi" w:hAnsi="Arial" w:cs="Arial"/>
          <w:szCs w:val="24"/>
          <w:lang w:val="es-MX"/>
        </w:rPr>
        <w:t>6. Se detectó que en la Cuenta Pública presentada al H. Congreso se anexa listado de las</w:t>
      </w:r>
      <w:r>
        <w:rPr>
          <w:rFonts w:ascii="Arial" w:eastAsiaTheme="minorHAnsi" w:hAnsi="Arial" w:cs="Arial"/>
          <w:szCs w:val="24"/>
          <w:lang w:val="es-MX"/>
        </w:rPr>
        <w:t xml:space="preserve"> </w:t>
      </w:r>
      <w:r w:rsidRPr="00BF1C77">
        <w:rPr>
          <w:rFonts w:ascii="Arial" w:eastAsiaTheme="minorHAnsi" w:hAnsi="Arial" w:cs="Arial"/>
          <w:szCs w:val="24"/>
          <w:lang w:val="es-MX"/>
        </w:rPr>
        <w:t>cuentas por pagar al 31 de diciembre de 2015 por $44,013.64, el cual difiere del saldo</w:t>
      </w:r>
      <w:r>
        <w:rPr>
          <w:rFonts w:ascii="Arial" w:eastAsiaTheme="minorHAnsi" w:hAnsi="Arial" w:cs="Arial"/>
          <w:szCs w:val="24"/>
          <w:lang w:val="es-MX"/>
        </w:rPr>
        <w:t xml:space="preserve"> </w:t>
      </w:r>
      <w:r w:rsidRPr="00BF1C77">
        <w:rPr>
          <w:rFonts w:ascii="Arial" w:eastAsiaTheme="minorHAnsi" w:hAnsi="Arial" w:cs="Arial"/>
          <w:szCs w:val="24"/>
          <w:lang w:val="es-MX"/>
        </w:rPr>
        <w:t>contable de $5,040.00 según las Notas a los Estados Financieros también presentados en</w:t>
      </w:r>
      <w:r>
        <w:rPr>
          <w:rFonts w:ascii="Arial" w:eastAsiaTheme="minorHAnsi" w:hAnsi="Arial" w:cs="Arial"/>
          <w:szCs w:val="24"/>
          <w:lang w:val="es-MX"/>
        </w:rPr>
        <w:t xml:space="preserve"> </w:t>
      </w:r>
      <w:r w:rsidRPr="00BF1C77">
        <w:rPr>
          <w:rFonts w:ascii="Arial" w:eastAsiaTheme="minorHAnsi" w:hAnsi="Arial" w:cs="Arial"/>
          <w:szCs w:val="24"/>
          <w:lang w:val="es-MX"/>
        </w:rPr>
        <w:t>la citada Cuenta Pública.</w:t>
      </w:r>
    </w:p>
    <w:p w:rsidR="00BF1C77" w:rsidRDefault="00BF1C77" w:rsidP="00BF1C77">
      <w:pPr>
        <w:autoSpaceDE w:val="0"/>
        <w:autoSpaceDN w:val="0"/>
        <w:adjustRightInd w:val="0"/>
        <w:spacing w:after="0" w:line="360" w:lineRule="auto"/>
        <w:jc w:val="both"/>
        <w:rPr>
          <w:rFonts w:ascii="Arial" w:eastAsiaTheme="minorHAnsi" w:hAnsi="Arial" w:cs="Arial"/>
          <w:szCs w:val="24"/>
          <w:lang w:val="es-MX"/>
        </w:rPr>
      </w:pPr>
    </w:p>
    <w:p w:rsidR="003A4C71" w:rsidRPr="00BF1C77" w:rsidRDefault="00BF1C77" w:rsidP="00BF1C77">
      <w:pPr>
        <w:autoSpaceDE w:val="0"/>
        <w:autoSpaceDN w:val="0"/>
        <w:adjustRightInd w:val="0"/>
        <w:spacing w:after="0" w:line="360" w:lineRule="auto"/>
        <w:ind w:firstLine="709"/>
        <w:jc w:val="both"/>
        <w:rPr>
          <w:rFonts w:ascii="Arial" w:hAnsi="Arial" w:cs="Arial"/>
          <w:b/>
          <w:sz w:val="20"/>
          <w:lang w:val="es-MX"/>
        </w:rPr>
      </w:pPr>
      <w:r w:rsidRPr="00BF1C77">
        <w:rPr>
          <w:rFonts w:ascii="Arial" w:eastAsiaTheme="minorHAnsi" w:hAnsi="Arial" w:cs="Arial"/>
          <w:szCs w:val="24"/>
          <w:lang w:val="es-MX"/>
        </w:rPr>
        <w:t>a) Adicionalmente se observó que el saldo de las cuentas por pagar según las Notas</w:t>
      </w:r>
      <w:r>
        <w:rPr>
          <w:rFonts w:ascii="Arial" w:eastAsiaTheme="minorHAnsi" w:hAnsi="Arial" w:cs="Arial"/>
          <w:szCs w:val="24"/>
          <w:lang w:val="es-MX"/>
        </w:rPr>
        <w:t xml:space="preserve"> </w:t>
      </w:r>
      <w:r w:rsidRPr="00BF1C77">
        <w:rPr>
          <w:rFonts w:ascii="Arial" w:eastAsiaTheme="minorHAnsi" w:hAnsi="Arial" w:cs="Arial"/>
          <w:szCs w:val="24"/>
          <w:lang w:val="es-MX"/>
        </w:rPr>
        <w:t>a los Estados Financieros antes mencionados, en el rubro de Pasivo, Cuentas</w:t>
      </w:r>
      <w:r>
        <w:rPr>
          <w:rFonts w:ascii="Arial" w:eastAsiaTheme="minorHAnsi" w:hAnsi="Arial" w:cs="Arial"/>
          <w:szCs w:val="24"/>
          <w:lang w:val="es-MX"/>
        </w:rPr>
        <w:t xml:space="preserve"> </w:t>
      </w:r>
      <w:r w:rsidRPr="00BF1C77">
        <w:rPr>
          <w:rFonts w:ascii="Arial" w:eastAsiaTheme="minorHAnsi" w:hAnsi="Arial" w:cs="Arial"/>
          <w:szCs w:val="24"/>
          <w:lang w:val="es-MX"/>
        </w:rPr>
        <w:t>por pagar a corto plazo es por $61,005.00 el cual difiere del saldo contable de</w:t>
      </w:r>
      <w:r>
        <w:rPr>
          <w:rFonts w:ascii="Arial" w:eastAsiaTheme="minorHAnsi" w:hAnsi="Arial" w:cs="Arial"/>
          <w:szCs w:val="24"/>
          <w:lang w:val="es-MX"/>
        </w:rPr>
        <w:t xml:space="preserve"> </w:t>
      </w:r>
      <w:r w:rsidRPr="00BF1C77">
        <w:rPr>
          <w:rFonts w:ascii="Arial" w:eastAsiaTheme="minorHAnsi" w:hAnsi="Arial" w:cs="Arial"/>
          <w:szCs w:val="24"/>
          <w:lang w:val="es-MX"/>
        </w:rPr>
        <w:t>$90,645.00 que corresponde a las Cuentas por pagar a corto plazo según el Estado</w:t>
      </w:r>
      <w:r>
        <w:rPr>
          <w:rFonts w:ascii="Arial" w:eastAsiaTheme="minorHAnsi" w:hAnsi="Arial" w:cs="Arial"/>
          <w:szCs w:val="24"/>
          <w:lang w:val="es-MX"/>
        </w:rPr>
        <w:t xml:space="preserve"> </w:t>
      </w:r>
      <w:r w:rsidRPr="00BF1C77">
        <w:rPr>
          <w:rFonts w:ascii="Arial" w:eastAsiaTheme="minorHAnsi" w:hAnsi="Arial" w:cs="Arial"/>
          <w:szCs w:val="24"/>
          <w:lang w:val="es-MX"/>
        </w:rPr>
        <w:t>de Situación Financiera adjunto también en la Cuenta Pública.</w:t>
      </w:r>
    </w:p>
    <w:p w:rsidR="003A4C71" w:rsidRDefault="003A4C71" w:rsidP="00744D70">
      <w:pPr>
        <w:spacing w:after="0" w:line="360" w:lineRule="auto"/>
        <w:ind w:firstLine="708"/>
        <w:jc w:val="both"/>
        <w:rPr>
          <w:rFonts w:ascii="Arial" w:hAnsi="Arial" w:cs="Arial"/>
          <w:b/>
          <w:lang w:val="es-MX"/>
        </w:rPr>
      </w:pPr>
    </w:p>
    <w:p w:rsidR="0029779A" w:rsidRPr="0029779A" w:rsidRDefault="0029779A" w:rsidP="0029779A">
      <w:pPr>
        <w:autoSpaceDE w:val="0"/>
        <w:autoSpaceDN w:val="0"/>
        <w:adjustRightInd w:val="0"/>
        <w:spacing w:after="0" w:line="360" w:lineRule="auto"/>
        <w:jc w:val="both"/>
        <w:rPr>
          <w:rFonts w:ascii="Arial" w:eastAsiaTheme="minorHAnsi" w:hAnsi="Arial" w:cs="Arial"/>
          <w:b/>
          <w:bCs/>
          <w:szCs w:val="24"/>
          <w:lang w:val="es-MX"/>
        </w:rPr>
      </w:pPr>
      <w:r w:rsidRPr="0029779A">
        <w:rPr>
          <w:rFonts w:ascii="Arial" w:eastAsiaTheme="minorHAnsi" w:hAnsi="Arial" w:cs="Arial"/>
          <w:b/>
          <w:bCs/>
          <w:szCs w:val="24"/>
          <w:lang w:val="es-MX"/>
        </w:rPr>
        <w:t>Análisis de la Auditoría Superior del Estado</w:t>
      </w:r>
    </w:p>
    <w:p w:rsidR="0029779A" w:rsidRPr="0029779A" w:rsidRDefault="0029779A" w:rsidP="0029779A">
      <w:pPr>
        <w:autoSpaceDE w:val="0"/>
        <w:autoSpaceDN w:val="0"/>
        <w:adjustRightInd w:val="0"/>
        <w:spacing w:after="0" w:line="360" w:lineRule="auto"/>
        <w:jc w:val="both"/>
        <w:rPr>
          <w:rFonts w:ascii="Arial" w:eastAsiaTheme="minorHAnsi" w:hAnsi="Arial" w:cs="Arial"/>
          <w:szCs w:val="24"/>
          <w:lang w:val="es-MX"/>
        </w:rPr>
      </w:pPr>
      <w:r w:rsidRPr="0029779A">
        <w:rPr>
          <w:rFonts w:ascii="Arial" w:eastAsiaTheme="minorHAnsi" w:hAnsi="Arial" w:cs="Arial"/>
          <w:szCs w:val="24"/>
          <w:lang w:val="es-MX"/>
        </w:rPr>
        <w:t>Se analizó la aclaración presentada por el Ente Público, la cual no solventa la observación</w:t>
      </w:r>
      <w:r>
        <w:rPr>
          <w:rFonts w:ascii="Arial" w:eastAsiaTheme="minorHAnsi" w:hAnsi="Arial" w:cs="Arial"/>
          <w:szCs w:val="24"/>
          <w:lang w:val="es-MX"/>
        </w:rPr>
        <w:t xml:space="preserve"> </w:t>
      </w:r>
      <w:r w:rsidRPr="0029779A">
        <w:rPr>
          <w:rFonts w:ascii="Arial" w:eastAsiaTheme="minorHAnsi" w:hAnsi="Arial" w:cs="Arial"/>
          <w:szCs w:val="24"/>
          <w:lang w:val="es-MX"/>
        </w:rPr>
        <w:t>de aspecto financiero debido a que reconocen que existen discrepancias en la integración</w:t>
      </w:r>
      <w:r>
        <w:rPr>
          <w:rFonts w:ascii="Arial" w:eastAsiaTheme="minorHAnsi" w:hAnsi="Arial" w:cs="Arial"/>
          <w:szCs w:val="24"/>
          <w:lang w:val="es-MX"/>
        </w:rPr>
        <w:t xml:space="preserve"> </w:t>
      </w:r>
      <w:r w:rsidRPr="0029779A">
        <w:rPr>
          <w:rFonts w:ascii="Arial" w:eastAsiaTheme="minorHAnsi" w:hAnsi="Arial" w:cs="Arial"/>
          <w:szCs w:val="24"/>
          <w:lang w:val="es-MX"/>
        </w:rPr>
        <w:t>de las cuentas pero no las aclaran ni desvirtúan las cifras presentadas en la Cuenta Pública.</w:t>
      </w:r>
    </w:p>
    <w:p w:rsidR="0029779A" w:rsidRPr="0029779A" w:rsidRDefault="0029779A" w:rsidP="0029779A">
      <w:pPr>
        <w:autoSpaceDE w:val="0"/>
        <w:autoSpaceDN w:val="0"/>
        <w:adjustRightInd w:val="0"/>
        <w:spacing w:after="0" w:line="360" w:lineRule="auto"/>
        <w:jc w:val="both"/>
        <w:rPr>
          <w:rFonts w:ascii="Arial" w:eastAsiaTheme="minorHAnsi" w:hAnsi="Arial" w:cs="Arial"/>
          <w:b/>
          <w:bCs/>
          <w:szCs w:val="24"/>
          <w:lang w:val="es-MX"/>
        </w:rPr>
      </w:pPr>
      <w:r w:rsidRPr="0029779A">
        <w:rPr>
          <w:rFonts w:ascii="Arial" w:eastAsiaTheme="minorHAnsi" w:hAnsi="Arial" w:cs="Arial"/>
          <w:b/>
          <w:bCs/>
          <w:szCs w:val="24"/>
          <w:lang w:val="es-MX"/>
        </w:rPr>
        <w:t>Acción(es) o recomendación(es) emitida(s)</w:t>
      </w:r>
    </w:p>
    <w:p w:rsidR="0029779A" w:rsidRPr="0029779A" w:rsidRDefault="0029779A" w:rsidP="0029779A">
      <w:pPr>
        <w:spacing w:after="0" w:line="360" w:lineRule="auto"/>
        <w:jc w:val="both"/>
        <w:rPr>
          <w:rFonts w:ascii="Arial" w:hAnsi="Arial" w:cs="Arial"/>
          <w:b/>
          <w:sz w:val="20"/>
          <w:lang w:val="es-MX"/>
        </w:rPr>
      </w:pPr>
      <w:r w:rsidRPr="0029779A">
        <w:rPr>
          <w:rFonts w:ascii="Arial" w:eastAsiaTheme="minorHAnsi" w:hAnsi="Arial" w:cs="Arial"/>
          <w:i/>
          <w:iCs/>
          <w:szCs w:val="24"/>
          <w:lang w:val="es-MX"/>
        </w:rPr>
        <w:t>Recomendaciones en Relación a la Gestión o Control Interno.</w:t>
      </w:r>
    </w:p>
    <w:p w:rsidR="0029779A" w:rsidRDefault="0029779A" w:rsidP="00744D70">
      <w:pPr>
        <w:spacing w:after="0" w:line="360" w:lineRule="auto"/>
        <w:ind w:firstLine="708"/>
        <w:jc w:val="both"/>
        <w:rPr>
          <w:rFonts w:ascii="Arial" w:hAnsi="Arial" w:cs="Arial"/>
          <w:b/>
          <w:lang w:val="es-MX"/>
        </w:rPr>
      </w:pPr>
    </w:p>
    <w:p w:rsidR="0029779A" w:rsidRDefault="0029779A" w:rsidP="00744D70">
      <w:pPr>
        <w:spacing w:after="0" w:line="360" w:lineRule="auto"/>
        <w:ind w:firstLine="708"/>
        <w:jc w:val="both"/>
        <w:rPr>
          <w:rFonts w:ascii="Arial" w:hAnsi="Arial" w:cs="Arial"/>
          <w:b/>
          <w:lang w:val="es-MX"/>
        </w:rPr>
      </w:pPr>
    </w:p>
    <w:p w:rsidR="0029779A" w:rsidRDefault="0029779A" w:rsidP="00744D70">
      <w:pPr>
        <w:spacing w:after="0" w:line="360" w:lineRule="auto"/>
        <w:ind w:firstLine="708"/>
        <w:jc w:val="both"/>
        <w:rPr>
          <w:rFonts w:ascii="Arial" w:hAnsi="Arial" w:cs="Arial"/>
          <w:b/>
          <w:lang w:val="es-MX"/>
        </w:rPr>
      </w:pPr>
    </w:p>
    <w:p w:rsidR="0029779A" w:rsidRDefault="0029779A" w:rsidP="00744D70">
      <w:pPr>
        <w:spacing w:after="0" w:line="360" w:lineRule="auto"/>
        <w:ind w:firstLine="708"/>
        <w:jc w:val="both"/>
        <w:rPr>
          <w:rFonts w:ascii="Arial" w:hAnsi="Arial" w:cs="Arial"/>
          <w:b/>
          <w:lang w:val="es-MX"/>
        </w:rPr>
      </w:pPr>
    </w:p>
    <w:p w:rsidR="0029779A" w:rsidRDefault="0029779A" w:rsidP="00744D70">
      <w:pPr>
        <w:spacing w:after="0" w:line="360" w:lineRule="auto"/>
        <w:ind w:firstLine="708"/>
        <w:jc w:val="both"/>
        <w:rPr>
          <w:rFonts w:ascii="Arial" w:hAnsi="Arial" w:cs="Arial"/>
          <w:b/>
          <w:lang w:val="es-MX"/>
        </w:rPr>
      </w:pPr>
    </w:p>
    <w:p w:rsidR="0029779A" w:rsidRDefault="0029779A" w:rsidP="00744D70">
      <w:pPr>
        <w:spacing w:after="0" w:line="360" w:lineRule="auto"/>
        <w:ind w:firstLine="708"/>
        <w:jc w:val="both"/>
        <w:rPr>
          <w:rFonts w:ascii="Arial" w:hAnsi="Arial" w:cs="Arial"/>
          <w:b/>
          <w:lang w:val="es-MX"/>
        </w:rPr>
      </w:pPr>
    </w:p>
    <w:p w:rsidR="00744D70" w:rsidRPr="000331B5" w:rsidRDefault="003A4C71" w:rsidP="00744D70">
      <w:pPr>
        <w:spacing w:after="0" w:line="360" w:lineRule="auto"/>
        <w:ind w:firstLine="708"/>
        <w:jc w:val="both"/>
        <w:rPr>
          <w:rFonts w:ascii="Arial" w:hAnsi="Arial" w:cs="Arial"/>
        </w:rPr>
      </w:pPr>
      <w:r>
        <w:rPr>
          <w:rFonts w:ascii="Arial" w:hAnsi="Arial" w:cs="Arial"/>
          <w:b/>
          <w:lang w:val="es-MX"/>
        </w:rPr>
        <w:t>QUINTA</w:t>
      </w:r>
      <w:r w:rsidR="00744D70" w:rsidRPr="003247B3">
        <w:rPr>
          <w:rFonts w:ascii="Arial" w:hAnsi="Arial" w:cs="Arial"/>
          <w:b/>
        </w:rPr>
        <w:t>.-</w:t>
      </w:r>
      <w:r w:rsidR="00744D70" w:rsidRPr="00743413">
        <w:rPr>
          <w:rFonts w:ascii="Arial" w:hAnsi="Arial" w:cs="Arial"/>
          <w:b/>
        </w:rPr>
        <w:t xml:space="preserve"> </w:t>
      </w:r>
      <w:r w:rsidR="00E66D0E" w:rsidRPr="00743413">
        <w:rPr>
          <w:rFonts w:ascii="Arial" w:hAnsi="Arial" w:cs="Arial"/>
        </w:rPr>
        <w:t>Con respecto al trámite y resultados obtenidos, derivados de las solicitudes formuladas por el Congreso del Estado, es de señalar que</w:t>
      </w:r>
      <w:r w:rsidR="0029779A">
        <w:rPr>
          <w:rFonts w:ascii="Arial" w:hAnsi="Arial" w:cs="Arial"/>
        </w:rPr>
        <w:t xml:space="preserve"> no las hubo durante el año 2015</w:t>
      </w:r>
      <w:r w:rsidR="00E66D0E" w:rsidRPr="00743413">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3A4C71"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lang w:val="es-MX"/>
        </w:rPr>
        <w:t>SEXTO</w:t>
      </w:r>
      <w:r w:rsidR="00744D70"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3A4C71" w:rsidP="00E66D0E">
      <w:pPr>
        <w:spacing w:after="0" w:line="360" w:lineRule="auto"/>
        <w:ind w:firstLine="708"/>
        <w:jc w:val="both"/>
        <w:rPr>
          <w:rFonts w:ascii="Arial" w:hAnsi="Arial" w:cs="Arial"/>
          <w:b/>
        </w:rPr>
      </w:pPr>
      <w:r>
        <w:rPr>
          <w:rFonts w:ascii="Arial" w:hAnsi="Arial" w:cs="Arial"/>
          <w:b/>
        </w:rPr>
        <w:t>SEPTIMO</w:t>
      </w:r>
      <w:r w:rsidR="00744D70"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C17821">
        <w:rPr>
          <w:rFonts w:ascii="Arial" w:hAnsi="Arial" w:cs="Arial"/>
        </w:rPr>
        <w:t xml:space="preserve">, </w:t>
      </w:r>
      <w:r w:rsidR="00205AD2">
        <w:rPr>
          <w:rFonts w:ascii="Arial" w:hAnsi="Arial" w:cs="Arial"/>
        </w:rPr>
        <w:t>2012</w:t>
      </w:r>
      <w:r w:rsidR="0029779A">
        <w:rPr>
          <w:rFonts w:ascii="Arial" w:hAnsi="Arial" w:cs="Arial"/>
        </w:rPr>
        <w:t>,</w:t>
      </w:r>
      <w:r w:rsidR="00C17821">
        <w:rPr>
          <w:rFonts w:ascii="Arial" w:hAnsi="Arial" w:cs="Arial"/>
        </w:rPr>
        <w:t xml:space="preserve"> 2013</w:t>
      </w:r>
      <w:r w:rsidR="0029779A">
        <w:rPr>
          <w:rFonts w:ascii="Arial" w:hAnsi="Arial" w:cs="Arial"/>
        </w:rPr>
        <w:t xml:space="preserve"> y 2014</w:t>
      </w:r>
      <w:r w:rsidR="005B1BF1">
        <w:rPr>
          <w:rFonts w:ascii="Arial" w:hAnsi="Arial" w:cs="Arial"/>
        </w:rPr>
        <w:t>.</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xml:space="preserve">, y de conformidad con lo previsto en el artículo 47 inciso c) del Reglamento para el Gobierno Interior del Congreso del Estado de Nuevo León, los integrantes de esta Comisión, a </w:t>
      </w:r>
      <w:r w:rsidRPr="00743413">
        <w:rPr>
          <w:rFonts w:ascii="Arial" w:hAnsi="Arial" w:cs="Arial"/>
        </w:rPr>
        <w:lastRenderedPageBreak/>
        <w:t>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482FC7">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BD54BE">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V</w:t>
      </w:r>
      <w:r w:rsidR="0029779A">
        <w:rPr>
          <w:rFonts w:ascii="Arial" w:hAnsi="Arial" w:cs="Arial"/>
        </w:rPr>
        <w:t>II</w:t>
      </w:r>
      <w:r w:rsidRPr="00743413">
        <w:rPr>
          <w:rFonts w:ascii="Arial" w:hAnsi="Arial" w:cs="Arial"/>
        </w:rPr>
        <w:t xml:space="preserve"> del referido informe, respecto de  las cuales, la Auditoría, de conformidad con lo dispuesto en el artículo 46 de la Ley de Fiscalización Superior del </w:t>
      </w:r>
      <w:r w:rsidRPr="00743413">
        <w:rPr>
          <w:rFonts w:ascii="Arial" w:hAnsi="Arial" w:cs="Arial"/>
        </w:rPr>
        <w:lastRenderedPageBreak/>
        <w:t>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sidR="003B3827">
        <w:rPr>
          <w:rFonts w:ascii="Arial" w:hAnsi="Arial" w:cs="Arial"/>
        </w:rPr>
        <w:t xml:space="preserve">as dentro del apartado </w:t>
      </w:r>
      <w:r>
        <w:rPr>
          <w:rFonts w:ascii="Arial" w:hAnsi="Arial" w:cs="Arial"/>
        </w:rPr>
        <w:t>V</w:t>
      </w:r>
      <w:r w:rsidR="0029779A">
        <w:rPr>
          <w:rFonts w:ascii="Arial" w:hAnsi="Arial" w:cs="Arial"/>
        </w:rPr>
        <w:t>II</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205AD2">
        <w:rPr>
          <w:rFonts w:ascii="Arial" w:hAnsi="Arial" w:cs="Arial"/>
          <w:lang w:val="es-MX"/>
        </w:rPr>
        <w:t>2</w:t>
      </w:r>
      <w:r w:rsidR="0029779A">
        <w:rPr>
          <w:rFonts w:ascii="Arial" w:hAnsi="Arial" w:cs="Arial"/>
          <w:lang w:val="es-MX"/>
        </w:rPr>
        <w:t>9</w:t>
      </w:r>
      <w:r w:rsidR="00D27738">
        <w:rPr>
          <w:rFonts w:ascii="Arial" w:hAnsi="Arial" w:cs="Arial"/>
          <w:lang w:val="es-MX"/>
        </w:rPr>
        <w:t xml:space="preserve"> </w:t>
      </w:r>
      <w:r w:rsidR="003B3827">
        <w:rPr>
          <w:rFonts w:ascii="Arial" w:hAnsi="Arial" w:cs="Arial"/>
          <w:lang w:val="es-MX"/>
        </w:rPr>
        <w:t xml:space="preserve"> y </w:t>
      </w:r>
      <w:r w:rsidR="0029779A">
        <w:rPr>
          <w:rFonts w:ascii="Arial" w:hAnsi="Arial" w:cs="Arial"/>
          <w:lang w:val="es-MX"/>
        </w:rPr>
        <w:t>38</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w:t>
      </w:r>
      <w:r w:rsidR="001677C0">
        <w:rPr>
          <w:rFonts w:ascii="Arial" w:hAnsi="Arial" w:cs="Arial"/>
        </w:rPr>
        <w:lastRenderedPageBreak/>
        <w:t xml:space="preserve">revisada no es acreedora a una manifestación de rechazo respecto a su cuenta pública para el ejercicio </w:t>
      </w:r>
      <w:r w:rsidR="0029779A">
        <w:rPr>
          <w:rFonts w:ascii="Arial" w:hAnsi="Arial" w:cs="Arial"/>
        </w:rPr>
        <w:t>fiscal 2015</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205AD2">
        <w:rPr>
          <w:rFonts w:ascii="Arial" w:hAnsi="Arial" w:cs="Arial"/>
          <w:b/>
          <w:bCs/>
          <w:lang w:val="es-MX" w:eastAsia="es-MX"/>
        </w:rPr>
        <w:t>CUENTA PÚBLICA 201</w:t>
      </w:r>
      <w:r w:rsidR="0029779A">
        <w:rPr>
          <w:rFonts w:ascii="Arial" w:hAnsi="Arial" w:cs="Arial"/>
          <w:b/>
          <w:bCs/>
          <w:lang w:val="es-MX" w:eastAsia="es-MX"/>
        </w:rPr>
        <w:t>5</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Juventud </w:t>
      </w:r>
      <w:r w:rsidR="007449B5">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29779A">
        <w:rPr>
          <w:rFonts w:ascii="Arial" w:hAnsi="Arial" w:cs="Arial"/>
          <w:b/>
          <w:bCs/>
          <w:lang w:val="es-MX" w:eastAsia="es-MX"/>
        </w:rPr>
        <w:t>5</w:t>
      </w:r>
      <w:r w:rsidRPr="00743413">
        <w:rPr>
          <w:rFonts w:ascii="Arial" w:hAnsi="Arial" w:cs="Arial"/>
          <w:b/>
          <w:bCs/>
          <w:lang w:val="es-MX" w:eastAsia="es-MX"/>
        </w:rPr>
        <w:t xml:space="preserve"> </w:t>
      </w:r>
      <w:r w:rsidRPr="00743413">
        <w:rPr>
          <w:rFonts w:ascii="Arial" w:hAnsi="Arial" w:cs="Arial"/>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Juventud </w:t>
      </w:r>
      <w:r>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lastRenderedPageBreak/>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2F0C1B">
        <w:rPr>
          <w:rFonts w:ascii="Arial" w:hAnsi="Arial" w:cs="Arial"/>
          <w:b/>
          <w:color w:val="000000"/>
        </w:rPr>
        <w:t>Instituto</w:t>
      </w:r>
      <w:r w:rsidR="00205AD2">
        <w:rPr>
          <w:rFonts w:ascii="Arial" w:hAnsi="Arial" w:cs="Arial"/>
          <w:b/>
          <w:color w:val="000000"/>
        </w:rPr>
        <w:t xml:space="preserve"> Municipal</w:t>
      </w:r>
      <w:r w:rsidR="002F0C1B">
        <w:rPr>
          <w:rFonts w:ascii="Arial" w:hAnsi="Arial" w:cs="Arial"/>
          <w:b/>
          <w:color w:val="000000"/>
        </w:rPr>
        <w:t xml:space="preserve"> de la Juventud</w:t>
      </w:r>
      <w:r w:rsidR="007449B5">
        <w:rPr>
          <w:rFonts w:ascii="Arial" w:hAnsi="Arial" w:cs="Arial"/>
          <w:b/>
          <w:color w:val="000000"/>
        </w:rPr>
        <w:t xml:space="preserve"> de </w:t>
      </w:r>
      <w:r w:rsidR="002571B7">
        <w:rPr>
          <w:rFonts w:ascii="Arial" w:hAnsi="Arial" w:cs="Arial"/>
          <w:b/>
          <w:color w:val="000000"/>
        </w:rPr>
        <w:t>Apodaca</w:t>
      </w:r>
      <w:r>
        <w:rPr>
          <w:rFonts w:ascii="Arial" w:hAnsi="Arial" w:cs="Arial"/>
          <w:b/>
          <w:color w:val="000000"/>
        </w:rPr>
        <w:t>, Nuevo León</w:t>
      </w:r>
      <w:r w:rsidRPr="00743413">
        <w:rPr>
          <w:rFonts w:ascii="Arial" w:hAnsi="Arial" w:cs="Arial"/>
          <w:lang w:val="es-MX"/>
        </w:rPr>
        <w:t>, para su conocimiento y efectos legales a que haya lugar.</w:t>
      </w:r>
    </w:p>
    <w:p w:rsidR="009437EC" w:rsidRDefault="009437EC" w:rsidP="00744D70">
      <w:pPr>
        <w:spacing w:after="0" w:line="360" w:lineRule="auto"/>
        <w:ind w:firstLine="708"/>
        <w:jc w:val="both"/>
        <w:rPr>
          <w:rFonts w:ascii="Arial" w:hAnsi="Arial" w:cs="Arial"/>
          <w:lang w:val="es-MX"/>
        </w:rPr>
      </w:pPr>
    </w:p>
    <w:p w:rsidR="00A47C7B" w:rsidRDefault="00A47C7B" w:rsidP="00A47C7B">
      <w:pPr>
        <w:spacing w:line="360" w:lineRule="auto"/>
        <w:jc w:val="both"/>
        <w:rPr>
          <w:rFonts w:ascii="Arial" w:hAnsi="Arial" w:cs="Arial"/>
        </w:rPr>
      </w:pPr>
    </w:p>
    <w:p w:rsidR="00A47C7B" w:rsidRDefault="00A47C7B" w:rsidP="00A47C7B">
      <w:pPr>
        <w:spacing w:line="360" w:lineRule="auto"/>
        <w:jc w:val="center"/>
        <w:rPr>
          <w:rFonts w:ascii="Arial" w:hAnsi="Arial" w:cs="Arial"/>
          <w:b/>
          <w:lang w:val="es-MX"/>
        </w:rPr>
      </w:pPr>
      <w:r>
        <w:rPr>
          <w:rFonts w:ascii="Arial" w:hAnsi="Arial" w:cs="Arial"/>
          <w:b/>
          <w:lang w:val="es-MX"/>
        </w:rPr>
        <w:t xml:space="preserve">Monterrey, Nuevo León. A </w:t>
      </w:r>
      <w:r w:rsidR="00C46986">
        <w:rPr>
          <w:rFonts w:ascii="Arial" w:hAnsi="Arial" w:cs="Arial"/>
          <w:b/>
          <w:lang w:val="es-MX"/>
        </w:rPr>
        <w:t>Marzo 2017</w:t>
      </w:r>
      <w:r>
        <w:rPr>
          <w:rFonts w:ascii="Arial" w:hAnsi="Arial" w:cs="Arial"/>
          <w:b/>
          <w:lang w:val="es-MX"/>
        </w:rPr>
        <w:t>.</w:t>
      </w:r>
    </w:p>
    <w:p w:rsidR="00A47C7B" w:rsidRDefault="00A47C7B" w:rsidP="00A47C7B">
      <w:pPr>
        <w:spacing w:line="360" w:lineRule="auto"/>
        <w:jc w:val="center"/>
        <w:rPr>
          <w:rFonts w:ascii="Arial" w:hAnsi="Arial" w:cs="Arial"/>
          <w:b/>
          <w:lang w:val="es-MX"/>
        </w:rPr>
      </w:pPr>
    </w:p>
    <w:p w:rsidR="00A47C7B" w:rsidRDefault="00A47C7B" w:rsidP="00A47C7B">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A47C7B" w:rsidRDefault="00A47C7B" w:rsidP="00A47C7B">
      <w:pPr>
        <w:pStyle w:val="Ttulo3"/>
        <w:jc w:val="center"/>
        <w:rPr>
          <w:rFonts w:ascii="Arial" w:hAnsi="Arial" w:cs="Arial"/>
          <w:b w:val="0"/>
          <w:sz w:val="22"/>
          <w:szCs w:val="22"/>
        </w:rPr>
      </w:pPr>
      <w:r>
        <w:rPr>
          <w:rFonts w:ascii="Arial" w:hAnsi="Arial" w:cs="Arial"/>
        </w:rPr>
        <w:t>PRESIDENTA</w:t>
      </w:r>
    </w:p>
    <w:p w:rsidR="00A47C7B" w:rsidRDefault="00A47C7B" w:rsidP="00A47C7B">
      <w:pPr>
        <w:spacing w:line="360" w:lineRule="auto"/>
        <w:jc w:val="both"/>
        <w:rPr>
          <w:rFonts w:ascii="Arial" w:hAnsi="Arial" w:cs="Arial"/>
          <w:caps/>
        </w:rPr>
      </w:pPr>
    </w:p>
    <w:p w:rsidR="00A47C7B" w:rsidRDefault="00A47C7B" w:rsidP="00A47C7B">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A47C7B" w:rsidRDefault="00A47C7B" w:rsidP="00A47C7B">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A47C7B" w:rsidTr="00A47C7B">
        <w:trPr>
          <w:trHeight w:val="1016"/>
          <w:jc w:val="center"/>
        </w:trPr>
        <w:tc>
          <w:tcPr>
            <w:tcW w:w="3131" w:type="dxa"/>
          </w:tcPr>
          <w:p w:rsidR="00A47C7B" w:rsidRDefault="00A47C7B">
            <w:pPr>
              <w:spacing w:line="360" w:lineRule="auto"/>
              <w:jc w:val="center"/>
              <w:rPr>
                <w:rFonts w:ascii="Arial" w:hAnsi="Arial" w:cs="Arial"/>
                <w:b/>
                <w:bCs/>
                <w:lang w:val="es-MX"/>
              </w:rPr>
            </w:pPr>
            <w:r>
              <w:rPr>
                <w:rFonts w:ascii="Arial" w:hAnsi="Arial" w:cs="Arial"/>
                <w:b/>
                <w:bCs/>
                <w:lang w:val="es-MX"/>
              </w:rPr>
              <w:t>DIP. VICEPRESIDENTE:</w:t>
            </w:r>
          </w:p>
          <w:p w:rsidR="00A47C7B" w:rsidRDefault="00A47C7B">
            <w:pPr>
              <w:spacing w:line="360" w:lineRule="auto"/>
              <w:ind w:left="74" w:hanging="72"/>
              <w:jc w:val="center"/>
              <w:rPr>
                <w:rFonts w:ascii="Arial" w:hAnsi="Arial" w:cs="Arial"/>
                <w:b/>
                <w:bCs/>
                <w:lang w:val="es-MX"/>
              </w:rPr>
            </w:pPr>
          </w:p>
        </w:tc>
        <w:tc>
          <w:tcPr>
            <w:tcW w:w="3733" w:type="dxa"/>
          </w:tcPr>
          <w:p w:rsidR="00A47C7B" w:rsidRDefault="00A47C7B">
            <w:pPr>
              <w:spacing w:line="360" w:lineRule="auto"/>
              <w:jc w:val="center"/>
              <w:rPr>
                <w:rFonts w:ascii="Arial" w:hAnsi="Arial" w:cs="Arial"/>
                <w:b/>
                <w:bCs/>
              </w:rPr>
            </w:pPr>
            <w:r>
              <w:rPr>
                <w:rFonts w:ascii="Arial" w:hAnsi="Arial" w:cs="Arial"/>
                <w:b/>
                <w:bCs/>
              </w:rPr>
              <w:t>DIP. SECRETARIO:</w:t>
            </w:r>
          </w:p>
          <w:p w:rsidR="00A47C7B" w:rsidRDefault="00A47C7B">
            <w:pPr>
              <w:spacing w:line="360" w:lineRule="auto"/>
              <w:jc w:val="center"/>
              <w:rPr>
                <w:rFonts w:ascii="Arial" w:hAnsi="Arial" w:cs="Arial"/>
                <w:b/>
                <w:bCs/>
              </w:rPr>
            </w:pPr>
          </w:p>
        </w:tc>
      </w:tr>
      <w:tr w:rsidR="00A47C7B" w:rsidTr="00A47C7B">
        <w:trPr>
          <w:trHeight w:val="508"/>
          <w:jc w:val="center"/>
        </w:trPr>
        <w:tc>
          <w:tcPr>
            <w:tcW w:w="3131" w:type="dxa"/>
          </w:tcPr>
          <w:p w:rsidR="00A47C7B" w:rsidRDefault="00A47C7B">
            <w:pPr>
              <w:spacing w:line="360" w:lineRule="auto"/>
              <w:ind w:left="74"/>
              <w:rPr>
                <w:rFonts w:ascii="Arial" w:hAnsi="Arial" w:cs="Arial"/>
              </w:rPr>
            </w:pPr>
            <w:r>
              <w:rPr>
                <w:rFonts w:ascii="Arial" w:hAnsi="Arial" w:cs="Arial"/>
              </w:rPr>
              <w:t>JOSE LUIS SANTOS MARTÍNEZ</w:t>
            </w:r>
          </w:p>
          <w:p w:rsidR="00A47C7B" w:rsidRDefault="00A47C7B">
            <w:pPr>
              <w:spacing w:line="360" w:lineRule="auto"/>
              <w:ind w:left="74"/>
              <w:jc w:val="center"/>
              <w:rPr>
                <w:rFonts w:ascii="Arial" w:hAnsi="Arial" w:cs="Arial"/>
              </w:rPr>
            </w:pPr>
          </w:p>
        </w:tc>
        <w:tc>
          <w:tcPr>
            <w:tcW w:w="3733" w:type="dxa"/>
            <w:hideMark/>
          </w:tcPr>
          <w:p w:rsidR="00A47C7B" w:rsidRDefault="00A47C7B">
            <w:pPr>
              <w:spacing w:line="360" w:lineRule="auto"/>
              <w:ind w:left="74"/>
              <w:jc w:val="center"/>
              <w:rPr>
                <w:rFonts w:ascii="Arial" w:hAnsi="Arial" w:cs="Arial"/>
              </w:rPr>
            </w:pPr>
            <w:r>
              <w:rPr>
                <w:rFonts w:ascii="Arial" w:hAnsi="Arial" w:cs="Arial"/>
              </w:rPr>
              <w:t>RUBÉN GONZÁLEZ CABRIELES</w:t>
            </w:r>
          </w:p>
        </w:tc>
      </w:tr>
      <w:tr w:rsidR="00A47C7B" w:rsidTr="00A47C7B">
        <w:trPr>
          <w:trHeight w:val="1035"/>
          <w:jc w:val="center"/>
        </w:trPr>
        <w:tc>
          <w:tcPr>
            <w:tcW w:w="3131" w:type="dxa"/>
            <w:hideMark/>
          </w:tcPr>
          <w:p w:rsidR="00A47C7B" w:rsidRDefault="00A47C7B">
            <w:pPr>
              <w:spacing w:line="360" w:lineRule="auto"/>
              <w:ind w:left="74"/>
              <w:jc w:val="center"/>
              <w:rPr>
                <w:rFonts w:ascii="Arial" w:hAnsi="Arial" w:cs="Arial"/>
                <w:b/>
                <w:bCs/>
              </w:rPr>
            </w:pPr>
            <w:r>
              <w:rPr>
                <w:rFonts w:ascii="Arial" w:hAnsi="Arial" w:cs="Arial"/>
                <w:b/>
                <w:bCs/>
              </w:rPr>
              <w:t>DIP. VOCAL:</w:t>
            </w:r>
          </w:p>
        </w:tc>
        <w:tc>
          <w:tcPr>
            <w:tcW w:w="3733" w:type="dxa"/>
          </w:tcPr>
          <w:p w:rsidR="00A47C7B" w:rsidRDefault="00A47C7B">
            <w:pPr>
              <w:spacing w:line="360" w:lineRule="auto"/>
              <w:ind w:left="74"/>
              <w:jc w:val="center"/>
              <w:rPr>
                <w:rFonts w:ascii="Arial" w:hAnsi="Arial" w:cs="Arial"/>
                <w:b/>
                <w:bCs/>
              </w:rPr>
            </w:pPr>
            <w:r>
              <w:rPr>
                <w:rFonts w:ascii="Arial" w:hAnsi="Arial" w:cs="Arial"/>
                <w:b/>
                <w:bCs/>
              </w:rPr>
              <w:t>DIP. VOCAL:</w:t>
            </w:r>
          </w:p>
          <w:p w:rsidR="00A47C7B" w:rsidRDefault="00A47C7B">
            <w:pPr>
              <w:spacing w:line="360" w:lineRule="auto"/>
              <w:ind w:left="74"/>
              <w:jc w:val="center"/>
              <w:rPr>
                <w:rFonts w:ascii="Arial" w:hAnsi="Arial" w:cs="Arial"/>
                <w:b/>
                <w:bCs/>
              </w:rPr>
            </w:pPr>
          </w:p>
        </w:tc>
      </w:tr>
      <w:tr w:rsidR="00A47C7B" w:rsidTr="00A47C7B">
        <w:trPr>
          <w:trHeight w:val="752"/>
          <w:jc w:val="center"/>
        </w:trPr>
        <w:tc>
          <w:tcPr>
            <w:tcW w:w="3131" w:type="dxa"/>
            <w:hideMark/>
          </w:tcPr>
          <w:p w:rsidR="00A47C7B" w:rsidRDefault="00A47C7B">
            <w:pPr>
              <w:spacing w:line="360" w:lineRule="auto"/>
              <w:ind w:left="74"/>
              <w:rPr>
                <w:rFonts w:ascii="Arial" w:hAnsi="Arial" w:cs="Arial"/>
              </w:rPr>
            </w:pPr>
            <w:r>
              <w:rPr>
                <w:rFonts w:ascii="Arial" w:hAnsi="Arial" w:cs="Arial"/>
              </w:rPr>
              <w:lastRenderedPageBreak/>
              <w:t>ANDRÉS MAURICIO CANTÚ RAMÍREZ</w:t>
            </w:r>
          </w:p>
        </w:tc>
        <w:tc>
          <w:tcPr>
            <w:tcW w:w="3733" w:type="dxa"/>
            <w:hideMark/>
          </w:tcPr>
          <w:p w:rsidR="00A47C7B" w:rsidRDefault="00A47C7B">
            <w:pPr>
              <w:spacing w:line="360" w:lineRule="auto"/>
              <w:ind w:left="74"/>
              <w:rPr>
                <w:rFonts w:ascii="Arial" w:hAnsi="Arial" w:cs="Arial"/>
              </w:rPr>
            </w:pPr>
            <w:r>
              <w:rPr>
                <w:rFonts w:ascii="Arial" w:hAnsi="Arial" w:cs="Arial"/>
              </w:rPr>
              <w:t>ALICIA MARIBEL VILLALÓN GONZÁLEZ</w:t>
            </w:r>
          </w:p>
        </w:tc>
      </w:tr>
      <w:tr w:rsidR="00A47C7B" w:rsidTr="00A47C7B">
        <w:trPr>
          <w:trHeight w:val="771"/>
          <w:jc w:val="center"/>
        </w:trPr>
        <w:tc>
          <w:tcPr>
            <w:tcW w:w="3131" w:type="dxa"/>
          </w:tcPr>
          <w:p w:rsidR="00A47C7B" w:rsidRDefault="00A47C7B">
            <w:pPr>
              <w:spacing w:line="360" w:lineRule="auto"/>
              <w:jc w:val="center"/>
              <w:rPr>
                <w:rFonts w:ascii="Arial" w:hAnsi="Arial" w:cs="Arial"/>
                <w:b/>
                <w:bCs/>
              </w:rPr>
            </w:pPr>
            <w:r>
              <w:rPr>
                <w:rFonts w:ascii="Arial" w:hAnsi="Arial" w:cs="Arial"/>
                <w:b/>
                <w:bCs/>
              </w:rPr>
              <w:t>DIP. VOCAL:</w:t>
            </w:r>
          </w:p>
          <w:p w:rsidR="00A47C7B" w:rsidRDefault="00A47C7B">
            <w:pPr>
              <w:spacing w:line="360" w:lineRule="auto"/>
              <w:jc w:val="center"/>
              <w:rPr>
                <w:rFonts w:ascii="Arial" w:hAnsi="Arial" w:cs="Arial"/>
                <w:b/>
                <w:bCs/>
              </w:rPr>
            </w:pPr>
          </w:p>
        </w:tc>
        <w:tc>
          <w:tcPr>
            <w:tcW w:w="3733" w:type="dxa"/>
          </w:tcPr>
          <w:p w:rsidR="00A47C7B" w:rsidRDefault="00A47C7B">
            <w:pPr>
              <w:spacing w:line="360" w:lineRule="auto"/>
              <w:jc w:val="center"/>
              <w:rPr>
                <w:rFonts w:ascii="Arial" w:hAnsi="Arial" w:cs="Arial"/>
                <w:b/>
                <w:bCs/>
              </w:rPr>
            </w:pPr>
            <w:r>
              <w:rPr>
                <w:rFonts w:ascii="Arial" w:hAnsi="Arial" w:cs="Arial"/>
                <w:b/>
                <w:bCs/>
              </w:rPr>
              <w:t>DIP. VOCAL:</w:t>
            </w:r>
          </w:p>
          <w:p w:rsidR="00A47C7B" w:rsidRDefault="00A47C7B">
            <w:pPr>
              <w:spacing w:line="360" w:lineRule="auto"/>
              <w:jc w:val="center"/>
              <w:rPr>
                <w:rFonts w:ascii="Arial" w:hAnsi="Arial" w:cs="Arial"/>
                <w:b/>
                <w:bCs/>
              </w:rPr>
            </w:pPr>
          </w:p>
          <w:p w:rsidR="00A47C7B" w:rsidRDefault="00A47C7B">
            <w:pPr>
              <w:spacing w:line="360" w:lineRule="auto"/>
              <w:ind w:left="74"/>
              <w:jc w:val="center"/>
              <w:rPr>
                <w:rFonts w:ascii="Arial" w:hAnsi="Arial" w:cs="Arial"/>
                <w:b/>
                <w:bCs/>
              </w:rPr>
            </w:pPr>
          </w:p>
        </w:tc>
      </w:tr>
      <w:tr w:rsidR="00A47C7B" w:rsidTr="00A47C7B">
        <w:trPr>
          <w:trHeight w:val="508"/>
          <w:jc w:val="center"/>
        </w:trPr>
        <w:tc>
          <w:tcPr>
            <w:tcW w:w="3131" w:type="dxa"/>
            <w:hideMark/>
          </w:tcPr>
          <w:p w:rsidR="00A47C7B" w:rsidRDefault="00A47C7B">
            <w:pPr>
              <w:spacing w:line="360" w:lineRule="auto"/>
              <w:ind w:left="74"/>
              <w:rPr>
                <w:rFonts w:ascii="Arial" w:hAnsi="Arial" w:cs="Arial"/>
              </w:rPr>
            </w:pPr>
            <w:r>
              <w:rPr>
                <w:rFonts w:ascii="Arial" w:hAnsi="Arial" w:cs="Arial"/>
              </w:rPr>
              <w:t xml:space="preserve">MARCO ANTONIO MARTINEZ DIAZ </w:t>
            </w:r>
          </w:p>
        </w:tc>
        <w:tc>
          <w:tcPr>
            <w:tcW w:w="3733" w:type="dxa"/>
            <w:hideMark/>
          </w:tcPr>
          <w:p w:rsidR="00A47C7B" w:rsidRDefault="00A47C7B">
            <w:pPr>
              <w:spacing w:line="360" w:lineRule="auto"/>
              <w:ind w:left="74"/>
              <w:jc w:val="center"/>
              <w:rPr>
                <w:rFonts w:ascii="Arial" w:hAnsi="Arial" w:cs="Arial"/>
              </w:rPr>
            </w:pPr>
            <w:r>
              <w:rPr>
                <w:rFonts w:ascii="Arial" w:hAnsi="Arial" w:cs="Arial"/>
              </w:rPr>
              <w:t>ROSALVA LLANES RIVERA</w:t>
            </w:r>
          </w:p>
        </w:tc>
      </w:tr>
      <w:tr w:rsidR="00A47C7B" w:rsidTr="00A47C7B">
        <w:trPr>
          <w:trHeight w:val="1016"/>
          <w:jc w:val="center"/>
        </w:trPr>
        <w:tc>
          <w:tcPr>
            <w:tcW w:w="3131" w:type="dxa"/>
            <w:hideMark/>
          </w:tcPr>
          <w:p w:rsidR="00A47C7B" w:rsidRDefault="00A47C7B">
            <w:pPr>
              <w:spacing w:line="360" w:lineRule="auto"/>
              <w:jc w:val="center"/>
              <w:rPr>
                <w:rFonts w:ascii="Arial" w:hAnsi="Arial" w:cs="Arial"/>
                <w:b/>
                <w:bCs/>
              </w:rPr>
            </w:pPr>
            <w:r>
              <w:rPr>
                <w:rFonts w:ascii="Arial" w:hAnsi="Arial" w:cs="Arial"/>
                <w:b/>
                <w:bCs/>
              </w:rPr>
              <w:t>DIP. VOCAL:</w:t>
            </w:r>
          </w:p>
        </w:tc>
        <w:tc>
          <w:tcPr>
            <w:tcW w:w="3733" w:type="dxa"/>
          </w:tcPr>
          <w:p w:rsidR="00A47C7B" w:rsidRDefault="00A47C7B">
            <w:pPr>
              <w:spacing w:line="360" w:lineRule="auto"/>
              <w:jc w:val="center"/>
              <w:rPr>
                <w:rFonts w:ascii="Arial" w:hAnsi="Arial" w:cs="Arial"/>
                <w:b/>
                <w:bCs/>
              </w:rPr>
            </w:pPr>
            <w:r>
              <w:rPr>
                <w:rFonts w:ascii="Arial" w:hAnsi="Arial" w:cs="Arial"/>
                <w:b/>
                <w:bCs/>
              </w:rPr>
              <w:t>DIP. VOCAL:</w:t>
            </w:r>
          </w:p>
          <w:p w:rsidR="00A47C7B" w:rsidRDefault="00A47C7B">
            <w:pPr>
              <w:spacing w:line="360" w:lineRule="auto"/>
              <w:ind w:left="74"/>
              <w:jc w:val="center"/>
              <w:rPr>
                <w:rFonts w:ascii="Arial" w:hAnsi="Arial" w:cs="Arial"/>
                <w:b/>
                <w:bCs/>
              </w:rPr>
            </w:pPr>
          </w:p>
          <w:p w:rsidR="00A47C7B" w:rsidRDefault="00A47C7B">
            <w:pPr>
              <w:spacing w:line="360" w:lineRule="auto"/>
              <w:ind w:left="74"/>
              <w:jc w:val="center"/>
              <w:rPr>
                <w:rFonts w:ascii="Arial" w:hAnsi="Arial" w:cs="Arial"/>
                <w:b/>
                <w:bCs/>
              </w:rPr>
            </w:pPr>
          </w:p>
        </w:tc>
      </w:tr>
      <w:tr w:rsidR="00A47C7B" w:rsidTr="00A47C7B">
        <w:trPr>
          <w:trHeight w:val="527"/>
          <w:jc w:val="center"/>
        </w:trPr>
        <w:tc>
          <w:tcPr>
            <w:tcW w:w="3131" w:type="dxa"/>
            <w:hideMark/>
          </w:tcPr>
          <w:p w:rsidR="00A47C7B" w:rsidRDefault="00A47C7B">
            <w:pPr>
              <w:spacing w:line="360" w:lineRule="auto"/>
              <w:ind w:left="74"/>
              <w:rPr>
                <w:rFonts w:ascii="Arial" w:hAnsi="Arial" w:cs="Arial"/>
              </w:rPr>
            </w:pPr>
            <w:r>
              <w:rPr>
                <w:rFonts w:ascii="Arial" w:hAnsi="Arial" w:cs="Arial"/>
              </w:rPr>
              <w:t>ANGEL ALBERTO BARROSO CORREA</w:t>
            </w:r>
          </w:p>
        </w:tc>
        <w:tc>
          <w:tcPr>
            <w:tcW w:w="3733" w:type="dxa"/>
          </w:tcPr>
          <w:p w:rsidR="00A47C7B" w:rsidRDefault="00A47C7B">
            <w:pPr>
              <w:spacing w:line="360" w:lineRule="auto"/>
              <w:ind w:left="74"/>
              <w:rPr>
                <w:rFonts w:ascii="Arial" w:hAnsi="Arial" w:cs="Arial"/>
              </w:rPr>
            </w:pPr>
            <w:r>
              <w:rPr>
                <w:rFonts w:ascii="Arial" w:hAnsi="Arial" w:cs="Arial"/>
              </w:rPr>
              <w:t>LETICIA MARLENE BENVENUTTI VILLARREAL</w:t>
            </w:r>
          </w:p>
          <w:p w:rsidR="00A47C7B" w:rsidRDefault="00A47C7B">
            <w:pPr>
              <w:spacing w:line="360" w:lineRule="auto"/>
              <w:ind w:left="74"/>
              <w:jc w:val="center"/>
              <w:rPr>
                <w:rFonts w:ascii="Arial" w:hAnsi="Arial" w:cs="Arial"/>
              </w:rPr>
            </w:pPr>
          </w:p>
          <w:p w:rsidR="00A47C7B" w:rsidRDefault="00A47C7B">
            <w:pPr>
              <w:spacing w:line="360" w:lineRule="auto"/>
              <w:ind w:left="74"/>
              <w:jc w:val="center"/>
              <w:rPr>
                <w:rFonts w:ascii="Arial" w:hAnsi="Arial" w:cs="Arial"/>
              </w:rPr>
            </w:pPr>
          </w:p>
          <w:p w:rsidR="00A47C7B" w:rsidRDefault="00A47C7B">
            <w:pPr>
              <w:spacing w:line="360" w:lineRule="auto"/>
              <w:ind w:left="74"/>
              <w:jc w:val="center"/>
              <w:rPr>
                <w:rFonts w:ascii="Arial" w:hAnsi="Arial" w:cs="Arial"/>
              </w:rPr>
            </w:pPr>
          </w:p>
        </w:tc>
      </w:tr>
      <w:tr w:rsidR="00A47C7B" w:rsidTr="00A47C7B">
        <w:trPr>
          <w:trHeight w:val="1016"/>
          <w:jc w:val="center"/>
        </w:trPr>
        <w:tc>
          <w:tcPr>
            <w:tcW w:w="3131" w:type="dxa"/>
            <w:hideMark/>
          </w:tcPr>
          <w:p w:rsidR="00A47C7B" w:rsidRDefault="00A47C7B">
            <w:pPr>
              <w:spacing w:line="360" w:lineRule="auto"/>
              <w:ind w:left="74"/>
              <w:jc w:val="center"/>
              <w:rPr>
                <w:rFonts w:ascii="Arial" w:hAnsi="Arial" w:cs="Arial"/>
                <w:b/>
                <w:bCs/>
              </w:rPr>
            </w:pPr>
            <w:r>
              <w:rPr>
                <w:rFonts w:ascii="Arial" w:hAnsi="Arial" w:cs="Arial"/>
                <w:b/>
                <w:bCs/>
              </w:rPr>
              <w:t>DIP. VOCAL:</w:t>
            </w:r>
          </w:p>
        </w:tc>
        <w:tc>
          <w:tcPr>
            <w:tcW w:w="3733" w:type="dxa"/>
          </w:tcPr>
          <w:p w:rsidR="00A47C7B" w:rsidRDefault="00A47C7B">
            <w:pPr>
              <w:spacing w:line="360" w:lineRule="auto"/>
              <w:ind w:left="74"/>
              <w:jc w:val="center"/>
              <w:rPr>
                <w:rFonts w:ascii="Arial" w:hAnsi="Arial" w:cs="Arial"/>
                <w:b/>
                <w:bCs/>
              </w:rPr>
            </w:pPr>
            <w:r>
              <w:rPr>
                <w:rFonts w:ascii="Arial" w:hAnsi="Arial" w:cs="Arial"/>
                <w:b/>
                <w:bCs/>
              </w:rPr>
              <w:t>DIP. VOCAL:</w:t>
            </w:r>
          </w:p>
          <w:p w:rsidR="00A47C7B" w:rsidRDefault="00A47C7B">
            <w:pPr>
              <w:spacing w:line="360" w:lineRule="auto"/>
              <w:ind w:left="74"/>
              <w:jc w:val="center"/>
              <w:rPr>
                <w:rFonts w:ascii="Arial" w:hAnsi="Arial" w:cs="Arial"/>
                <w:b/>
                <w:bCs/>
              </w:rPr>
            </w:pPr>
          </w:p>
          <w:p w:rsidR="00A47C7B" w:rsidRDefault="00A47C7B">
            <w:pPr>
              <w:spacing w:line="360" w:lineRule="auto"/>
              <w:jc w:val="center"/>
              <w:rPr>
                <w:rFonts w:ascii="Arial" w:hAnsi="Arial" w:cs="Arial"/>
                <w:b/>
                <w:bCs/>
              </w:rPr>
            </w:pPr>
          </w:p>
        </w:tc>
      </w:tr>
      <w:tr w:rsidR="00A47C7B" w:rsidTr="00A47C7B">
        <w:trPr>
          <w:trHeight w:val="508"/>
          <w:jc w:val="center"/>
        </w:trPr>
        <w:tc>
          <w:tcPr>
            <w:tcW w:w="3131" w:type="dxa"/>
            <w:hideMark/>
          </w:tcPr>
          <w:p w:rsidR="00A47C7B" w:rsidRDefault="00A47C7B">
            <w:pPr>
              <w:spacing w:line="360" w:lineRule="auto"/>
              <w:ind w:left="74"/>
              <w:rPr>
                <w:rFonts w:ascii="Arial" w:hAnsi="Arial" w:cs="Arial"/>
              </w:rPr>
            </w:pPr>
            <w:r>
              <w:rPr>
                <w:rFonts w:ascii="Arial" w:hAnsi="Arial" w:cs="Arial"/>
              </w:rPr>
              <w:lastRenderedPageBreak/>
              <w:t>DANIEL CARRILLO MARTÍNEZ</w:t>
            </w:r>
          </w:p>
        </w:tc>
        <w:tc>
          <w:tcPr>
            <w:tcW w:w="3733" w:type="dxa"/>
            <w:hideMark/>
          </w:tcPr>
          <w:p w:rsidR="00A47C7B" w:rsidRDefault="00A47C7B">
            <w:pPr>
              <w:spacing w:line="360" w:lineRule="auto"/>
              <w:ind w:left="74"/>
              <w:jc w:val="center"/>
              <w:rPr>
                <w:rFonts w:ascii="Arial" w:hAnsi="Arial" w:cs="Arial"/>
              </w:rPr>
            </w:pPr>
            <w:r>
              <w:rPr>
                <w:rFonts w:ascii="Arial" w:hAnsi="Arial" w:cs="Arial"/>
              </w:rPr>
              <w:t>COSME JULIAN LEAL CANTÚ</w:t>
            </w:r>
          </w:p>
        </w:tc>
      </w:tr>
    </w:tbl>
    <w:p w:rsidR="00A47C7B" w:rsidRDefault="00A47C7B" w:rsidP="00A47C7B">
      <w:pPr>
        <w:rPr>
          <w:rFonts w:ascii="Arial" w:hAnsi="Arial" w:cs="Arial"/>
        </w:rPr>
      </w:pPr>
    </w:p>
    <w:p w:rsidR="00744D70" w:rsidRPr="00A4615F" w:rsidRDefault="00744D70" w:rsidP="00A47C7B">
      <w:pPr>
        <w:spacing w:after="0" w:line="360" w:lineRule="auto"/>
        <w:ind w:firstLine="708"/>
        <w:jc w:val="both"/>
        <w:rPr>
          <w:rFonts w:ascii="Arial" w:hAnsi="Arial" w:cs="Arial"/>
          <w:lang w:val="es-ES_tradnl"/>
        </w:rPr>
      </w:pPr>
      <w:bookmarkStart w:id="0" w:name="_GoBack"/>
      <w:bookmarkEnd w:id="0"/>
    </w:p>
    <w:sectPr w:rsidR="00744D70" w:rsidRPr="00A4615F" w:rsidSect="00721677">
      <w:headerReference w:type="default" r:id="rId8"/>
      <w:footerReference w:type="default" r:id="rId9"/>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B2" w:rsidRDefault="00E003B2" w:rsidP="003025A5">
      <w:pPr>
        <w:spacing w:after="0" w:line="240" w:lineRule="auto"/>
      </w:pPr>
      <w:r>
        <w:separator/>
      </w:r>
    </w:p>
  </w:endnote>
  <w:endnote w:type="continuationSeparator" w:id="0">
    <w:p w:rsidR="00E003B2" w:rsidRDefault="00E003B2"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pPr>
      <w:pStyle w:val="Piedepgina"/>
      <w:jc w:val="right"/>
    </w:pPr>
    <w:r>
      <w:fldChar w:fldCharType="begin"/>
    </w:r>
    <w:r>
      <w:instrText xml:space="preserve"> PAGE   \* MERGEFORMAT </w:instrText>
    </w:r>
    <w:r>
      <w:fldChar w:fldCharType="separate"/>
    </w:r>
    <w:r w:rsidR="00B51E8C">
      <w:rPr>
        <w:noProof/>
      </w:rPr>
      <w:t>19</w:t>
    </w:r>
    <w:r>
      <w:fldChar w:fldCharType="end"/>
    </w:r>
  </w:p>
  <w:p w:rsidR="009733AD" w:rsidRPr="0088072B" w:rsidRDefault="009733A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9733AD" w:rsidRPr="0088072B" w:rsidRDefault="00671A27" w:rsidP="00CF7F14">
    <w:pPr>
      <w:pStyle w:val="Piedepgina"/>
      <w:jc w:val="center"/>
      <w:rPr>
        <w:rFonts w:ascii="Century Gothic" w:hAnsi="Century Gothic"/>
      </w:rPr>
    </w:pPr>
    <w:r>
      <w:rPr>
        <w:rFonts w:ascii="Century Gothic" w:hAnsi="Century Gothic"/>
      </w:rPr>
      <w:t>Expediente 10502</w:t>
    </w:r>
    <w:r w:rsidR="00601E44">
      <w:rPr>
        <w:rFonts w:ascii="Century Gothic" w:hAnsi="Century Gothic"/>
      </w:rPr>
      <w:t>/LXXIV</w:t>
    </w:r>
  </w:p>
  <w:p w:rsidR="009733AD" w:rsidRPr="003025A5" w:rsidRDefault="009733AD" w:rsidP="003C1E24">
    <w:pPr>
      <w:pStyle w:val="Piedepgina"/>
      <w:jc w:val="center"/>
      <w:rPr>
        <w:rFonts w:ascii="Arial" w:hAnsi="Arial" w:cs="Arial"/>
        <w:sz w:val="18"/>
        <w:szCs w:val="18"/>
      </w:rPr>
    </w:pPr>
  </w:p>
  <w:p w:rsidR="009733AD" w:rsidRDefault="00973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B2" w:rsidRDefault="00E003B2" w:rsidP="003025A5">
      <w:pPr>
        <w:spacing w:after="0" w:line="240" w:lineRule="auto"/>
      </w:pPr>
      <w:r>
        <w:separator/>
      </w:r>
    </w:p>
  </w:footnote>
  <w:footnote w:type="continuationSeparator" w:id="0">
    <w:p w:rsidR="00E003B2" w:rsidRDefault="00E003B2"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rsidP="003C1E24">
    <w:pPr>
      <w:pStyle w:val="Encabezado"/>
      <w:jc w:val="center"/>
    </w:pPr>
  </w:p>
  <w:p w:rsidR="009733AD" w:rsidRDefault="00973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4C5766B"/>
    <w:multiLevelType w:val="hybridMultilevel"/>
    <w:tmpl w:val="AE128E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FD7999"/>
    <w:multiLevelType w:val="hybridMultilevel"/>
    <w:tmpl w:val="7ABE37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FF79BE"/>
    <w:multiLevelType w:val="hybridMultilevel"/>
    <w:tmpl w:val="E4BEE4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682F94"/>
    <w:multiLevelType w:val="hybridMultilevel"/>
    <w:tmpl w:val="C00AB8DE"/>
    <w:lvl w:ilvl="0" w:tplc="ADA41CB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BFE725C"/>
    <w:multiLevelType w:val="hybridMultilevel"/>
    <w:tmpl w:val="BB30A9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DF7429"/>
    <w:multiLevelType w:val="hybridMultilevel"/>
    <w:tmpl w:val="BD9E11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1C790F"/>
    <w:multiLevelType w:val="hybridMultilevel"/>
    <w:tmpl w:val="5AAE3F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FB12ADF"/>
    <w:multiLevelType w:val="hybridMultilevel"/>
    <w:tmpl w:val="14B24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00127D"/>
    <w:multiLevelType w:val="hybridMultilevel"/>
    <w:tmpl w:val="244856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F13675"/>
    <w:multiLevelType w:val="hybridMultilevel"/>
    <w:tmpl w:val="7A104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7C172E"/>
    <w:multiLevelType w:val="hybridMultilevel"/>
    <w:tmpl w:val="35928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C3E3D27"/>
    <w:multiLevelType w:val="hybridMultilevel"/>
    <w:tmpl w:val="10AAC3FA"/>
    <w:lvl w:ilvl="0" w:tplc="F90E12C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520394"/>
    <w:multiLevelType w:val="hybridMultilevel"/>
    <w:tmpl w:val="98F6B378"/>
    <w:lvl w:ilvl="0" w:tplc="2C647D8A">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636186"/>
    <w:multiLevelType w:val="hybridMultilevel"/>
    <w:tmpl w:val="44841338"/>
    <w:lvl w:ilvl="0" w:tplc="ED2648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5E203AB5"/>
    <w:multiLevelType w:val="hybridMultilevel"/>
    <w:tmpl w:val="FB66303C"/>
    <w:lvl w:ilvl="0" w:tplc="E7D0A96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5FBE37EC"/>
    <w:multiLevelType w:val="hybridMultilevel"/>
    <w:tmpl w:val="56FA3558"/>
    <w:lvl w:ilvl="0" w:tplc="EA1CDF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5B1F9B"/>
    <w:multiLevelType w:val="hybridMultilevel"/>
    <w:tmpl w:val="597077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FA59CF"/>
    <w:multiLevelType w:val="hybridMultilevel"/>
    <w:tmpl w:val="333E3C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7547C7"/>
    <w:multiLevelType w:val="hybridMultilevel"/>
    <w:tmpl w:val="DBD663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4F351F1"/>
    <w:multiLevelType w:val="hybridMultilevel"/>
    <w:tmpl w:val="88709B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B11D4C"/>
    <w:multiLevelType w:val="hybridMultilevel"/>
    <w:tmpl w:val="56B0113C"/>
    <w:lvl w:ilvl="0" w:tplc="4AD4F8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4"/>
  </w:num>
  <w:num w:numId="2">
    <w:abstractNumId w:val="31"/>
  </w:num>
  <w:num w:numId="3">
    <w:abstractNumId w:val="13"/>
  </w:num>
  <w:num w:numId="4">
    <w:abstractNumId w:val="8"/>
  </w:num>
  <w:num w:numId="5">
    <w:abstractNumId w:val="0"/>
  </w:num>
  <w:num w:numId="6">
    <w:abstractNumId w:val="21"/>
  </w:num>
  <w:num w:numId="7">
    <w:abstractNumId w:val="6"/>
  </w:num>
  <w:num w:numId="8">
    <w:abstractNumId w:val="17"/>
  </w:num>
  <w:num w:numId="9">
    <w:abstractNumId w:val="32"/>
  </w:num>
  <w:num w:numId="10">
    <w:abstractNumId w:val="1"/>
  </w:num>
  <w:num w:numId="11">
    <w:abstractNumId w:val="27"/>
  </w:num>
  <w:num w:numId="12">
    <w:abstractNumId w:val="11"/>
  </w:num>
  <w:num w:numId="13">
    <w:abstractNumId w:val="28"/>
  </w:num>
  <w:num w:numId="14">
    <w:abstractNumId w:val="33"/>
  </w:num>
  <w:num w:numId="15">
    <w:abstractNumId w:val="24"/>
  </w:num>
  <w:num w:numId="16">
    <w:abstractNumId w:val="4"/>
  </w:num>
  <w:num w:numId="17">
    <w:abstractNumId w:val="9"/>
  </w:num>
  <w:num w:numId="18">
    <w:abstractNumId w:val="3"/>
  </w:num>
  <w:num w:numId="19">
    <w:abstractNumId w:val="26"/>
  </w:num>
  <w:num w:numId="20">
    <w:abstractNumId w:val="29"/>
  </w:num>
  <w:num w:numId="21">
    <w:abstractNumId w:val="23"/>
  </w:num>
  <w:num w:numId="22">
    <w:abstractNumId w:val="19"/>
  </w:num>
  <w:num w:numId="23">
    <w:abstractNumId w:val="30"/>
  </w:num>
  <w:num w:numId="24">
    <w:abstractNumId w:val="12"/>
  </w:num>
  <w:num w:numId="25">
    <w:abstractNumId w:val="10"/>
  </w:num>
  <w:num w:numId="26">
    <w:abstractNumId w:val="16"/>
  </w:num>
  <w:num w:numId="27">
    <w:abstractNumId w:val="18"/>
  </w:num>
  <w:num w:numId="28">
    <w:abstractNumId w:val="5"/>
  </w:num>
  <w:num w:numId="29">
    <w:abstractNumId w:val="22"/>
  </w:num>
  <w:num w:numId="30">
    <w:abstractNumId w:val="20"/>
  </w:num>
  <w:num w:numId="31">
    <w:abstractNumId w:val="14"/>
  </w:num>
  <w:num w:numId="32">
    <w:abstractNumId w:val="7"/>
  </w:num>
  <w:num w:numId="33">
    <w:abstractNumId w:val="15"/>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12B4D"/>
    <w:rsid w:val="00023F39"/>
    <w:rsid w:val="000340C6"/>
    <w:rsid w:val="00037420"/>
    <w:rsid w:val="00042267"/>
    <w:rsid w:val="000435B5"/>
    <w:rsid w:val="0004388F"/>
    <w:rsid w:val="000448A0"/>
    <w:rsid w:val="000531A5"/>
    <w:rsid w:val="00057EAB"/>
    <w:rsid w:val="000616BE"/>
    <w:rsid w:val="000636A7"/>
    <w:rsid w:val="000664BE"/>
    <w:rsid w:val="00072FD1"/>
    <w:rsid w:val="00077667"/>
    <w:rsid w:val="00081976"/>
    <w:rsid w:val="000937C6"/>
    <w:rsid w:val="00096553"/>
    <w:rsid w:val="000A5D42"/>
    <w:rsid w:val="000A5F99"/>
    <w:rsid w:val="000B05BD"/>
    <w:rsid w:val="000C350C"/>
    <w:rsid w:val="000C57D1"/>
    <w:rsid w:val="000D77B2"/>
    <w:rsid w:val="000E5A49"/>
    <w:rsid w:val="000F4E2F"/>
    <w:rsid w:val="000F7718"/>
    <w:rsid w:val="00110831"/>
    <w:rsid w:val="0011577A"/>
    <w:rsid w:val="00123CCD"/>
    <w:rsid w:val="00125D17"/>
    <w:rsid w:val="00132C01"/>
    <w:rsid w:val="00133CAF"/>
    <w:rsid w:val="0013519B"/>
    <w:rsid w:val="00142D20"/>
    <w:rsid w:val="00142F71"/>
    <w:rsid w:val="00143944"/>
    <w:rsid w:val="0015002D"/>
    <w:rsid w:val="00157D90"/>
    <w:rsid w:val="001672B4"/>
    <w:rsid w:val="001677C0"/>
    <w:rsid w:val="00171B03"/>
    <w:rsid w:val="00190897"/>
    <w:rsid w:val="001A6391"/>
    <w:rsid w:val="001B188A"/>
    <w:rsid w:val="001B3D85"/>
    <w:rsid w:val="001B7CDF"/>
    <w:rsid w:val="001B7E0E"/>
    <w:rsid w:val="001C26C7"/>
    <w:rsid w:val="001C33BC"/>
    <w:rsid w:val="001C4CBC"/>
    <w:rsid w:val="001C6772"/>
    <w:rsid w:val="001D2E28"/>
    <w:rsid w:val="001D75DD"/>
    <w:rsid w:val="001E4C4D"/>
    <w:rsid w:val="001F2FCB"/>
    <w:rsid w:val="00204323"/>
    <w:rsid w:val="00205AD2"/>
    <w:rsid w:val="00210AD4"/>
    <w:rsid w:val="00230E1F"/>
    <w:rsid w:val="002361FC"/>
    <w:rsid w:val="0024297F"/>
    <w:rsid w:val="002519EC"/>
    <w:rsid w:val="002571B7"/>
    <w:rsid w:val="0026024F"/>
    <w:rsid w:val="002615E9"/>
    <w:rsid w:val="00261D2E"/>
    <w:rsid w:val="0027191F"/>
    <w:rsid w:val="0027192B"/>
    <w:rsid w:val="00290E8E"/>
    <w:rsid w:val="00292804"/>
    <w:rsid w:val="0029529B"/>
    <w:rsid w:val="0029779A"/>
    <w:rsid w:val="002A2090"/>
    <w:rsid w:val="002A5590"/>
    <w:rsid w:val="002A6440"/>
    <w:rsid w:val="002B4FDE"/>
    <w:rsid w:val="002B5590"/>
    <w:rsid w:val="002C42B4"/>
    <w:rsid w:val="002C49E5"/>
    <w:rsid w:val="002C4D48"/>
    <w:rsid w:val="002C651F"/>
    <w:rsid w:val="002E7292"/>
    <w:rsid w:val="002F0C1B"/>
    <w:rsid w:val="002F3751"/>
    <w:rsid w:val="002F4FEE"/>
    <w:rsid w:val="003025A5"/>
    <w:rsid w:val="00310DB8"/>
    <w:rsid w:val="00322916"/>
    <w:rsid w:val="00322A45"/>
    <w:rsid w:val="003247B3"/>
    <w:rsid w:val="00324C8E"/>
    <w:rsid w:val="00340232"/>
    <w:rsid w:val="003533D5"/>
    <w:rsid w:val="0035362A"/>
    <w:rsid w:val="003659A5"/>
    <w:rsid w:val="00366604"/>
    <w:rsid w:val="003679D3"/>
    <w:rsid w:val="00367AE5"/>
    <w:rsid w:val="00371626"/>
    <w:rsid w:val="00397BEC"/>
    <w:rsid w:val="003A2713"/>
    <w:rsid w:val="003A4C71"/>
    <w:rsid w:val="003B3827"/>
    <w:rsid w:val="003C0614"/>
    <w:rsid w:val="003C1E24"/>
    <w:rsid w:val="003C2CF0"/>
    <w:rsid w:val="003E1BFF"/>
    <w:rsid w:val="003E43CC"/>
    <w:rsid w:val="003F1208"/>
    <w:rsid w:val="003F2471"/>
    <w:rsid w:val="003F6EC8"/>
    <w:rsid w:val="00404514"/>
    <w:rsid w:val="00407707"/>
    <w:rsid w:val="004133A7"/>
    <w:rsid w:val="00415E3D"/>
    <w:rsid w:val="00431CC7"/>
    <w:rsid w:val="00447142"/>
    <w:rsid w:val="004561C4"/>
    <w:rsid w:val="00482FC7"/>
    <w:rsid w:val="00490CDD"/>
    <w:rsid w:val="0049768B"/>
    <w:rsid w:val="004A1EF1"/>
    <w:rsid w:val="004A34C4"/>
    <w:rsid w:val="004B054A"/>
    <w:rsid w:val="004B1846"/>
    <w:rsid w:val="004B5B4E"/>
    <w:rsid w:val="004B78D3"/>
    <w:rsid w:val="004B7E40"/>
    <w:rsid w:val="004C11E9"/>
    <w:rsid w:val="004C44A7"/>
    <w:rsid w:val="004E14CD"/>
    <w:rsid w:val="004E3042"/>
    <w:rsid w:val="004E4C8A"/>
    <w:rsid w:val="004E6F57"/>
    <w:rsid w:val="004F7119"/>
    <w:rsid w:val="004F7FEF"/>
    <w:rsid w:val="00512675"/>
    <w:rsid w:val="00546954"/>
    <w:rsid w:val="00550616"/>
    <w:rsid w:val="00551826"/>
    <w:rsid w:val="00554770"/>
    <w:rsid w:val="00557511"/>
    <w:rsid w:val="0057495A"/>
    <w:rsid w:val="00586461"/>
    <w:rsid w:val="005A19F6"/>
    <w:rsid w:val="005A46B9"/>
    <w:rsid w:val="005B1BF1"/>
    <w:rsid w:val="005B31DA"/>
    <w:rsid w:val="005B4AEE"/>
    <w:rsid w:val="005C0744"/>
    <w:rsid w:val="005C085F"/>
    <w:rsid w:val="005C2FB5"/>
    <w:rsid w:val="005C324D"/>
    <w:rsid w:val="005C686F"/>
    <w:rsid w:val="005C7769"/>
    <w:rsid w:val="005D5636"/>
    <w:rsid w:val="00601E44"/>
    <w:rsid w:val="006058A9"/>
    <w:rsid w:val="00610DD3"/>
    <w:rsid w:val="006171EF"/>
    <w:rsid w:val="006241C9"/>
    <w:rsid w:val="0062518E"/>
    <w:rsid w:val="006271C7"/>
    <w:rsid w:val="00630275"/>
    <w:rsid w:val="006331EF"/>
    <w:rsid w:val="00633282"/>
    <w:rsid w:val="00641FCA"/>
    <w:rsid w:val="006537B3"/>
    <w:rsid w:val="006539B2"/>
    <w:rsid w:val="00671A27"/>
    <w:rsid w:val="006942F6"/>
    <w:rsid w:val="00695E53"/>
    <w:rsid w:val="006A0CE2"/>
    <w:rsid w:val="006A1055"/>
    <w:rsid w:val="006B3A49"/>
    <w:rsid w:val="006B430A"/>
    <w:rsid w:val="006C0D31"/>
    <w:rsid w:val="006C0DF3"/>
    <w:rsid w:val="006C3FA8"/>
    <w:rsid w:val="006D2D5C"/>
    <w:rsid w:val="007014D4"/>
    <w:rsid w:val="0070373A"/>
    <w:rsid w:val="007155A5"/>
    <w:rsid w:val="00721677"/>
    <w:rsid w:val="0073124D"/>
    <w:rsid w:val="007348F3"/>
    <w:rsid w:val="00735645"/>
    <w:rsid w:val="007449B5"/>
    <w:rsid w:val="00744D70"/>
    <w:rsid w:val="00771272"/>
    <w:rsid w:val="00794CC9"/>
    <w:rsid w:val="007A21C2"/>
    <w:rsid w:val="007B4327"/>
    <w:rsid w:val="007C792C"/>
    <w:rsid w:val="007F19DC"/>
    <w:rsid w:val="007F1CCC"/>
    <w:rsid w:val="007F2429"/>
    <w:rsid w:val="007F2C3F"/>
    <w:rsid w:val="008142A5"/>
    <w:rsid w:val="00821903"/>
    <w:rsid w:val="00823067"/>
    <w:rsid w:val="00825BAD"/>
    <w:rsid w:val="008326E2"/>
    <w:rsid w:val="00851F35"/>
    <w:rsid w:val="008649D4"/>
    <w:rsid w:val="00865CE8"/>
    <w:rsid w:val="00866C88"/>
    <w:rsid w:val="00873441"/>
    <w:rsid w:val="00886CE3"/>
    <w:rsid w:val="008932D1"/>
    <w:rsid w:val="008B7AAC"/>
    <w:rsid w:val="008D4467"/>
    <w:rsid w:val="008F202B"/>
    <w:rsid w:val="00902D6F"/>
    <w:rsid w:val="00913C4E"/>
    <w:rsid w:val="00926256"/>
    <w:rsid w:val="00932E31"/>
    <w:rsid w:val="009437EC"/>
    <w:rsid w:val="00945016"/>
    <w:rsid w:val="00945645"/>
    <w:rsid w:val="00957AFA"/>
    <w:rsid w:val="009607DA"/>
    <w:rsid w:val="0096518D"/>
    <w:rsid w:val="009733AD"/>
    <w:rsid w:val="009741DA"/>
    <w:rsid w:val="00975EAC"/>
    <w:rsid w:val="00977EFD"/>
    <w:rsid w:val="00986058"/>
    <w:rsid w:val="00991C15"/>
    <w:rsid w:val="009974C2"/>
    <w:rsid w:val="009A3FFF"/>
    <w:rsid w:val="009A4543"/>
    <w:rsid w:val="009B4B6F"/>
    <w:rsid w:val="009C28BB"/>
    <w:rsid w:val="009D7014"/>
    <w:rsid w:val="009D7853"/>
    <w:rsid w:val="009E78B0"/>
    <w:rsid w:val="009F334E"/>
    <w:rsid w:val="009F4810"/>
    <w:rsid w:val="00A0105C"/>
    <w:rsid w:val="00A027BD"/>
    <w:rsid w:val="00A1600B"/>
    <w:rsid w:val="00A214BA"/>
    <w:rsid w:val="00A24326"/>
    <w:rsid w:val="00A42C86"/>
    <w:rsid w:val="00A432BD"/>
    <w:rsid w:val="00A47C7B"/>
    <w:rsid w:val="00A53619"/>
    <w:rsid w:val="00A550F7"/>
    <w:rsid w:val="00A61154"/>
    <w:rsid w:val="00A62330"/>
    <w:rsid w:val="00A66FCD"/>
    <w:rsid w:val="00A73519"/>
    <w:rsid w:val="00A81881"/>
    <w:rsid w:val="00A855F3"/>
    <w:rsid w:val="00AA3EEF"/>
    <w:rsid w:val="00AA5C57"/>
    <w:rsid w:val="00AB3D5D"/>
    <w:rsid w:val="00AC11DA"/>
    <w:rsid w:val="00AD05E8"/>
    <w:rsid w:val="00AD4BE4"/>
    <w:rsid w:val="00AF1389"/>
    <w:rsid w:val="00AF5E00"/>
    <w:rsid w:val="00B1485B"/>
    <w:rsid w:val="00B2198C"/>
    <w:rsid w:val="00B22761"/>
    <w:rsid w:val="00B3069C"/>
    <w:rsid w:val="00B3725C"/>
    <w:rsid w:val="00B4002A"/>
    <w:rsid w:val="00B403E4"/>
    <w:rsid w:val="00B4072C"/>
    <w:rsid w:val="00B46CDD"/>
    <w:rsid w:val="00B5001A"/>
    <w:rsid w:val="00B51E8C"/>
    <w:rsid w:val="00B53249"/>
    <w:rsid w:val="00B55989"/>
    <w:rsid w:val="00B725E4"/>
    <w:rsid w:val="00B80A47"/>
    <w:rsid w:val="00B85705"/>
    <w:rsid w:val="00BA077A"/>
    <w:rsid w:val="00BA46F3"/>
    <w:rsid w:val="00BD33E4"/>
    <w:rsid w:val="00BD54BE"/>
    <w:rsid w:val="00BE5358"/>
    <w:rsid w:val="00BE6DBD"/>
    <w:rsid w:val="00BF1C77"/>
    <w:rsid w:val="00C00AF8"/>
    <w:rsid w:val="00C01B14"/>
    <w:rsid w:val="00C02D5F"/>
    <w:rsid w:val="00C12269"/>
    <w:rsid w:val="00C12862"/>
    <w:rsid w:val="00C17821"/>
    <w:rsid w:val="00C36AD5"/>
    <w:rsid w:val="00C463F7"/>
    <w:rsid w:val="00C46986"/>
    <w:rsid w:val="00C473E6"/>
    <w:rsid w:val="00C753ED"/>
    <w:rsid w:val="00C76D24"/>
    <w:rsid w:val="00C777F5"/>
    <w:rsid w:val="00C843E3"/>
    <w:rsid w:val="00CA15F8"/>
    <w:rsid w:val="00CA1FF1"/>
    <w:rsid w:val="00CA3446"/>
    <w:rsid w:val="00CA7751"/>
    <w:rsid w:val="00CB27A1"/>
    <w:rsid w:val="00CB2CD4"/>
    <w:rsid w:val="00CE60BD"/>
    <w:rsid w:val="00CF5242"/>
    <w:rsid w:val="00CF7F14"/>
    <w:rsid w:val="00D04D91"/>
    <w:rsid w:val="00D0631F"/>
    <w:rsid w:val="00D12251"/>
    <w:rsid w:val="00D15406"/>
    <w:rsid w:val="00D157C6"/>
    <w:rsid w:val="00D24559"/>
    <w:rsid w:val="00D252DD"/>
    <w:rsid w:val="00D2620F"/>
    <w:rsid w:val="00D27738"/>
    <w:rsid w:val="00D41528"/>
    <w:rsid w:val="00D47400"/>
    <w:rsid w:val="00D47914"/>
    <w:rsid w:val="00D563AB"/>
    <w:rsid w:val="00D62914"/>
    <w:rsid w:val="00D63B3E"/>
    <w:rsid w:val="00D63DBA"/>
    <w:rsid w:val="00D80840"/>
    <w:rsid w:val="00D87E8D"/>
    <w:rsid w:val="00DB0129"/>
    <w:rsid w:val="00DB351B"/>
    <w:rsid w:val="00DB39D2"/>
    <w:rsid w:val="00DC42D6"/>
    <w:rsid w:val="00DD3909"/>
    <w:rsid w:val="00DD5419"/>
    <w:rsid w:val="00DD564F"/>
    <w:rsid w:val="00DE1F73"/>
    <w:rsid w:val="00DE3F4E"/>
    <w:rsid w:val="00DE6E85"/>
    <w:rsid w:val="00E003B2"/>
    <w:rsid w:val="00E1476F"/>
    <w:rsid w:val="00E23B33"/>
    <w:rsid w:val="00E363B6"/>
    <w:rsid w:val="00E40075"/>
    <w:rsid w:val="00E47714"/>
    <w:rsid w:val="00E5094D"/>
    <w:rsid w:val="00E5670C"/>
    <w:rsid w:val="00E60846"/>
    <w:rsid w:val="00E66D0E"/>
    <w:rsid w:val="00E70E3F"/>
    <w:rsid w:val="00E71A3F"/>
    <w:rsid w:val="00E858FB"/>
    <w:rsid w:val="00E90718"/>
    <w:rsid w:val="00EA1844"/>
    <w:rsid w:val="00EA26D7"/>
    <w:rsid w:val="00EA7B75"/>
    <w:rsid w:val="00EB3A1E"/>
    <w:rsid w:val="00EB5F55"/>
    <w:rsid w:val="00EB7EB5"/>
    <w:rsid w:val="00EC0E98"/>
    <w:rsid w:val="00EC44DC"/>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650FC"/>
    <w:rsid w:val="00F67957"/>
    <w:rsid w:val="00F71878"/>
    <w:rsid w:val="00F74057"/>
    <w:rsid w:val="00F8423F"/>
    <w:rsid w:val="00F87F65"/>
    <w:rsid w:val="00F906B6"/>
    <w:rsid w:val="00F933AE"/>
    <w:rsid w:val="00F962EB"/>
    <w:rsid w:val="00FA127C"/>
    <w:rsid w:val="00FA290E"/>
    <w:rsid w:val="00FA3D55"/>
    <w:rsid w:val="00FB4419"/>
    <w:rsid w:val="00FB4552"/>
    <w:rsid w:val="00FB5101"/>
    <w:rsid w:val="00FC79CC"/>
    <w:rsid w:val="00FE4980"/>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5368">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1091-4012-410A-8BF8-CB36FFE3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19</Pages>
  <Words>3543</Words>
  <Characters>19492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22</cp:revision>
  <cp:lastPrinted>2017-03-07T22:09:00Z</cp:lastPrinted>
  <dcterms:created xsi:type="dcterms:W3CDTF">2016-07-20T14:05:00Z</dcterms:created>
  <dcterms:modified xsi:type="dcterms:W3CDTF">2017-03-07T22:09:00Z</dcterms:modified>
</cp:coreProperties>
</file>