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9A" w:rsidRDefault="001C1F91" w:rsidP="000138B6">
      <w:pPr>
        <w:spacing w:before="86" w:after="0" w:line="360" w:lineRule="auto"/>
        <w:ind w:right="-1"/>
        <w:jc w:val="both"/>
        <w:rPr>
          <w:rFonts w:ascii="Arial" w:hAnsi="Arial" w:cs="Arial"/>
          <w:b/>
          <w:color w:val="000000"/>
          <w:w w:val="103"/>
          <w:sz w:val="24"/>
          <w:szCs w:val="24"/>
        </w:rPr>
      </w:pPr>
      <w:r w:rsidRPr="00A80737">
        <w:rPr>
          <w:rFonts w:ascii="Arial" w:hAnsi="Arial" w:cs="Arial"/>
          <w:b/>
          <w:color w:val="000000"/>
          <w:w w:val="103"/>
          <w:sz w:val="24"/>
          <w:szCs w:val="24"/>
        </w:rPr>
        <w:t>HONORABLE ASAMBLEA:</w:t>
      </w:r>
    </w:p>
    <w:p w:rsidR="003312E8" w:rsidRPr="00A80737" w:rsidRDefault="003312E8" w:rsidP="000138B6">
      <w:pPr>
        <w:spacing w:before="86" w:after="0" w:line="360" w:lineRule="auto"/>
        <w:ind w:right="-1"/>
        <w:jc w:val="both"/>
        <w:rPr>
          <w:rFonts w:ascii="Arial" w:hAnsi="Arial" w:cs="Arial"/>
          <w:b/>
          <w:color w:val="000000"/>
          <w:w w:val="103"/>
          <w:sz w:val="24"/>
          <w:szCs w:val="24"/>
        </w:rPr>
      </w:pPr>
    </w:p>
    <w:p w:rsidR="00641148" w:rsidRPr="00EB7BE4" w:rsidRDefault="00B5465B" w:rsidP="000138B6">
      <w:pPr>
        <w:tabs>
          <w:tab w:val="left" w:pos="3828"/>
          <w:tab w:val="left" w:pos="10773"/>
        </w:tabs>
        <w:spacing w:before="140" w:after="0" w:line="360" w:lineRule="auto"/>
        <w:ind w:right="-1" w:firstLine="567"/>
        <w:jc w:val="both"/>
        <w:rPr>
          <w:rFonts w:ascii="Arial" w:eastAsia="Arial" w:hAnsi="Arial" w:cs="Arial"/>
          <w:b/>
          <w:bCs/>
          <w:color w:val="000000"/>
          <w:sz w:val="24"/>
          <w:szCs w:val="24"/>
          <w:lang w:eastAsia="es-MX"/>
        </w:rPr>
      </w:pPr>
      <w:r w:rsidRPr="00EB7BE4">
        <w:rPr>
          <w:rFonts w:ascii="Arial" w:eastAsia="Arial" w:hAnsi="Arial" w:cs="Arial"/>
          <w:bCs/>
          <w:color w:val="000000"/>
          <w:sz w:val="24"/>
          <w:szCs w:val="24"/>
          <w:lang w:eastAsia="es-MX"/>
        </w:rPr>
        <w:t>A la</w:t>
      </w:r>
      <w:r w:rsidRPr="00EB7BE4">
        <w:rPr>
          <w:rFonts w:ascii="Arial" w:eastAsia="Arial" w:hAnsi="Arial" w:cs="Arial"/>
          <w:b/>
          <w:bCs/>
          <w:color w:val="000000"/>
          <w:sz w:val="24"/>
          <w:szCs w:val="24"/>
          <w:lang w:eastAsia="es-MX"/>
        </w:rPr>
        <w:t xml:space="preserve"> Comisión de</w:t>
      </w:r>
      <w:r w:rsidRPr="00EB7BE4">
        <w:rPr>
          <w:rFonts w:ascii="Arial" w:eastAsia="Arial" w:hAnsi="Arial" w:cs="Arial"/>
          <w:b/>
          <w:bCs/>
          <w:color w:val="000000"/>
          <w:sz w:val="24"/>
          <w:szCs w:val="24"/>
          <w:lang w:val="fr-RE" w:eastAsia="es-MX"/>
        </w:rPr>
        <w:t xml:space="preserve"> Presupuesto</w:t>
      </w:r>
      <w:r w:rsidRPr="00EB7BE4">
        <w:rPr>
          <w:rFonts w:ascii="Arial" w:eastAsia="Arial" w:hAnsi="Arial" w:cs="Arial"/>
          <w:b/>
          <w:bCs/>
          <w:color w:val="000000"/>
          <w:sz w:val="24"/>
          <w:szCs w:val="24"/>
          <w:lang w:eastAsia="es-MX"/>
        </w:rPr>
        <w:t xml:space="preserve"> </w:t>
      </w:r>
      <w:r w:rsidRPr="00EB7BE4">
        <w:rPr>
          <w:rFonts w:ascii="Arial" w:eastAsia="Arial" w:hAnsi="Arial" w:cs="Arial"/>
          <w:bCs/>
          <w:color w:val="000000"/>
          <w:sz w:val="24"/>
          <w:szCs w:val="24"/>
          <w:lang w:eastAsia="es-MX"/>
        </w:rPr>
        <w:t xml:space="preserve">le fue turnado para su estudio y dictamen, en fecha </w:t>
      </w:r>
      <w:r w:rsidRPr="00EB7BE4">
        <w:rPr>
          <w:rFonts w:ascii="Arial" w:eastAsia="Arial" w:hAnsi="Arial" w:cs="Arial"/>
          <w:b/>
          <w:bCs/>
          <w:color w:val="000000"/>
          <w:sz w:val="24"/>
          <w:szCs w:val="24"/>
          <w:lang w:eastAsia="es-MX"/>
        </w:rPr>
        <w:t>2</w:t>
      </w:r>
      <w:r>
        <w:rPr>
          <w:rFonts w:ascii="Arial" w:eastAsia="Arial" w:hAnsi="Arial" w:cs="Arial"/>
          <w:b/>
          <w:bCs/>
          <w:color w:val="000000"/>
          <w:sz w:val="24"/>
          <w:szCs w:val="24"/>
          <w:lang w:eastAsia="es-MX"/>
        </w:rPr>
        <w:t>1</w:t>
      </w:r>
      <w:r w:rsidRPr="00EB7BE4">
        <w:rPr>
          <w:rFonts w:ascii="Arial" w:eastAsia="Arial" w:hAnsi="Arial" w:cs="Arial"/>
          <w:b/>
          <w:bCs/>
          <w:color w:val="000000"/>
          <w:sz w:val="24"/>
          <w:szCs w:val="24"/>
          <w:lang w:eastAsia="es-MX"/>
        </w:rPr>
        <w:t xml:space="preserve"> de Noviembre del 201</w:t>
      </w:r>
      <w:r>
        <w:rPr>
          <w:rFonts w:ascii="Arial" w:eastAsia="Arial" w:hAnsi="Arial" w:cs="Arial"/>
          <w:b/>
          <w:bCs/>
          <w:color w:val="000000"/>
          <w:sz w:val="24"/>
          <w:szCs w:val="24"/>
          <w:lang w:eastAsia="es-MX"/>
        </w:rPr>
        <w:t>7</w:t>
      </w:r>
      <w:r w:rsidRPr="00EB7BE4">
        <w:rPr>
          <w:rFonts w:ascii="Arial" w:eastAsia="Arial" w:hAnsi="Arial" w:cs="Arial"/>
          <w:b/>
          <w:bCs/>
          <w:color w:val="000000"/>
          <w:sz w:val="24"/>
          <w:szCs w:val="24"/>
          <w:lang w:eastAsia="es-MX"/>
        </w:rPr>
        <w:t xml:space="preserve"> </w:t>
      </w:r>
      <w:r w:rsidRPr="00EB7BE4">
        <w:rPr>
          <w:rFonts w:ascii="Arial" w:eastAsia="Arial" w:hAnsi="Arial" w:cs="Arial"/>
          <w:bCs/>
          <w:color w:val="000000"/>
          <w:sz w:val="24"/>
          <w:szCs w:val="24"/>
          <w:lang w:eastAsia="es-MX"/>
        </w:rPr>
        <w:t>expediente legislativo número</w:t>
      </w:r>
      <w:r w:rsidRPr="00EB7BE4">
        <w:rPr>
          <w:rFonts w:ascii="Arial" w:eastAsia="Arial" w:hAnsi="Arial" w:cs="Arial"/>
          <w:b/>
          <w:bCs/>
          <w:color w:val="000000"/>
          <w:sz w:val="24"/>
          <w:szCs w:val="24"/>
          <w:lang w:eastAsia="es-MX"/>
        </w:rPr>
        <w:t xml:space="preserve"> </w:t>
      </w:r>
      <w:r w:rsidR="00641148">
        <w:rPr>
          <w:rFonts w:ascii="Arial" w:eastAsia="Arial" w:hAnsi="Arial" w:cs="Arial"/>
          <w:b/>
          <w:bCs/>
          <w:color w:val="000000"/>
          <w:sz w:val="24"/>
          <w:szCs w:val="24"/>
          <w:lang w:eastAsia="es-MX"/>
        </w:rPr>
        <w:t>11278</w:t>
      </w:r>
      <w:r w:rsidRPr="00EB7BE4">
        <w:rPr>
          <w:rFonts w:ascii="Arial" w:eastAsia="Arial" w:hAnsi="Arial" w:cs="Arial"/>
          <w:b/>
          <w:bCs/>
          <w:color w:val="000000"/>
          <w:sz w:val="24"/>
          <w:szCs w:val="24"/>
          <w:lang w:eastAsia="es-MX"/>
        </w:rPr>
        <w:t xml:space="preserve">/LXXIV, </w:t>
      </w:r>
      <w:r w:rsidRPr="00EB7BE4">
        <w:rPr>
          <w:rFonts w:ascii="Arial" w:eastAsia="Arial" w:hAnsi="Arial" w:cs="Arial"/>
          <w:bCs/>
          <w:color w:val="000000"/>
          <w:sz w:val="24"/>
          <w:szCs w:val="24"/>
          <w:lang w:eastAsia="es-MX"/>
        </w:rPr>
        <w:t>que contiene escrito signado por los</w:t>
      </w:r>
      <w:r w:rsidRPr="00EB7BE4">
        <w:rPr>
          <w:rFonts w:ascii="Arial" w:eastAsia="Arial" w:hAnsi="Arial" w:cs="Arial"/>
          <w:b/>
          <w:bCs/>
          <w:color w:val="000000"/>
          <w:sz w:val="24"/>
          <w:szCs w:val="24"/>
          <w:lang w:eastAsia="es-MX"/>
        </w:rPr>
        <w:t xml:space="preserve"> </w:t>
      </w:r>
      <w:r w:rsidRPr="00067FD4">
        <w:rPr>
          <w:rFonts w:ascii="Arial" w:eastAsia="Arial" w:hAnsi="Arial" w:cs="Arial"/>
          <w:b/>
          <w:bCs/>
          <w:color w:val="000000"/>
          <w:sz w:val="24"/>
          <w:szCs w:val="24"/>
          <w:lang w:eastAsia="es-MX"/>
        </w:rPr>
        <w:t xml:space="preserve">CC. </w:t>
      </w:r>
      <w:r>
        <w:rPr>
          <w:rFonts w:ascii="Arial" w:eastAsia="Arial" w:hAnsi="Arial" w:cs="Arial"/>
          <w:b/>
          <w:bCs/>
          <w:color w:val="000000"/>
          <w:sz w:val="24"/>
          <w:szCs w:val="24"/>
          <w:lang w:eastAsia="es-MX"/>
        </w:rPr>
        <w:t xml:space="preserve">Ing. </w:t>
      </w:r>
      <w:r w:rsidRPr="00067FD4">
        <w:rPr>
          <w:rFonts w:ascii="Arial" w:eastAsia="Arial" w:hAnsi="Arial" w:cs="Arial"/>
          <w:b/>
          <w:bCs/>
          <w:color w:val="000000"/>
          <w:sz w:val="24"/>
          <w:szCs w:val="24"/>
          <w:lang w:eastAsia="es-MX"/>
        </w:rPr>
        <w:t>Jaime Heliodoro Rodríguez Calderón, Gobernador Constitucional del Estado L</w:t>
      </w:r>
      <w:r>
        <w:rPr>
          <w:rFonts w:ascii="Arial" w:eastAsia="Arial" w:hAnsi="Arial" w:cs="Arial"/>
          <w:b/>
          <w:bCs/>
          <w:color w:val="000000"/>
          <w:sz w:val="24"/>
          <w:szCs w:val="24"/>
          <w:lang w:eastAsia="es-MX"/>
        </w:rPr>
        <w:t xml:space="preserve">ibre y Soberano de Nuevo León; </w:t>
      </w:r>
      <w:r w:rsidRPr="00067FD4">
        <w:rPr>
          <w:rFonts w:ascii="Arial" w:eastAsia="Arial" w:hAnsi="Arial" w:cs="Arial"/>
          <w:b/>
          <w:bCs/>
          <w:color w:val="000000"/>
          <w:sz w:val="24"/>
          <w:szCs w:val="24"/>
          <w:lang w:eastAsia="es-MX"/>
        </w:rPr>
        <w:t xml:space="preserve">C. </w:t>
      </w:r>
      <w:r>
        <w:rPr>
          <w:rFonts w:ascii="Arial" w:eastAsia="Arial" w:hAnsi="Arial" w:cs="Arial"/>
          <w:b/>
          <w:bCs/>
          <w:color w:val="000000"/>
          <w:sz w:val="24"/>
          <w:szCs w:val="24"/>
          <w:lang w:eastAsia="es-MX"/>
        </w:rPr>
        <w:t xml:space="preserve">Lic. </w:t>
      </w:r>
      <w:r w:rsidRPr="00067FD4">
        <w:rPr>
          <w:rFonts w:ascii="Arial" w:eastAsia="Arial" w:hAnsi="Arial" w:cs="Arial"/>
          <w:b/>
          <w:bCs/>
          <w:color w:val="000000"/>
          <w:sz w:val="24"/>
          <w:szCs w:val="24"/>
          <w:lang w:eastAsia="es-MX"/>
        </w:rPr>
        <w:t xml:space="preserve">Manuel Florentino González Flores, Secretario General de Gobierno y C. </w:t>
      </w:r>
      <w:r>
        <w:rPr>
          <w:rFonts w:ascii="Arial" w:eastAsia="Arial" w:hAnsi="Arial" w:cs="Arial"/>
          <w:b/>
          <w:bCs/>
          <w:color w:val="000000"/>
          <w:sz w:val="24"/>
          <w:szCs w:val="24"/>
          <w:lang w:eastAsia="es-MX"/>
        </w:rPr>
        <w:t xml:space="preserve">Lic. Carlos Alberto Garza Ibarra, </w:t>
      </w:r>
      <w:r w:rsidRPr="00067FD4">
        <w:rPr>
          <w:rFonts w:ascii="Arial" w:eastAsia="Arial" w:hAnsi="Arial" w:cs="Arial"/>
          <w:b/>
          <w:bCs/>
          <w:color w:val="000000"/>
          <w:sz w:val="24"/>
          <w:szCs w:val="24"/>
          <w:lang w:eastAsia="es-MX"/>
        </w:rPr>
        <w:t>Secretario de Finanzas y Tesorero General del Estado de Nuevo León,</w:t>
      </w:r>
      <w:r w:rsidRPr="00EB7BE4">
        <w:rPr>
          <w:rFonts w:ascii="Arial" w:eastAsia="Arial" w:hAnsi="Arial" w:cs="Arial"/>
          <w:b/>
          <w:bCs/>
          <w:color w:val="000000"/>
          <w:sz w:val="24"/>
          <w:szCs w:val="24"/>
          <w:lang w:eastAsia="es-MX"/>
        </w:rPr>
        <w:t xml:space="preserve"> </w:t>
      </w:r>
      <w:r w:rsidR="001C1F91" w:rsidRPr="00D83CC6">
        <w:rPr>
          <w:rFonts w:ascii="Arial" w:hAnsi="Arial" w:cs="Arial"/>
          <w:sz w:val="24"/>
          <w:szCs w:val="24"/>
        </w:rPr>
        <w:t xml:space="preserve">mediante el </w:t>
      </w:r>
      <w:r w:rsidR="003B484C">
        <w:rPr>
          <w:rFonts w:ascii="Arial" w:hAnsi="Arial" w:cs="Arial"/>
          <w:sz w:val="24"/>
          <w:szCs w:val="24"/>
        </w:rPr>
        <w:t xml:space="preserve">cual presentan </w:t>
      </w:r>
      <w:r w:rsidR="00641148" w:rsidRPr="003B484C">
        <w:rPr>
          <w:rFonts w:ascii="Arial" w:hAnsi="Arial" w:cs="Arial"/>
          <w:b/>
          <w:sz w:val="24"/>
          <w:szCs w:val="24"/>
        </w:rPr>
        <w:t>Iniciativa de Decreto</w:t>
      </w:r>
      <w:r w:rsidR="00641148" w:rsidRPr="00D83CC6">
        <w:rPr>
          <w:rFonts w:ascii="Arial" w:hAnsi="Arial" w:cs="Arial"/>
          <w:b/>
          <w:sz w:val="24"/>
          <w:szCs w:val="24"/>
        </w:rPr>
        <w:t xml:space="preserve"> q</w:t>
      </w:r>
      <w:r w:rsidR="00641148">
        <w:rPr>
          <w:rFonts w:ascii="Arial" w:hAnsi="Arial" w:cs="Arial"/>
          <w:b/>
          <w:sz w:val="24"/>
          <w:szCs w:val="24"/>
        </w:rPr>
        <w:t xml:space="preserve">ue expide la Ley de Ingresos </w:t>
      </w:r>
      <w:r w:rsidR="00641148" w:rsidRPr="00D83CC6">
        <w:rPr>
          <w:rFonts w:ascii="Arial" w:hAnsi="Arial" w:cs="Arial"/>
          <w:b/>
          <w:sz w:val="24"/>
          <w:szCs w:val="24"/>
        </w:rPr>
        <w:t>del Estado</w:t>
      </w:r>
      <w:r w:rsidR="00641148">
        <w:rPr>
          <w:rFonts w:ascii="Arial" w:hAnsi="Arial" w:cs="Arial"/>
          <w:b/>
          <w:sz w:val="24"/>
          <w:szCs w:val="24"/>
        </w:rPr>
        <w:t xml:space="preserve"> de Nuevo León para el Ejercicio Fiscal 2018, </w:t>
      </w:r>
      <w:r w:rsidR="00641148">
        <w:rPr>
          <w:rFonts w:ascii="Arial" w:eastAsia="Arial" w:hAnsi="Arial" w:cs="Arial"/>
          <w:b/>
          <w:bCs/>
          <w:color w:val="000000"/>
          <w:sz w:val="24"/>
          <w:szCs w:val="24"/>
          <w:lang w:eastAsia="es-MX"/>
        </w:rPr>
        <w:t>se turna con carácter de urgente.</w:t>
      </w:r>
    </w:p>
    <w:p w:rsidR="003312E8" w:rsidRDefault="003312E8" w:rsidP="000138B6">
      <w:pPr>
        <w:spacing w:after="0" w:line="360" w:lineRule="auto"/>
        <w:ind w:right="-1" w:firstLine="567"/>
        <w:jc w:val="both"/>
        <w:rPr>
          <w:rFonts w:ascii="Arial" w:hAnsi="Arial" w:cs="Arial"/>
          <w:sz w:val="24"/>
          <w:szCs w:val="24"/>
        </w:rPr>
      </w:pPr>
    </w:p>
    <w:p w:rsidR="000F389A" w:rsidRPr="00FD2571" w:rsidRDefault="001C1F91" w:rsidP="000138B6">
      <w:pPr>
        <w:spacing w:after="0" w:line="360" w:lineRule="auto"/>
        <w:ind w:right="-1" w:firstLine="567"/>
        <w:jc w:val="both"/>
        <w:rPr>
          <w:rFonts w:ascii="Arial" w:hAnsi="Arial" w:cs="Arial"/>
          <w:sz w:val="24"/>
          <w:szCs w:val="24"/>
        </w:rPr>
      </w:pPr>
      <w:r w:rsidRPr="00FD2571">
        <w:rPr>
          <w:rFonts w:ascii="Arial" w:hAnsi="Arial" w:cs="Arial"/>
          <w:sz w:val="24"/>
          <w:szCs w:val="24"/>
        </w:rPr>
        <w:t xml:space="preserve">Con el fin de ver </w:t>
      </w:r>
      <w:r w:rsidR="002D6A1D" w:rsidRPr="00FD2571">
        <w:rPr>
          <w:rFonts w:ascii="Arial" w:hAnsi="Arial" w:cs="Arial"/>
          <w:sz w:val="24"/>
          <w:szCs w:val="24"/>
        </w:rPr>
        <w:t>proveído</w:t>
      </w:r>
      <w:r w:rsidRPr="00FD2571">
        <w:rPr>
          <w:rFonts w:ascii="Arial" w:hAnsi="Arial" w:cs="Arial"/>
          <w:sz w:val="24"/>
          <w:szCs w:val="24"/>
        </w:rPr>
        <w:t xml:space="preserve"> el requisito fundamental de dar vista al contenido de </w:t>
      </w:r>
      <w:r w:rsidR="00EF73DB" w:rsidRPr="00FD2571">
        <w:rPr>
          <w:rFonts w:ascii="Arial" w:hAnsi="Arial" w:cs="Arial"/>
          <w:sz w:val="24"/>
          <w:szCs w:val="24"/>
        </w:rPr>
        <w:t>la solicitud descrita y según lo establecido en el artí</w:t>
      </w:r>
      <w:r w:rsidRPr="00FD2571">
        <w:rPr>
          <w:rFonts w:ascii="Arial" w:hAnsi="Arial" w:cs="Arial"/>
          <w:sz w:val="24"/>
          <w:szCs w:val="24"/>
        </w:rPr>
        <w:t>culo 47 inciso b) del Reglamento para el Gobierno Interior del Congreso del Estado, quienes integramos esta Comisi</w:t>
      </w:r>
      <w:r w:rsidR="00EF73DB" w:rsidRPr="00FD2571">
        <w:rPr>
          <w:rFonts w:ascii="Arial" w:hAnsi="Arial" w:cs="Arial"/>
          <w:sz w:val="24"/>
          <w:szCs w:val="24"/>
        </w:rPr>
        <w:t>ó</w:t>
      </w:r>
      <w:r w:rsidRPr="00FD2571">
        <w:rPr>
          <w:rFonts w:ascii="Arial" w:hAnsi="Arial" w:cs="Arial"/>
          <w:sz w:val="24"/>
          <w:szCs w:val="24"/>
        </w:rPr>
        <w:t>n de Dictamen Legislativo que sustenta el presente documento, consignamos ante este Pleno los siguientes:</w:t>
      </w:r>
    </w:p>
    <w:p w:rsidR="000F389A" w:rsidRPr="00FD2571" w:rsidRDefault="000F389A" w:rsidP="00A80737">
      <w:pPr>
        <w:spacing w:after="0" w:line="360" w:lineRule="auto"/>
        <w:ind w:left="567" w:right="-1"/>
        <w:jc w:val="both"/>
        <w:rPr>
          <w:rFonts w:ascii="Arial" w:hAnsi="Arial" w:cs="Arial"/>
          <w:sz w:val="24"/>
          <w:szCs w:val="24"/>
        </w:rPr>
      </w:pPr>
    </w:p>
    <w:p w:rsidR="000F389A" w:rsidRPr="00FD2571" w:rsidRDefault="001C1F91" w:rsidP="000138B6">
      <w:pPr>
        <w:spacing w:before="100" w:after="0" w:line="360" w:lineRule="auto"/>
        <w:ind w:right="-1"/>
        <w:jc w:val="both"/>
        <w:rPr>
          <w:rFonts w:ascii="Arial" w:hAnsi="Arial" w:cs="Arial"/>
          <w:b/>
          <w:color w:val="000000"/>
          <w:w w:val="103"/>
          <w:sz w:val="24"/>
          <w:szCs w:val="24"/>
        </w:rPr>
      </w:pPr>
      <w:r w:rsidRPr="00FD2571">
        <w:rPr>
          <w:rFonts w:ascii="Arial" w:hAnsi="Arial" w:cs="Arial"/>
          <w:b/>
          <w:color w:val="000000"/>
          <w:w w:val="103"/>
          <w:sz w:val="24"/>
          <w:szCs w:val="24"/>
        </w:rPr>
        <w:t>ANTECEDENTES</w:t>
      </w:r>
    </w:p>
    <w:p w:rsidR="000138B6" w:rsidRDefault="000D1B3B" w:rsidP="000138B6">
      <w:pPr>
        <w:spacing w:before="240" w:after="240" w:line="360" w:lineRule="auto"/>
        <w:ind w:firstLine="567"/>
        <w:jc w:val="both"/>
        <w:rPr>
          <w:rFonts w:ascii="Arial" w:hAnsi="Arial" w:cs="Arial"/>
          <w:sz w:val="24"/>
          <w:szCs w:val="24"/>
        </w:rPr>
      </w:pPr>
      <w:r>
        <w:rPr>
          <w:rFonts w:ascii="Arial" w:hAnsi="Arial" w:cs="Arial"/>
          <w:sz w:val="24"/>
          <w:szCs w:val="24"/>
        </w:rPr>
        <w:t xml:space="preserve">El Ejecutivo </w:t>
      </w:r>
      <w:r w:rsidR="000138B6">
        <w:rPr>
          <w:rFonts w:ascii="Arial" w:hAnsi="Arial" w:cs="Arial"/>
          <w:sz w:val="24"/>
          <w:szCs w:val="24"/>
        </w:rPr>
        <w:t xml:space="preserve">presenta los supuestos bajo los cuales fueron estimados los principales rubros de los ingresos contenidos en el Artículo </w:t>
      </w:r>
      <w:r w:rsidR="000138B6" w:rsidRPr="000138B6">
        <w:rPr>
          <w:rFonts w:ascii="Arial" w:hAnsi="Arial" w:cs="Arial"/>
          <w:sz w:val="24"/>
          <w:szCs w:val="24"/>
        </w:rPr>
        <w:t>Primero de la Ley que propone en la presente Iniciativa.</w:t>
      </w:r>
    </w:p>
    <w:p w:rsidR="00B131AA" w:rsidRPr="00C262CA" w:rsidRDefault="00B131AA" w:rsidP="00B131AA">
      <w:pPr>
        <w:spacing w:before="240" w:after="240"/>
        <w:jc w:val="both"/>
        <w:rPr>
          <w:rFonts w:ascii="Arial" w:hAnsi="Arial" w:cs="Arial"/>
          <w:b/>
          <w:szCs w:val="24"/>
        </w:rPr>
      </w:pPr>
      <w:r w:rsidRPr="00C262CA">
        <w:rPr>
          <w:rFonts w:ascii="Arial" w:hAnsi="Arial" w:cs="Arial"/>
          <w:b/>
          <w:szCs w:val="24"/>
        </w:rPr>
        <w:lastRenderedPageBreak/>
        <w:t>Pronóstico de los ingresos presupuestarios del sector público</w:t>
      </w:r>
    </w:p>
    <w:p w:rsidR="00E516DF" w:rsidRDefault="00E516DF" w:rsidP="000138B6">
      <w:pPr>
        <w:spacing w:before="240" w:after="240" w:line="360" w:lineRule="auto"/>
        <w:ind w:firstLine="567"/>
        <w:jc w:val="both"/>
        <w:rPr>
          <w:rFonts w:ascii="Arial" w:hAnsi="Arial" w:cs="Arial"/>
          <w:sz w:val="24"/>
          <w:szCs w:val="24"/>
        </w:rPr>
      </w:pPr>
    </w:p>
    <w:p w:rsidR="000138B6" w:rsidRPr="000138B6" w:rsidRDefault="000138B6" w:rsidP="000138B6">
      <w:pPr>
        <w:spacing w:before="240" w:after="240" w:line="360" w:lineRule="auto"/>
        <w:ind w:firstLine="567"/>
        <w:jc w:val="both"/>
        <w:rPr>
          <w:rFonts w:ascii="Arial" w:hAnsi="Arial" w:cs="Arial"/>
          <w:sz w:val="24"/>
          <w:szCs w:val="24"/>
        </w:rPr>
      </w:pPr>
      <w:r w:rsidRPr="000138B6">
        <w:rPr>
          <w:rFonts w:ascii="Arial" w:hAnsi="Arial" w:cs="Arial"/>
          <w:sz w:val="24"/>
          <w:szCs w:val="24"/>
        </w:rPr>
        <w:t xml:space="preserve">Para el pronóstico de los ingresos estatales o propios, </w:t>
      </w:r>
      <w:r w:rsidRPr="005B7F83">
        <w:rPr>
          <w:rFonts w:ascii="Arial" w:hAnsi="Arial" w:cs="Arial"/>
          <w:sz w:val="24"/>
          <w:szCs w:val="24"/>
        </w:rPr>
        <w:t xml:space="preserve">el Ejecutivo </w:t>
      </w:r>
      <w:r w:rsidR="003312E8" w:rsidRPr="005B7F83">
        <w:rPr>
          <w:rFonts w:ascii="Arial" w:hAnsi="Arial" w:cs="Arial"/>
          <w:sz w:val="24"/>
          <w:szCs w:val="24"/>
        </w:rPr>
        <w:t>está</w:t>
      </w:r>
      <w:r w:rsidRPr="005B7F83">
        <w:rPr>
          <w:rFonts w:ascii="Arial" w:hAnsi="Arial" w:cs="Arial"/>
          <w:sz w:val="24"/>
          <w:szCs w:val="24"/>
        </w:rPr>
        <w:t xml:space="preserve"> considerando las</w:t>
      </w:r>
      <w:r w:rsidRPr="000138B6">
        <w:rPr>
          <w:rFonts w:ascii="Arial" w:hAnsi="Arial" w:cs="Arial"/>
          <w:sz w:val="24"/>
          <w:szCs w:val="24"/>
        </w:rPr>
        <w:t xml:space="preserve"> series históricas de la recaudación local; el estimado de ingresos para el cierre del ejercicio fiscal 2017 (recaudado de enero a septiembre y proyectado de octubre a diciembre), el Producto Interno Bruto Estatal (PIBE) estimado para el 2018 por la Secretaría de Finanzas y Tesorería General del Estado (SFyTGE); la tasa de crecimiento de población estatal estimada para 2018 por el Consejo Nacional de Población (CONAPO); y el marco macroeconómico de los Criterios Generales de Política Económica 2018 (CGPE 2018), elaborados por la Secretaría de Hacienda y Crédito Público (SHCP), para la Iniciativa de Ley de Ingresos de la Federación (ILIF 2018) y el Proyecto de Presupuesto de Egresos de la Federación (PPEF 2018) correspondientes al ejercicio fiscal 2018.</w:t>
      </w:r>
    </w:p>
    <w:p w:rsidR="000138B6" w:rsidRPr="000138B6" w:rsidRDefault="000138B6" w:rsidP="000138B6">
      <w:pPr>
        <w:spacing w:before="240" w:after="240" w:line="360" w:lineRule="auto"/>
        <w:ind w:firstLine="567"/>
        <w:jc w:val="both"/>
        <w:rPr>
          <w:rFonts w:ascii="Arial" w:hAnsi="Arial" w:cs="Arial"/>
          <w:sz w:val="24"/>
          <w:szCs w:val="24"/>
        </w:rPr>
      </w:pPr>
      <w:r w:rsidRPr="005B7F83">
        <w:rPr>
          <w:rFonts w:ascii="Arial" w:hAnsi="Arial" w:cs="Arial"/>
          <w:sz w:val="24"/>
          <w:szCs w:val="24"/>
        </w:rPr>
        <w:t>Por lo que para</w:t>
      </w:r>
      <w:r>
        <w:rPr>
          <w:rFonts w:ascii="Arial" w:hAnsi="Arial" w:cs="Arial"/>
          <w:sz w:val="24"/>
          <w:szCs w:val="24"/>
        </w:rPr>
        <w:t xml:space="preserve"> </w:t>
      </w:r>
      <w:r w:rsidRPr="000138B6">
        <w:rPr>
          <w:rFonts w:ascii="Arial" w:hAnsi="Arial" w:cs="Arial"/>
          <w:sz w:val="24"/>
          <w:szCs w:val="24"/>
        </w:rPr>
        <w:t xml:space="preserve">efectuar la estimación de los ingresos por concepto de </w:t>
      </w:r>
      <w:r w:rsidRPr="00CB5DD6">
        <w:rPr>
          <w:rFonts w:ascii="Arial" w:hAnsi="Arial" w:cs="Arial"/>
          <w:b/>
          <w:sz w:val="24"/>
          <w:szCs w:val="24"/>
        </w:rPr>
        <w:t xml:space="preserve">Impuestos </w:t>
      </w:r>
      <w:r w:rsidRPr="00CB5DD6">
        <w:rPr>
          <w:rFonts w:ascii="Arial" w:hAnsi="Arial" w:cs="Arial"/>
          <w:sz w:val="24"/>
          <w:szCs w:val="24"/>
        </w:rPr>
        <w:t xml:space="preserve">para </w:t>
      </w:r>
      <w:r w:rsidRPr="005B7F83">
        <w:rPr>
          <w:rFonts w:ascii="Arial" w:hAnsi="Arial" w:cs="Arial"/>
          <w:sz w:val="24"/>
          <w:szCs w:val="24"/>
        </w:rPr>
        <w:t>2018, están considerando</w:t>
      </w:r>
      <w:r w:rsidRPr="000138B6">
        <w:rPr>
          <w:rFonts w:ascii="Arial" w:hAnsi="Arial" w:cs="Arial"/>
          <w:sz w:val="24"/>
          <w:szCs w:val="24"/>
        </w:rPr>
        <w:t xml:space="preserve"> la serie histórica; la recaudación de enero a septiembre y el proyectado de octubre a diciembre de 2017; el PIBE más inflación esperados para 2018; y la eliminación del Impuesto Sobre Tenencia o Uso de Vehículos. Por lo </w:t>
      </w:r>
      <w:r w:rsidRPr="005B7F83">
        <w:rPr>
          <w:rFonts w:ascii="Arial" w:hAnsi="Arial" w:cs="Arial"/>
          <w:sz w:val="24"/>
          <w:szCs w:val="24"/>
        </w:rPr>
        <w:t>que la propuesta</w:t>
      </w:r>
      <w:r w:rsidRPr="000138B6">
        <w:rPr>
          <w:rFonts w:ascii="Arial" w:hAnsi="Arial" w:cs="Arial"/>
          <w:sz w:val="24"/>
          <w:szCs w:val="24"/>
        </w:rPr>
        <w:t xml:space="preserve"> incluye el comportamiento real de la recaudación de impuestos y el impacto que los factores macroeconómicos podrían tener sobre éstos.</w:t>
      </w:r>
    </w:p>
    <w:p w:rsidR="000138B6" w:rsidRPr="000138B6" w:rsidRDefault="00CB5DD6" w:rsidP="000138B6">
      <w:pPr>
        <w:spacing w:before="240" w:after="240" w:line="360" w:lineRule="auto"/>
        <w:ind w:firstLine="567"/>
        <w:jc w:val="both"/>
        <w:rPr>
          <w:rFonts w:ascii="Arial" w:hAnsi="Arial" w:cs="Arial"/>
          <w:sz w:val="24"/>
          <w:szCs w:val="24"/>
        </w:rPr>
      </w:pPr>
      <w:r w:rsidRPr="005B7F83">
        <w:rPr>
          <w:rFonts w:ascii="Arial" w:hAnsi="Arial" w:cs="Arial"/>
          <w:sz w:val="24"/>
          <w:szCs w:val="24"/>
        </w:rPr>
        <w:t>Expresan que e</w:t>
      </w:r>
      <w:r w:rsidR="000138B6" w:rsidRPr="005B7F83">
        <w:rPr>
          <w:rFonts w:ascii="Arial" w:hAnsi="Arial" w:cs="Arial"/>
          <w:sz w:val="24"/>
          <w:szCs w:val="24"/>
        </w:rPr>
        <w:t>l</w:t>
      </w:r>
      <w:r w:rsidR="000138B6" w:rsidRPr="000138B6">
        <w:rPr>
          <w:rFonts w:ascii="Arial" w:hAnsi="Arial" w:cs="Arial"/>
          <w:sz w:val="24"/>
          <w:szCs w:val="24"/>
        </w:rPr>
        <w:t xml:space="preserve"> comportamiento de los </w:t>
      </w:r>
      <w:r w:rsidR="000138B6" w:rsidRPr="00CB5DD6">
        <w:rPr>
          <w:rFonts w:ascii="Arial" w:hAnsi="Arial" w:cs="Arial"/>
          <w:b/>
          <w:sz w:val="24"/>
          <w:szCs w:val="24"/>
        </w:rPr>
        <w:t>Derechos</w:t>
      </w:r>
      <w:r w:rsidR="000138B6" w:rsidRPr="000138B6">
        <w:rPr>
          <w:rFonts w:ascii="Arial" w:hAnsi="Arial" w:cs="Arial"/>
          <w:sz w:val="24"/>
          <w:szCs w:val="24"/>
        </w:rPr>
        <w:t xml:space="preserve"> está estrechamente relacionado con la demanda de servicios públicos por parte de los ciudadanos, </w:t>
      </w:r>
      <w:r w:rsidR="000138B6" w:rsidRPr="000138B6">
        <w:rPr>
          <w:rFonts w:ascii="Arial" w:hAnsi="Arial" w:cs="Arial"/>
          <w:sz w:val="24"/>
          <w:szCs w:val="24"/>
        </w:rPr>
        <w:lastRenderedPageBreak/>
        <w:t>es por ello que se pronosticaron tomando en cuenta la serie histórica; la recaudación de enero a septiembre y el proyectado de octubre a diciembre de 2017; la tasa de crecimiento de población estatal y el crecimiento en el nivel de precios esperados para 2018.</w:t>
      </w:r>
    </w:p>
    <w:p w:rsidR="000138B6" w:rsidRPr="00CB5DD6" w:rsidRDefault="00B131AA" w:rsidP="00CB5DD6">
      <w:pPr>
        <w:spacing w:before="240" w:after="240" w:line="360" w:lineRule="auto"/>
        <w:ind w:firstLine="567"/>
        <w:jc w:val="both"/>
        <w:rPr>
          <w:rFonts w:ascii="Arial" w:hAnsi="Arial" w:cs="Arial"/>
          <w:sz w:val="24"/>
          <w:szCs w:val="24"/>
        </w:rPr>
      </w:pPr>
      <w:r w:rsidRPr="005B7F83">
        <w:rPr>
          <w:rFonts w:ascii="Arial" w:hAnsi="Arial" w:cs="Arial"/>
          <w:sz w:val="24"/>
          <w:szCs w:val="24"/>
        </w:rPr>
        <w:t xml:space="preserve">En lo que respecta al </w:t>
      </w:r>
      <w:r w:rsidR="000138B6" w:rsidRPr="005B7F83">
        <w:rPr>
          <w:rFonts w:ascii="Arial" w:hAnsi="Arial" w:cs="Arial"/>
          <w:sz w:val="24"/>
          <w:szCs w:val="24"/>
        </w:rPr>
        <w:t>rubro</w:t>
      </w:r>
      <w:r w:rsidR="000138B6" w:rsidRPr="00CB5DD6">
        <w:rPr>
          <w:rFonts w:ascii="Arial" w:hAnsi="Arial" w:cs="Arial"/>
          <w:sz w:val="24"/>
          <w:szCs w:val="24"/>
        </w:rPr>
        <w:t xml:space="preserve"> de </w:t>
      </w:r>
      <w:r w:rsidR="000138B6" w:rsidRPr="00B131AA">
        <w:rPr>
          <w:rFonts w:ascii="Arial" w:hAnsi="Arial" w:cs="Arial"/>
          <w:b/>
          <w:sz w:val="24"/>
          <w:szCs w:val="24"/>
        </w:rPr>
        <w:t>Productos</w:t>
      </w:r>
      <w:r w:rsidR="000138B6" w:rsidRPr="00CB5DD6">
        <w:rPr>
          <w:rFonts w:ascii="Arial" w:hAnsi="Arial" w:cs="Arial"/>
          <w:sz w:val="24"/>
          <w:szCs w:val="24"/>
        </w:rPr>
        <w:t xml:space="preserve"> incluye conceptos relacionados con la generación de rendimientos derivados de actividades ajenas a fines gubernamentales, por lo cual fueron estimados con la recaudación de enero a septiembre y el proyectado de octubre a diciembre de 2017; y el incremento del nivel de precios esperado, esto con el objetivo de mantener su valor real en el tiempo.</w:t>
      </w:r>
    </w:p>
    <w:p w:rsidR="000138B6" w:rsidRPr="00B131AA" w:rsidRDefault="00B131AA" w:rsidP="00B131AA">
      <w:pPr>
        <w:spacing w:before="240" w:after="240" w:line="360" w:lineRule="auto"/>
        <w:ind w:firstLine="567"/>
        <w:jc w:val="both"/>
        <w:rPr>
          <w:rFonts w:ascii="Arial" w:hAnsi="Arial" w:cs="Arial"/>
          <w:sz w:val="24"/>
          <w:szCs w:val="24"/>
        </w:rPr>
      </w:pPr>
      <w:r w:rsidRPr="005B7F83">
        <w:rPr>
          <w:rFonts w:ascii="Arial" w:hAnsi="Arial" w:cs="Arial"/>
          <w:sz w:val="24"/>
          <w:szCs w:val="24"/>
        </w:rPr>
        <w:t>Por su parte, los</w:t>
      </w:r>
      <w:r w:rsidR="000138B6" w:rsidRPr="005B7F83">
        <w:rPr>
          <w:rFonts w:ascii="Arial" w:hAnsi="Arial" w:cs="Arial"/>
          <w:sz w:val="24"/>
          <w:szCs w:val="24"/>
        </w:rPr>
        <w:t xml:space="preserve"> </w:t>
      </w:r>
      <w:r w:rsidR="000138B6" w:rsidRPr="005B7F83">
        <w:rPr>
          <w:rFonts w:ascii="Arial" w:hAnsi="Arial" w:cs="Arial"/>
          <w:b/>
          <w:sz w:val="24"/>
          <w:szCs w:val="24"/>
        </w:rPr>
        <w:t>Aprovechamientos</w:t>
      </w:r>
      <w:r w:rsidR="000138B6" w:rsidRPr="00B131AA">
        <w:rPr>
          <w:rFonts w:ascii="Arial" w:hAnsi="Arial" w:cs="Arial"/>
          <w:sz w:val="24"/>
          <w:szCs w:val="24"/>
        </w:rPr>
        <w:t xml:space="preserve"> están relacionados con la realización de actividades productivas, por lo que para su estimación fue considerada la serie histórica; la recaudación de enero a septiembre y el proyectado de octubre a diciembre de 2017; y la tasa de crecimiento real del Estado así como la inflación esperada para 2018. </w:t>
      </w:r>
    </w:p>
    <w:p w:rsidR="000138B6" w:rsidRPr="00B131AA" w:rsidRDefault="000138B6" w:rsidP="00B131AA">
      <w:pPr>
        <w:spacing w:before="240" w:after="240" w:line="360" w:lineRule="auto"/>
        <w:ind w:firstLine="567"/>
        <w:jc w:val="both"/>
        <w:rPr>
          <w:rFonts w:ascii="Arial" w:hAnsi="Arial" w:cs="Arial"/>
          <w:sz w:val="24"/>
          <w:szCs w:val="24"/>
        </w:rPr>
      </w:pPr>
      <w:r w:rsidRPr="00B131AA">
        <w:rPr>
          <w:rFonts w:ascii="Arial" w:hAnsi="Arial" w:cs="Arial"/>
          <w:sz w:val="24"/>
          <w:szCs w:val="24"/>
        </w:rPr>
        <w:t xml:space="preserve">Las estimaciones de </w:t>
      </w:r>
      <w:r w:rsidRPr="00B131AA">
        <w:rPr>
          <w:rFonts w:ascii="Arial" w:hAnsi="Arial" w:cs="Arial"/>
          <w:b/>
          <w:sz w:val="24"/>
          <w:szCs w:val="24"/>
        </w:rPr>
        <w:t>Ingresos Federales</w:t>
      </w:r>
      <w:r w:rsidRPr="00B131AA">
        <w:rPr>
          <w:rFonts w:ascii="Arial" w:hAnsi="Arial" w:cs="Arial"/>
          <w:sz w:val="24"/>
          <w:szCs w:val="24"/>
        </w:rPr>
        <w:t>, que recibirá el Estado y los Municipios, por concepto de Participaciones Federales del Ramo 28, Aportaciones Federales del Ramo 33 y los subsidios, convenios de reasignación y demás transferencias federales etiquetadas, son congruentes con los CGPE 2018, la ILIF 2018 y los montos previstos en los anexos del Proyecto y el PEF 2018.</w:t>
      </w:r>
    </w:p>
    <w:p w:rsidR="000138B6" w:rsidRDefault="000138B6" w:rsidP="00B131AA">
      <w:pPr>
        <w:spacing w:before="240" w:after="240" w:line="360" w:lineRule="auto"/>
        <w:ind w:firstLine="567"/>
        <w:jc w:val="both"/>
        <w:rPr>
          <w:rFonts w:ascii="Arial" w:hAnsi="Arial" w:cs="Arial"/>
          <w:sz w:val="24"/>
          <w:szCs w:val="24"/>
        </w:rPr>
      </w:pPr>
      <w:r w:rsidRPr="00B131AA">
        <w:rPr>
          <w:rFonts w:ascii="Arial" w:hAnsi="Arial" w:cs="Arial"/>
          <w:sz w:val="24"/>
          <w:szCs w:val="24"/>
        </w:rPr>
        <w:t xml:space="preserve">Como resultado de la aprobación de la Ley de Ingresos de la Federación 2018 (LIF 2018) y del aumento en la Recaudación Federal Participable (RFP) </w:t>
      </w:r>
      <w:r w:rsidRPr="00B131AA">
        <w:rPr>
          <w:rFonts w:ascii="Arial" w:hAnsi="Arial" w:cs="Arial"/>
          <w:sz w:val="24"/>
          <w:szCs w:val="24"/>
        </w:rPr>
        <w:lastRenderedPageBreak/>
        <w:t xml:space="preserve">por las modificaciones al tipo de cambio, el precio del petróleo y la estimación de mayores ingresos tributarios de la Federación; fueron ajustados a la alza los fondos que de acuerdo a la Ley de </w:t>
      </w:r>
      <w:r w:rsidR="00B131AA" w:rsidRPr="00B131AA">
        <w:rPr>
          <w:rFonts w:ascii="Arial" w:hAnsi="Arial" w:cs="Arial"/>
          <w:sz w:val="24"/>
          <w:szCs w:val="24"/>
        </w:rPr>
        <w:t>Coordinación</w:t>
      </w:r>
      <w:r w:rsidRPr="00B131AA">
        <w:rPr>
          <w:rFonts w:ascii="Arial" w:hAnsi="Arial" w:cs="Arial"/>
          <w:sz w:val="24"/>
          <w:szCs w:val="24"/>
        </w:rPr>
        <w:t xml:space="preserve"> Fiscal (LCF) se conforman o están referenciados como porcentaje de la RFP.</w:t>
      </w:r>
    </w:p>
    <w:p w:rsidR="000138B6" w:rsidRPr="00B131AA" w:rsidRDefault="00DA384A" w:rsidP="00B131AA">
      <w:pPr>
        <w:spacing w:before="240" w:after="240" w:line="360" w:lineRule="auto"/>
        <w:ind w:firstLine="567"/>
        <w:jc w:val="both"/>
        <w:rPr>
          <w:rFonts w:ascii="Arial" w:hAnsi="Arial" w:cs="Arial"/>
          <w:sz w:val="24"/>
          <w:szCs w:val="24"/>
        </w:rPr>
      </w:pPr>
      <w:r w:rsidRPr="005B7F83">
        <w:rPr>
          <w:rFonts w:ascii="Arial" w:hAnsi="Arial" w:cs="Arial"/>
          <w:sz w:val="24"/>
          <w:szCs w:val="24"/>
        </w:rPr>
        <w:t xml:space="preserve">Respecto al </w:t>
      </w:r>
      <w:r w:rsidR="005B7F83" w:rsidRPr="005B7F83">
        <w:rPr>
          <w:rFonts w:ascii="Arial" w:hAnsi="Arial" w:cs="Arial"/>
          <w:b/>
          <w:sz w:val="24"/>
          <w:szCs w:val="24"/>
        </w:rPr>
        <w:t>E</w:t>
      </w:r>
      <w:r w:rsidRPr="005B7F83">
        <w:rPr>
          <w:rFonts w:ascii="Arial" w:hAnsi="Arial" w:cs="Arial"/>
          <w:b/>
          <w:sz w:val="24"/>
          <w:szCs w:val="24"/>
        </w:rPr>
        <w:t xml:space="preserve">ntorno </w:t>
      </w:r>
      <w:r w:rsidR="005B7F83" w:rsidRPr="005B7F83">
        <w:rPr>
          <w:rFonts w:ascii="Arial" w:hAnsi="Arial" w:cs="Arial"/>
          <w:b/>
          <w:sz w:val="24"/>
          <w:szCs w:val="24"/>
        </w:rPr>
        <w:t>E</w:t>
      </w:r>
      <w:r w:rsidRPr="005B7F83">
        <w:rPr>
          <w:rFonts w:ascii="Arial" w:hAnsi="Arial" w:cs="Arial"/>
          <w:b/>
          <w:sz w:val="24"/>
          <w:szCs w:val="24"/>
        </w:rPr>
        <w:t>conómico</w:t>
      </w:r>
      <w:r w:rsidRPr="005B7F83">
        <w:rPr>
          <w:rFonts w:ascii="Arial" w:hAnsi="Arial" w:cs="Arial"/>
          <w:sz w:val="24"/>
          <w:szCs w:val="24"/>
        </w:rPr>
        <w:t>; e</w:t>
      </w:r>
      <w:r w:rsidR="000138B6" w:rsidRPr="005B7F83">
        <w:rPr>
          <w:rFonts w:ascii="Arial" w:hAnsi="Arial" w:cs="Arial"/>
          <w:sz w:val="24"/>
          <w:szCs w:val="24"/>
        </w:rPr>
        <w:t xml:space="preserve">n 2017 </w:t>
      </w:r>
      <w:r w:rsidRPr="005B7F83">
        <w:rPr>
          <w:rFonts w:ascii="Arial" w:hAnsi="Arial" w:cs="Arial"/>
          <w:sz w:val="24"/>
          <w:szCs w:val="24"/>
        </w:rPr>
        <w:t>como es sabido,</w:t>
      </w:r>
      <w:r>
        <w:rPr>
          <w:rFonts w:ascii="Arial" w:hAnsi="Arial" w:cs="Arial"/>
          <w:sz w:val="24"/>
          <w:szCs w:val="24"/>
        </w:rPr>
        <w:t xml:space="preserve"> l</w:t>
      </w:r>
      <w:r w:rsidR="000138B6" w:rsidRPr="00B131AA">
        <w:rPr>
          <w:rFonts w:ascii="Arial" w:hAnsi="Arial" w:cs="Arial"/>
          <w:sz w:val="24"/>
          <w:szCs w:val="24"/>
        </w:rPr>
        <w:t>a economía mundial tuvo un comportamiento vacilante durante los primeros meses del año, producto de la combinación de diversos factores que se venían observando desde 2016. Sin embargo, para el cierre de la primera mitad del año, economías avanzadas mejoraron sus expectativas de crecimiento, como resultado del repunte mundial de la actividad económica, la cual se espera se intensifique en lo que resta del año.</w:t>
      </w:r>
    </w:p>
    <w:p w:rsidR="000138B6" w:rsidRPr="005B7F83" w:rsidRDefault="000138B6" w:rsidP="00DA384A">
      <w:pPr>
        <w:spacing w:before="240" w:after="240" w:line="360" w:lineRule="auto"/>
        <w:ind w:firstLine="567"/>
        <w:jc w:val="both"/>
        <w:rPr>
          <w:rFonts w:ascii="Arial" w:hAnsi="Arial" w:cs="Arial"/>
          <w:sz w:val="24"/>
          <w:szCs w:val="24"/>
        </w:rPr>
      </w:pPr>
      <w:r w:rsidRPr="00DA384A">
        <w:rPr>
          <w:rFonts w:ascii="Arial" w:hAnsi="Arial" w:cs="Arial"/>
          <w:sz w:val="24"/>
          <w:szCs w:val="24"/>
        </w:rPr>
        <w:t xml:space="preserve">Dada una evolución económica nacional más favorable que la esperada a inicios de año, organismos internacionales y analistas del sector privado han revisado a la alza las expectativas de crecimiento de México para el cierre de 2017. De acuerdo a los CGPE 2018, se plantea una tasa de crecimiento puntual del PIB para 2017 de 2.2 por ciento y una inflación de 5.8 por ciento, sin embargo, el Banco de México considera que la tasa de inflación converja a la tasa objetivo de 3 por ciento +/- 1 punto porcentual en el mediano y largo plazo. Por otra parte, se estima que el tipo de cambio nominal se ubique en promedio en 18.7 pesos por dólar y </w:t>
      </w:r>
      <w:r w:rsidRPr="005B7F83">
        <w:rPr>
          <w:rFonts w:ascii="Arial" w:hAnsi="Arial" w:cs="Arial"/>
          <w:sz w:val="24"/>
          <w:szCs w:val="24"/>
        </w:rPr>
        <w:t>la tasa de interés nominal promedio (cetes 28 días) en 6.7 por ciento.</w:t>
      </w:r>
    </w:p>
    <w:p w:rsidR="000138B6" w:rsidRPr="00D22472" w:rsidRDefault="00D22472" w:rsidP="00D22472">
      <w:pPr>
        <w:spacing w:before="240" w:after="240" w:line="360" w:lineRule="auto"/>
        <w:ind w:firstLine="567"/>
        <w:jc w:val="both"/>
        <w:rPr>
          <w:rFonts w:ascii="Arial" w:hAnsi="Arial" w:cs="Arial"/>
          <w:sz w:val="24"/>
          <w:szCs w:val="24"/>
        </w:rPr>
      </w:pPr>
      <w:r w:rsidRPr="005B7F83">
        <w:rPr>
          <w:rFonts w:ascii="Arial" w:hAnsi="Arial" w:cs="Arial"/>
          <w:sz w:val="24"/>
          <w:szCs w:val="24"/>
        </w:rPr>
        <w:t>En lo que corresponde al</w:t>
      </w:r>
      <w:r>
        <w:rPr>
          <w:rFonts w:ascii="Arial" w:hAnsi="Arial" w:cs="Arial"/>
          <w:sz w:val="24"/>
          <w:szCs w:val="24"/>
        </w:rPr>
        <w:t xml:space="preserve"> </w:t>
      </w:r>
      <w:r w:rsidR="000138B6" w:rsidRPr="00DA384A">
        <w:rPr>
          <w:rFonts w:ascii="Arial" w:hAnsi="Arial" w:cs="Arial"/>
          <w:sz w:val="24"/>
          <w:szCs w:val="24"/>
        </w:rPr>
        <w:t xml:space="preserve">contexto local, el desempeño de la economía del Estado de </w:t>
      </w:r>
      <w:r w:rsidR="000138B6" w:rsidRPr="00D22472">
        <w:rPr>
          <w:rFonts w:ascii="Arial" w:hAnsi="Arial" w:cs="Arial"/>
          <w:sz w:val="24"/>
          <w:szCs w:val="24"/>
        </w:rPr>
        <w:t xml:space="preserve">Nuevo León durante los primeros meses del 2017, tuvo una </w:t>
      </w:r>
      <w:r w:rsidR="000138B6" w:rsidRPr="00D22472">
        <w:rPr>
          <w:rFonts w:ascii="Arial" w:hAnsi="Arial" w:cs="Arial"/>
          <w:sz w:val="24"/>
          <w:szCs w:val="24"/>
        </w:rPr>
        <w:lastRenderedPageBreak/>
        <w:t>recuperación atribuible al sector servicios y el crecimiento en la actividad industrial en Estados Unidos de América (EUA), que ha impulsado las manufacturas estatales que han seguido creciendo desde finales del año pasado. Por lo anterior, para el cierre de 2017 se espera que la economía de Nuevo León siga avanzando hasta alcanzar un crecimiento aproximado de 2.8 por ciento.</w:t>
      </w:r>
    </w:p>
    <w:p w:rsidR="000138B6" w:rsidRPr="00DA384A" w:rsidRDefault="000138B6" w:rsidP="00067739">
      <w:pPr>
        <w:spacing w:before="240" w:after="240" w:line="360" w:lineRule="auto"/>
        <w:ind w:firstLine="567"/>
        <w:jc w:val="both"/>
        <w:rPr>
          <w:rFonts w:ascii="Arial" w:hAnsi="Arial" w:cs="Arial"/>
          <w:sz w:val="24"/>
          <w:szCs w:val="24"/>
        </w:rPr>
      </w:pPr>
      <w:r w:rsidRPr="00DA384A">
        <w:rPr>
          <w:rFonts w:ascii="Arial" w:hAnsi="Arial" w:cs="Arial"/>
          <w:sz w:val="24"/>
          <w:szCs w:val="24"/>
        </w:rPr>
        <w:t xml:space="preserve">Para 2018, analistas y organismos internacionales anticipan que el crecimiento económico mundial y particularmente el de EUA registren una ligera aceleración en relación a la proyectada para el cierre de 2017. </w:t>
      </w:r>
    </w:p>
    <w:p w:rsidR="000138B6" w:rsidRPr="00067739" w:rsidRDefault="000138B6" w:rsidP="00067739">
      <w:pPr>
        <w:spacing w:before="240" w:after="240" w:line="360" w:lineRule="auto"/>
        <w:ind w:firstLine="567"/>
        <w:jc w:val="both"/>
        <w:rPr>
          <w:rFonts w:ascii="Arial" w:hAnsi="Arial" w:cs="Arial"/>
          <w:sz w:val="24"/>
          <w:szCs w:val="24"/>
        </w:rPr>
      </w:pPr>
      <w:r w:rsidRPr="00067739">
        <w:rPr>
          <w:rFonts w:ascii="Arial" w:hAnsi="Arial" w:cs="Arial"/>
          <w:sz w:val="24"/>
          <w:szCs w:val="24"/>
        </w:rPr>
        <w:t xml:space="preserve">Los CGPE 2018 publicados en el mes de septiembre del presente año, mencionan que de acuerdo al Fondo Monetario Internacional (FMI) el crecimiento global para 2018 se ubique en 3.6 por ciento, y en cuanto a EUA menciona que la encuesta de Blue Chip Economic Indicators de agosto, prevé que el crecimiento en 2018 se posicione en 2.4 por ciento. </w:t>
      </w:r>
    </w:p>
    <w:p w:rsidR="000138B6" w:rsidRPr="00067739" w:rsidRDefault="000138B6" w:rsidP="00067739">
      <w:pPr>
        <w:spacing w:before="240" w:after="240" w:line="360" w:lineRule="auto"/>
        <w:ind w:firstLine="567"/>
        <w:jc w:val="both"/>
        <w:rPr>
          <w:rFonts w:ascii="Arial" w:hAnsi="Arial" w:cs="Arial"/>
          <w:sz w:val="24"/>
          <w:szCs w:val="24"/>
        </w:rPr>
      </w:pPr>
      <w:r w:rsidRPr="00067739">
        <w:rPr>
          <w:rFonts w:ascii="Arial" w:hAnsi="Arial" w:cs="Arial"/>
          <w:sz w:val="24"/>
          <w:szCs w:val="24"/>
        </w:rPr>
        <w:t>Por otro lado, el FMI en la actualización de octubre del informe de Perspectivas Económicas Mundiales (WEO en sus siglas en inglés) reporta un crecimiento global para 2018 de 3.7 por ciento; y para EUA reporta un crecimiento para 2018 de 2.3 por ciento, inferior en 0.1 por ciento con respecto a la encuesta de Blue Chip Economic Indicators de agosto. La revisión a la baja para EUA respecto de los pronósticos previos, es producto de una fuerte corrección de los supuestos en torno a su política fiscal nacional.</w:t>
      </w:r>
    </w:p>
    <w:p w:rsidR="000138B6" w:rsidRPr="00067739" w:rsidRDefault="0023410E" w:rsidP="0023410E">
      <w:pPr>
        <w:spacing w:before="240" w:after="240" w:line="360" w:lineRule="auto"/>
        <w:ind w:firstLine="567"/>
        <w:jc w:val="both"/>
        <w:rPr>
          <w:rFonts w:ascii="Arial" w:hAnsi="Arial" w:cs="Arial"/>
          <w:sz w:val="24"/>
          <w:szCs w:val="24"/>
        </w:rPr>
      </w:pPr>
      <w:r w:rsidRPr="005B7F83">
        <w:rPr>
          <w:rFonts w:ascii="Arial" w:hAnsi="Arial" w:cs="Arial"/>
          <w:sz w:val="24"/>
          <w:szCs w:val="24"/>
        </w:rPr>
        <w:t xml:space="preserve">Por lo que se </w:t>
      </w:r>
      <w:r w:rsidR="000138B6" w:rsidRPr="005B7F83">
        <w:rPr>
          <w:rFonts w:ascii="Arial" w:hAnsi="Arial" w:cs="Arial"/>
          <w:sz w:val="24"/>
          <w:szCs w:val="24"/>
        </w:rPr>
        <w:t>prevé</w:t>
      </w:r>
      <w:r w:rsidR="000138B6" w:rsidRPr="00067739">
        <w:rPr>
          <w:rFonts w:ascii="Arial" w:hAnsi="Arial" w:cs="Arial"/>
          <w:sz w:val="24"/>
          <w:szCs w:val="24"/>
        </w:rPr>
        <w:t xml:space="preserve"> que en México continúe la buena dinámica del mercado interno, apoyado en la creación de empleos formales, la expansión </w:t>
      </w:r>
      <w:r w:rsidR="000138B6" w:rsidRPr="00067739">
        <w:rPr>
          <w:rFonts w:ascii="Arial" w:hAnsi="Arial" w:cs="Arial"/>
          <w:sz w:val="24"/>
          <w:szCs w:val="24"/>
        </w:rPr>
        <w:lastRenderedPageBreak/>
        <w:t>del crédito, un aumento de los salarios y la convergencia de la inflación al objetivo del Banco de México. En ese sentido, y para efectos de las estimaciones de finanzas públicas los CGPE 2018 plantean una tasa de crecimiento puntual del PIB para 2018 de 2.5 por ciento y consideran una inflación de 3.0 por ciento, en línea con las proyecciones y el objetivo del Banco de México.</w:t>
      </w:r>
    </w:p>
    <w:p w:rsidR="000138B6" w:rsidRPr="0023410E" w:rsidRDefault="000138B6" w:rsidP="0023410E">
      <w:pPr>
        <w:spacing w:before="240" w:after="240" w:line="360" w:lineRule="auto"/>
        <w:ind w:firstLine="567"/>
        <w:jc w:val="both"/>
        <w:rPr>
          <w:rFonts w:ascii="Arial" w:hAnsi="Arial" w:cs="Arial"/>
          <w:sz w:val="24"/>
          <w:szCs w:val="24"/>
        </w:rPr>
      </w:pPr>
      <w:r w:rsidRPr="0023410E">
        <w:rPr>
          <w:rFonts w:ascii="Arial" w:hAnsi="Arial" w:cs="Arial"/>
          <w:sz w:val="24"/>
          <w:szCs w:val="24"/>
        </w:rPr>
        <w:t>Durante los últimos días de octubre el Senado avaló los ajustes que previamente la Cámara de Diputados hizo a la LIF 2018, un aumento del tipo de cambio, al pasar de 18.10 a 18.40 pesos por dólar; un mayor promedio en el precio del petróleo, de 46.0 a 48.5 dólares por barril; y una mayor recaudación de ingresos tributarios y no tributarios.</w:t>
      </w:r>
    </w:p>
    <w:p w:rsidR="000138B6" w:rsidRPr="0023410E" w:rsidRDefault="000138B6" w:rsidP="0023410E">
      <w:pPr>
        <w:spacing w:before="240" w:after="240" w:line="360" w:lineRule="auto"/>
        <w:ind w:firstLine="567"/>
        <w:jc w:val="both"/>
        <w:rPr>
          <w:rFonts w:ascii="Arial" w:hAnsi="Arial" w:cs="Arial"/>
          <w:sz w:val="24"/>
          <w:szCs w:val="24"/>
        </w:rPr>
      </w:pPr>
      <w:r w:rsidRPr="0023410E">
        <w:rPr>
          <w:rFonts w:ascii="Arial" w:hAnsi="Arial" w:cs="Arial"/>
          <w:sz w:val="24"/>
          <w:szCs w:val="24"/>
        </w:rPr>
        <w:t>Con respecto a Nuevo León, se pronostica que el PIB para 2018 se ubique en 3.3 por ciento, crecimiento superior tanto al cierre de 2017 como al nacional esperado para el próximo año. Aumento atribuible a un mayor dinamismo del sector manufacturero y un repunte del sector de la construcción, por una mejora de la economía norteamericana y una recuperación de la inversión en infraestructura, respectivamente.</w:t>
      </w:r>
    </w:p>
    <w:p w:rsidR="000138B6" w:rsidRPr="0023410E" w:rsidRDefault="000138B6" w:rsidP="0023410E">
      <w:pPr>
        <w:spacing w:before="240" w:after="240" w:line="360" w:lineRule="auto"/>
        <w:ind w:firstLine="567"/>
        <w:jc w:val="both"/>
        <w:rPr>
          <w:rFonts w:ascii="Arial" w:hAnsi="Arial" w:cs="Arial"/>
          <w:sz w:val="24"/>
          <w:szCs w:val="24"/>
        </w:rPr>
      </w:pPr>
      <w:r w:rsidRPr="0023410E">
        <w:rPr>
          <w:rFonts w:ascii="Arial" w:hAnsi="Arial" w:cs="Arial"/>
          <w:sz w:val="24"/>
          <w:szCs w:val="24"/>
        </w:rPr>
        <w:t xml:space="preserve">Es importante mencionar que las proyecciones para 2018 están sujetas a variaciones, así como a algunos riesgos relevantes que podrían modificar las estimaciones del marco macroeconómico; </w:t>
      </w:r>
    </w:p>
    <w:p w:rsidR="000138B6" w:rsidRPr="0023410E" w:rsidRDefault="000138B6" w:rsidP="0023410E">
      <w:pPr>
        <w:pStyle w:val="Prrafodelista"/>
        <w:numPr>
          <w:ilvl w:val="0"/>
          <w:numId w:val="13"/>
        </w:numPr>
        <w:spacing w:before="240" w:after="240" w:line="360" w:lineRule="auto"/>
        <w:jc w:val="both"/>
        <w:rPr>
          <w:rFonts w:ascii="Arial" w:hAnsi="Arial" w:cs="Arial"/>
          <w:sz w:val="24"/>
          <w:szCs w:val="24"/>
        </w:rPr>
      </w:pPr>
      <w:r w:rsidRPr="0023410E">
        <w:rPr>
          <w:rFonts w:ascii="Arial" w:hAnsi="Arial" w:cs="Arial"/>
          <w:sz w:val="24"/>
          <w:szCs w:val="24"/>
        </w:rPr>
        <w:t xml:space="preserve">Un debilitamiento de la economía mundial; </w:t>
      </w:r>
    </w:p>
    <w:p w:rsidR="000138B6" w:rsidRPr="0023410E" w:rsidRDefault="000138B6" w:rsidP="0023410E">
      <w:pPr>
        <w:pStyle w:val="Prrafodelista"/>
        <w:numPr>
          <w:ilvl w:val="0"/>
          <w:numId w:val="13"/>
        </w:numPr>
        <w:spacing w:before="240" w:after="240" w:line="360" w:lineRule="auto"/>
        <w:jc w:val="both"/>
        <w:rPr>
          <w:rFonts w:ascii="Arial" w:hAnsi="Arial" w:cs="Arial"/>
          <w:sz w:val="24"/>
          <w:szCs w:val="24"/>
        </w:rPr>
      </w:pPr>
      <w:r w:rsidRPr="0023410E">
        <w:rPr>
          <w:rFonts w:ascii="Arial" w:hAnsi="Arial" w:cs="Arial"/>
          <w:sz w:val="24"/>
          <w:szCs w:val="24"/>
        </w:rPr>
        <w:t xml:space="preserve">Una elevada volatilidad en los mercados financieros internacionales; </w:t>
      </w:r>
    </w:p>
    <w:p w:rsidR="000138B6" w:rsidRPr="0023410E" w:rsidRDefault="000138B6" w:rsidP="0023410E">
      <w:pPr>
        <w:pStyle w:val="Prrafodelista"/>
        <w:numPr>
          <w:ilvl w:val="0"/>
          <w:numId w:val="13"/>
        </w:numPr>
        <w:spacing w:before="240" w:after="240" w:line="360" w:lineRule="auto"/>
        <w:jc w:val="both"/>
        <w:rPr>
          <w:rFonts w:ascii="Arial" w:hAnsi="Arial" w:cs="Arial"/>
          <w:sz w:val="24"/>
          <w:szCs w:val="24"/>
        </w:rPr>
      </w:pPr>
      <w:r w:rsidRPr="0023410E">
        <w:rPr>
          <w:rFonts w:ascii="Arial" w:hAnsi="Arial" w:cs="Arial"/>
          <w:sz w:val="24"/>
          <w:szCs w:val="24"/>
        </w:rPr>
        <w:t>Un menor dinamismo de la economía de EUA, y</w:t>
      </w:r>
    </w:p>
    <w:p w:rsidR="000138B6" w:rsidRPr="0023410E" w:rsidRDefault="000138B6" w:rsidP="0023410E">
      <w:pPr>
        <w:pStyle w:val="Prrafodelista"/>
        <w:numPr>
          <w:ilvl w:val="0"/>
          <w:numId w:val="13"/>
        </w:numPr>
        <w:spacing w:before="240" w:after="240" w:line="360" w:lineRule="auto"/>
        <w:jc w:val="both"/>
        <w:rPr>
          <w:rFonts w:ascii="Arial" w:hAnsi="Arial" w:cs="Arial"/>
          <w:sz w:val="24"/>
          <w:szCs w:val="24"/>
        </w:rPr>
      </w:pPr>
      <w:r w:rsidRPr="0023410E">
        <w:rPr>
          <w:rFonts w:ascii="Arial" w:hAnsi="Arial" w:cs="Arial"/>
          <w:sz w:val="24"/>
          <w:szCs w:val="24"/>
        </w:rPr>
        <w:lastRenderedPageBreak/>
        <w:t>La renegociación del TLCAN.</w:t>
      </w:r>
    </w:p>
    <w:p w:rsidR="000138B6" w:rsidRPr="00C76591" w:rsidRDefault="0023410E" w:rsidP="0023410E">
      <w:pPr>
        <w:spacing w:before="240" w:after="240" w:line="360" w:lineRule="auto"/>
        <w:ind w:firstLine="567"/>
        <w:jc w:val="both"/>
        <w:rPr>
          <w:rFonts w:ascii="Arial" w:hAnsi="Arial" w:cs="Arial"/>
          <w:szCs w:val="24"/>
        </w:rPr>
      </w:pPr>
      <w:r w:rsidRPr="005B7F83">
        <w:rPr>
          <w:rFonts w:ascii="Arial" w:hAnsi="Arial" w:cs="Arial"/>
          <w:sz w:val="24"/>
          <w:szCs w:val="24"/>
        </w:rPr>
        <w:t>En el tema de</w:t>
      </w:r>
      <w:r w:rsidRPr="0023410E">
        <w:rPr>
          <w:rFonts w:ascii="Arial" w:hAnsi="Arial" w:cs="Arial"/>
          <w:b/>
          <w:sz w:val="24"/>
          <w:szCs w:val="24"/>
        </w:rPr>
        <w:t xml:space="preserve"> Financiamiento Público</w:t>
      </w:r>
      <w:r w:rsidRPr="0023410E">
        <w:rPr>
          <w:rFonts w:ascii="Arial" w:hAnsi="Arial" w:cs="Arial"/>
          <w:sz w:val="24"/>
          <w:szCs w:val="24"/>
        </w:rPr>
        <w:t>, e</w:t>
      </w:r>
      <w:r w:rsidR="000138B6" w:rsidRPr="0023410E">
        <w:rPr>
          <w:rFonts w:ascii="Arial" w:hAnsi="Arial" w:cs="Arial"/>
          <w:sz w:val="24"/>
          <w:szCs w:val="24"/>
        </w:rPr>
        <w:t>l Gobierno del Estado tiene como compromiso hacer uso responsable del financiamiento público y garantizar la solidez de las finanzas públicas. En este sentido, durante los últimos años la Secretaría de Finanzas y Tesorería General del Estado (SFyTGE) ha venido utilizando proactivamente el financiamiento público como motor de crecimiento y detonante de la inversión pública productiva, con el objetivo de satisfacer las prioridades de la población.</w:t>
      </w:r>
    </w:p>
    <w:p w:rsidR="000138B6" w:rsidRPr="0023410E" w:rsidRDefault="0023410E" w:rsidP="0023410E">
      <w:pPr>
        <w:spacing w:before="240" w:after="240" w:line="360" w:lineRule="auto"/>
        <w:ind w:firstLine="567"/>
        <w:jc w:val="both"/>
        <w:rPr>
          <w:rFonts w:ascii="Arial" w:hAnsi="Arial" w:cs="Arial"/>
          <w:sz w:val="24"/>
          <w:szCs w:val="24"/>
        </w:rPr>
      </w:pPr>
      <w:r w:rsidRPr="005B7F83">
        <w:rPr>
          <w:rFonts w:ascii="Arial" w:hAnsi="Arial" w:cs="Arial"/>
          <w:sz w:val="24"/>
          <w:szCs w:val="24"/>
        </w:rPr>
        <w:t>Comentan que d</w:t>
      </w:r>
      <w:r w:rsidR="000138B6" w:rsidRPr="005B7F83">
        <w:rPr>
          <w:rFonts w:ascii="Arial" w:hAnsi="Arial" w:cs="Arial"/>
          <w:sz w:val="24"/>
          <w:szCs w:val="24"/>
        </w:rPr>
        <w:t>esde</w:t>
      </w:r>
      <w:r w:rsidRPr="005B7F83">
        <w:rPr>
          <w:rFonts w:ascii="Arial" w:hAnsi="Arial" w:cs="Arial"/>
          <w:sz w:val="24"/>
          <w:szCs w:val="24"/>
        </w:rPr>
        <w:t xml:space="preserve"> 2016 han</w:t>
      </w:r>
      <w:r w:rsidR="000138B6" w:rsidRPr="005B7F83">
        <w:rPr>
          <w:rFonts w:ascii="Arial" w:hAnsi="Arial" w:cs="Arial"/>
          <w:sz w:val="24"/>
          <w:szCs w:val="24"/>
        </w:rPr>
        <w:t xml:space="preserve"> llevado</w:t>
      </w:r>
      <w:r w:rsidR="000138B6" w:rsidRPr="0023410E">
        <w:rPr>
          <w:rFonts w:ascii="Arial" w:hAnsi="Arial" w:cs="Arial"/>
          <w:sz w:val="24"/>
          <w:szCs w:val="24"/>
        </w:rPr>
        <w:t xml:space="preserve"> a cabo un proceso de reestructuración de Pasivos Bancarios y Bursátiles Directos del Gobierno del Estado, mediante seis licitaciones públicas, competitivas y de manera transparente, de acuerdo a la Ley de Disciplina Financiera de las Entidades Federativas y los Municipios (LDFEFM), de tal forma que las instituciones ganadoras fueran aquellas que presentaron las propuestas con menores costos para el Estado.</w:t>
      </w:r>
    </w:p>
    <w:p w:rsidR="000138B6" w:rsidRPr="0023410E" w:rsidRDefault="000138B6" w:rsidP="0023410E">
      <w:pPr>
        <w:spacing w:before="240" w:after="240" w:line="360" w:lineRule="auto"/>
        <w:ind w:firstLine="567"/>
        <w:jc w:val="both"/>
        <w:rPr>
          <w:rFonts w:ascii="Arial" w:hAnsi="Arial" w:cs="Arial"/>
          <w:sz w:val="24"/>
          <w:szCs w:val="24"/>
        </w:rPr>
      </w:pPr>
      <w:r w:rsidRPr="0023410E">
        <w:rPr>
          <w:rFonts w:ascii="Arial" w:hAnsi="Arial" w:cs="Arial"/>
          <w:sz w:val="24"/>
          <w:szCs w:val="24"/>
        </w:rPr>
        <w:t>Esto fue implementad</w:t>
      </w:r>
      <w:r w:rsidR="0023410E">
        <w:rPr>
          <w:rFonts w:ascii="Arial" w:hAnsi="Arial" w:cs="Arial"/>
          <w:sz w:val="24"/>
          <w:szCs w:val="24"/>
        </w:rPr>
        <w:t xml:space="preserve">o gracias a la autorización de </w:t>
      </w:r>
      <w:r w:rsidR="0023410E" w:rsidRPr="005B7F83">
        <w:rPr>
          <w:rFonts w:ascii="Arial" w:hAnsi="Arial" w:cs="Arial"/>
          <w:sz w:val="24"/>
          <w:szCs w:val="24"/>
        </w:rPr>
        <w:t>esta</w:t>
      </w:r>
      <w:r w:rsidR="0023410E">
        <w:rPr>
          <w:rFonts w:ascii="Arial" w:hAnsi="Arial" w:cs="Arial"/>
          <w:sz w:val="24"/>
          <w:szCs w:val="24"/>
        </w:rPr>
        <w:t xml:space="preserve"> legislatura, </w:t>
      </w:r>
      <w:r w:rsidRPr="0023410E">
        <w:rPr>
          <w:rFonts w:ascii="Arial" w:hAnsi="Arial" w:cs="Arial"/>
          <w:sz w:val="24"/>
          <w:szCs w:val="24"/>
        </w:rPr>
        <w:t>contenida en el Decreto número 129, publicado el 01 de julio de 2016 en el Periódico Oficial del Estado y cuya vigencia fue prorrogada mediante la Ley de Ingresos del Estado de Nuevo León para el año 2017.</w:t>
      </w:r>
    </w:p>
    <w:p w:rsidR="000138B6" w:rsidRPr="0023410E" w:rsidRDefault="000138B6" w:rsidP="0023410E">
      <w:pPr>
        <w:spacing w:before="240" w:after="240" w:line="360" w:lineRule="auto"/>
        <w:ind w:firstLine="567"/>
        <w:jc w:val="both"/>
        <w:rPr>
          <w:rFonts w:ascii="Arial" w:hAnsi="Arial" w:cs="Arial"/>
          <w:sz w:val="24"/>
          <w:szCs w:val="24"/>
        </w:rPr>
      </w:pPr>
      <w:r w:rsidRPr="0023410E">
        <w:rPr>
          <w:rFonts w:ascii="Arial" w:hAnsi="Arial" w:cs="Arial"/>
          <w:sz w:val="24"/>
          <w:szCs w:val="24"/>
        </w:rPr>
        <w:t xml:space="preserve">El primer proceso competitivo concluyó a mediados de noviembre del 2016, mediante el cual se obtuvo un financiamiento por un monto de 1,500 millones de pesos con una sobre tasa de 0.87 por ciento, de los cuales 1,248 millones de pesos fueron destinados a Inversión Pública Productiva y el </w:t>
      </w:r>
      <w:r w:rsidRPr="0023410E">
        <w:rPr>
          <w:rFonts w:ascii="Arial" w:hAnsi="Arial" w:cs="Arial"/>
          <w:sz w:val="24"/>
          <w:szCs w:val="24"/>
        </w:rPr>
        <w:lastRenderedPageBreak/>
        <w:t>restante para refinanciamiento de créditos. Derivado de una respuesta positiva de las instituciones bancarias, se procedió a un segundo proceso a finales del mismo mes, obteniendo de este un financiamiento de 8,000 millones de pesos, con un promedio ponderado de sobretasa de 1.10 por ciento.</w:t>
      </w:r>
    </w:p>
    <w:p w:rsidR="000138B6" w:rsidRPr="0023410E" w:rsidRDefault="000138B6" w:rsidP="0023410E">
      <w:pPr>
        <w:spacing w:before="240" w:after="240" w:line="360" w:lineRule="auto"/>
        <w:ind w:firstLine="567"/>
        <w:jc w:val="both"/>
        <w:rPr>
          <w:rFonts w:ascii="Arial" w:hAnsi="Arial" w:cs="Arial"/>
          <w:sz w:val="24"/>
          <w:szCs w:val="24"/>
        </w:rPr>
      </w:pPr>
      <w:r w:rsidRPr="0023410E">
        <w:rPr>
          <w:rFonts w:ascii="Arial" w:hAnsi="Arial" w:cs="Arial"/>
          <w:sz w:val="24"/>
          <w:szCs w:val="24"/>
        </w:rPr>
        <w:t>En el último mes del año 2016 se realizó otro proceso por refinanciamiento por 3,000 millones de pesos, con un promedio ponderado de 1.31 por ciento en sobretasa.</w:t>
      </w:r>
    </w:p>
    <w:p w:rsidR="000138B6" w:rsidRPr="0023410E" w:rsidRDefault="000138B6" w:rsidP="000D4168">
      <w:pPr>
        <w:spacing w:before="240" w:after="240" w:line="360" w:lineRule="auto"/>
        <w:ind w:firstLine="567"/>
        <w:jc w:val="both"/>
        <w:rPr>
          <w:rFonts w:ascii="Arial" w:hAnsi="Arial" w:cs="Arial"/>
          <w:sz w:val="24"/>
          <w:szCs w:val="24"/>
        </w:rPr>
      </w:pPr>
      <w:r w:rsidRPr="0023410E">
        <w:rPr>
          <w:rFonts w:ascii="Arial" w:hAnsi="Arial" w:cs="Arial"/>
          <w:sz w:val="24"/>
          <w:szCs w:val="24"/>
        </w:rPr>
        <w:t>En marzo de 2017 se continuó con la reestructura obteniendo la cantidad de 16 mil 445 millones de pesos, con un promedio ponderado de 1.27 por ciento en sobretasa.</w:t>
      </w:r>
    </w:p>
    <w:p w:rsidR="000138B6" w:rsidRPr="000D4168" w:rsidRDefault="000138B6" w:rsidP="000D4168">
      <w:pPr>
        <w:spacing w:before="240" w:after="240" w:line="360" w:lineRule="auto"/>
        <w:ind w:firstLine="567"/>
        <w:jc w:val="both"/>
        <w:rPr>
          <w:rFonts w:ascii="Arial" w:hAnsi="Arial" w:cs="Arial"/>
          <w:sz w:val="24"/>
          <w:szCs w:val="24"/>
        </w:rPr>
      </w:pPr>
      <w:r w:rsidRPr="000D4168">
        <w:rPr>
          <w:rFonts w:ascii="Arial" w:hAnsi="Arial" w:cs="Arial"/>
          <w:sz w:val="24"/>
          <w:szCs w:val="24"/>
        </w:rPr>
        <w:t>En abril del 2017 tuvo lugar otra licitación, obteniendo un monto de 4 mil 179 millones de pesos con dos instituciones bancarias y un promedio ponderado de sobretasa de 1.03 por ciento, de los cuales 3,434 millones de pesos se destinaron a inversión pública productiva y el resto a refinanciamiento.</w:t>
      </w:r>
    </w:p>
    <w:p w:rsidR="000138B6" w:rsidRPr="000D4168" w:rsidRDefault="000138B6" w:rsidP="000D4168">
      <w:pPr>
        <w:spacing w:before="240" w:after="240" w:line="360" w:lineRule="auto"/>
        <w:ind w:firstLine="567"/>
        <w:jc w:val="both"/>
        <w:rPr>
          <w:rFonts w:ascii="Arial" w:hAnsi="Arial" w:cs="Arial"/>
          <w:sz w:val="24"/>
          <w:szCs w:val="24"/>
        </w:rPr>
      </w:pPr>
      <w:r w:rsidRPr="000D4168">
        <w:rPr>
          <w:rFonts w:ascii="Arial" w:hAnsi="Arial" w:cs="Arial"/>
          <w:sz w:val="24"/>
          <w:szCs w:val="24"/>
        </w:rPr>
        <w:t xml:space="preserve">Las primeras cinco etapas fueron dedicadas a refinanciar los pasivos con las instituciones bancarias, y la última convocatoria realizada en octubre para obtener financiamiento por la cantidad de 1,414 millones de pesos, por el equivalente al saldo insoluto de la emisión bursátil en la Bolsa Mexicana de Valores, a una sobretasa de 0.40 por ciento. </w:t>
      </w:r>
    </w:p>
    <w:p w:rsidR="000138B6" w:rsidRPr="000D4168" w:rsidRDefault="000138B6" w:rsidP="000D4168">
      <w:pPr>
        <w:spacing w:before="240" w:after="240" w:line="360" w:lineRule="auto"/>
        <w:ind w:firstLine="567"/>
        <w:jc w:val="both"/>
        <w:rPr>
          <w:rFonts w:ascii="Arial" w:hAnsi="Arial" w:cs="Arial"/>
          <w:sz w:val="24"/>
          <w:szCs w:val="24"/>
        </w:rPr>
      </w:pPr>
      <w:r w:rsidRPr="000D4168">
        <w:rPr>
          <w:rFonts w:ascii="Arial" w:hAnsi="Arial" w:cs="Arial"/>
          <w:sz w:val="24"/>
          <w:szCs w:val="24"/>
        </w:rPr>
        <w:t xml:space="preserve">Finalmente, la evolución de estos procesos motivó a que la Banca de Desarrollo ofreciera reestructuras directas de créditos por 3,843 millones de </w:t>
      </w:r>
      <w:r w:rsidRPr="000D4168">
        <w:rPr>
          <w:rFonts w:ascii="Arial" w:hAnsi="Arial" w:cs="Arial"/>
          <w:sz w:val="24"/>
          <w:szCs w:val="24"/>
        </w:rPr>
        <w:lastRenderedPageBreak/>
        <w:t>pesos y 1,000 millones de pesos, conforme a lo establecido en la Ley de Disciplina Financiera de las Entidades Federativas y los Municipios.</w:t>
      </w:r>
    </w:p>
    <w:p w:rsidR="000138B6" w:rsidRPr="000D4168" w:rsidRDefault="000138B6" w:rsidP="000D4168">
      <w:pPr>
        <w:spacing w:before="240" w:after="240" w:line="360" w:lineRule="auto"/>
        <w:ind w:firstLine="567"/>
        <w:jc w:val="both"/>
        <w:rPr>
          <w:rFonts w:ascii="Arial" w:hAnsi="Arial" w:cs="Arial"/>
          <w:sz w:val="24"/>
          <w:szCs w:val="24"/>
        </w:rPr>
      </w:pPr>
      <w:r w:rsidRPr="000D4168">
        <w:rPr>
          <w:rFonts w:ascii="Arial" w:hAnsi="Arial" w:cs="Arial"/>
          <w:sz w:val="24"/>
          <w:szCs w:val="24"/>
        </w:rPr>
        <w:t>En total se negociaron 34,698 millones de pesos para la reestructuración, bajo las mejores condiciones de mercado, disminuyendo los gastos del Estado para cubrir el servicio de deuda (intereses y amortizaciones) y liquidando los créditos con sobretasas más altas.</w:t>
      </w:r>
    </w:p>
    <w:p w:rsidR="000138B6" w:rsidRPr="000D4168" w:rsidRDefault="000138B6" w:rsidP="000D4168">
      <w:pPr>
        <w:spacing w:before="240" w:after="240" w:line="360" w:lineRule="auto"/>
        <w:ind w:firstLine="567"/>
        <w:jc w:val="both"/>
        <w:rPr>
          <w:rFonts w:ascii="Arial" w:hAnsi="Arial" w:cs="Arial"/>
          <w:sz w:val="24"/>
          <w:szCs w:val="24"/>
        </w:rPr>
      </w:pPr>
      <w:r w:rsidRPr="000D4168">
        <w:rPr>
          <w:rFonts w:ascii="Arial" w:hAnsi="Arial" w:cs="Arial"/>
          <w:sz w:val="24"/>
          <w:szCs w:val="24"/>
        </w:rPr>
        <w:t>Por otro lado, el monto de financiamiento requerido para el periodo 2018 estará en función directa del déficit proyectado entre ingreso y gasto incluyendo las amortizaciones de deuda directa programadas para el periodo; esta práctica sigue teniendo como principal objetivo el saneamiento de las finanzas públicas con la disminución del déficit en el largo plazo. Es por ello, que la presente Iniciativa de Ingresos de 2018 propone un monto de 2,550 millones de pesos, destinado principalmente a la Inversión Pública Productiva.</w:t>
      </w:r>
    </w:p>
    <w:p w:rsidR="000138B6" w:rsidRPr="000D4168" w:rsidRDefault="000138B6" w:rsidP="000D4168">
      <w:pPr>
        <w:spacing w:before="240" w:after="240" w:line="360" w:lineRule="auto"/>
        <w:ind w:firstLine="567"/>
        <w:jc w:val="both"/>
        <w:rPr>
          <w:rFonts w:ascii="Arial" w:hAnsi="Arial" w:cs="Arial"/>
          <w:sz w:val="24"/>
          <w:szCs w:val="24"/>
        </w:rPr>
      </w:pPr>
      <w:r w:rsidRPr="005B7F83">
        <w:rPr>
          <w:rFonts w:ascii="Arial" w:hAnsi="Arial" w:cs="Arial"/>
          <w:sz w:val="24"/>
          <w:szCs w:val="24"/>
        </w:rPr>
        <w:t xml:space="preserve">Considerando </w:t>
      </w:r>
      <w:r w:rsidR="006E3022" w:rsidRPr="005B7F83">
        <w:rPr>
          <w:rFonts w:ascii="Arial" w:hAnsi="Arial" w:cs="Arial"/>
          <w:sz w:val="24"/>
          <w:szCs w:val="24"/>
        </w:rPr>
        <w:t xml:space="preserve">otras medidas y tomando en cuenta </w:t>
      </w:r>
      <w:r w:rsidRPr="005B7F83">
        <w:rPr>
          <w:rFonts w:ascii="Arial" w:hAnsi="Arial" w:cs="Arial"/>
          <w:sz w:val="24"/>
          <w:szCs w:val="24"/>
        </w:rPr>
        <w:t>factores</w:t>
      </w:r>
      <w:r w:rsidRPr="000D4168">
        <w:rPr>
          <w:rFonts w:ascii="Arial" w:hAnsi="Arial" w:cs="Arial"/>
          <w:sz w:val="24"/>
          <w:szCs w:val="24"/>
        </w:rPr>
        <w:t xml:space="preserve"> como la eliminación del Impuesto Sobre Tenencia o Uso de Vehículos, se plantea un esfuerzo adicional en medidas administrativas, a fin de incrementar los ingresos propios a  través de una mayor eficiencia recaudatoria con acciones como:</w:t>
      </w:r>
    </w:p>
    <w:p w:rsidR="000138B6" w:rsidRPr="000D4168" w:rsidRDefault="000138B6" w:rsidP="000138B6">
      <w:pPr>
        <w:spacing w:before="240" w:after="240"/>
        <w:jc w:val="both"/>
        <w:rPr>
          <w:rFonts w:ascii="Arial" w:hAnsi="Arial" w:cs="Arial"/>
          <w:sz w:val="24"/>
          <w:szCs w:val="24"/>
        </w:rPr>
      </w:pPr>
      <w:r w:rsidRPr="000D4168">
        <w:rPr>
          <w:rFonts w:ascii="Arial" w:hAnsi="Arial" w:cs="Arial"/>
          <w:sz w:val="24"/>
          <w:szCs w:val="24"/>
        </w:rPr>
        <w:t>I. Incrementar la vigilancia de obligaciones;</w:t>
      </w:r>
    </w:p>
    <w:p w:rsidR="000138B6" w:rsidRPr="000D4168" w:rsidRDefault="000138B6" w:rsidP="000D4168">
      <w:pPr>
        <w:spacing w:before="240" w:after="240" w:line="360" w:lineRule="auto"/>
        <w:jc w:val="both"/>
        <w:rPr>
          <w:rFonts w:ascii="Arial" w:hAnsi="Arial" w:cs="Arial"/>
          <w:sz w:val="24"/>
          <w:szCs w:val="24"/>
        </w:rPr>
      </w:pPr>
      <w:r w:rsidRPr="000D4168">
        <w:rPr>
          <w:rFonts w:ascii="Arial" w:hAnsi="Arial" w:cs="Arial"/>
          <w:sz w:val="24"/>
          <w:szCs w:val="24"/>
        </w:rPr>
        <w:t>II. Continuar y reforzar las acciones de Fiscalización sobre contribuciones estatales y federales coordinadas;</w:t>
      </w:r>
    </w:p>
    <w:p w:rsidR="000138B6" w:rsidRPr="000D4168" w:rsidRDefault="000138B6" w:rsidP="000D4168">
      <w:pPr>
        <w:spacing w:before="240" w:after="240" w:line="360" w:lineRule="auto"/>
        <w:jc w:val="both"/>
        <w:rPr>
          <w:rFonts w:ascii="Arial" w:hAnsi="Arial" w:cs="Arial"/>
          <w:sz w:val="24"/>
          <w:szCs w:val="24"/>
        </w:rPr>
      </w:pPr>
      <w:r w:rsidRPr="000D4168">
        <w:rPr>
          <w:rFonts w:ascii="Arial" w:hAnsi="Arial" w:cs="Arial"/>
          <w:sz w:val="24"/>
          <w:szCs w:val="24"/>
        </w:rPr>
        <w:lastRenderedPageBreak/>
        <w:t>III. Incrementar los programas que incentiven el cumplimiento voluntario del pago de contribuciones estatales.</w:t>
      </w:r>
    </w:p>
    <w:p w:rsidR="000138B6" w:rsidRPr="000D4168" w:rsidRDefault="000138B6" w:rsidP="006E3022">
      <w:pPr>
        <w:spacing w:before="240" w:after="240" w:line="360" w:lineRule="auto"/>
        <w:ind w:firstLine="567"/>
        <w:jc w:val="both"/>
        <w:rPr>
          <w:rFonts w:ascii="Arial" w:hAnsi="Arial" w:cs="Arial"/>
          <w:sz w:val="24"/>
          <w:szCs w:val="24"/>
        </w:rPr>
      </w:pPr>
      <w:r w:rsidRPr="005B7F83">
        <w:rPr>
          <w:rFonts w:ascii="Arial" w:hAnsi="Arial" w:cs="Arial"/>
          <w:sz w:val="24"/>
          <w:szCs w:val="24"/>
        </w:rPr>
        <w:t xml:space="preserve">Como parte de las medidas orientadas a fortalecer la recaudación, </w:t>
      </w:r>
      <w:r w:rsidR="006E3022" w:rsidRPr="005B7F83">
        <w:rPr>
          <w:rFonts w:ascii="Arial" w:hAnsi="Arial" w:cs="Arial"/>
          <w:sz w:val="24"/>
          <w:szCs w:val="24"/>
        </w:rPr>
        <w:t>el Ejecutivo</w:t>
      </w:r>
      <w:r w:rsidRPr="000D4168">
        <w:rPr>
          <w:rFonts w:ascii="Arial" w:hAnsi="Arial" w:cs="Arial"/>
          <w:sz w:val="24"/>
          <w:szCs w:val="24"/>
        </w:rPr>
        <w:t xml:space="preserve"> plantea incluir reformas a la Ley de Haci</w:t>
      </w:r>
      <w:r w:rsidR="006E3022">
        <w:rPr>
          <w:rFonts w:ascii="Arial" w:hAnsi="Arial" w:cs="Arial"/>
          <w:sz w:val="24"/>
          <w:szCs w:val="24"/>
        </w:rPr>
        <w:t>enda del Estado en materia del Impuesto Sobre N</w:t>
      </w:r>
      <w:r w:rsidRPr="000D4168">
        <w:rPr>
          <w:rFonts w:ascii="Arial" w:hAnsi="Arial" w:cs="Arial"/>
          <w:sz w:val="24"/>
          <w:szCs w:val="24"/>
        </w:rPr>
        <w:t xml:space="preserve">óminas con la finalidad de que permitan la aplicación del impuesto a todos los contribuyentes incluyendo a aquéllos que tributan de manera diferente derivado de resoluciones judiciales. </w:t>
      </w:r>
    </w:p>
    <w:p w:rsidR="000138B6" w:rsidRPr="000D4168" w:rsidRDefault="000138B6" w:rsidP="006E3022">
      <w:pPr>
        <w:spacing w:before="240" w:after="240" w:line="360" w:lineRule="auto"/>
        <w:ind w:firstLine="567"/>
        <w:jc w:val="both"/>
        <w:rPr>
          <w:rFonts w:ascii="Arial" w:hAnsi="Arial" w:cs="Arial"/>
          <w:sz w:val="24"/>
          <w:szCs w:val="24"/>
        </w:rPr>
      </w:pPr>
      <w:r w:rsidRPr="00B006EE">
        <w:rPr>
          <w:rFonts w:ascii="Arial" w:hAnsi="Arial" w:cs="Arial"/>
          <w:sz w:val="24"/>
          <w:szCs w:val="24"/>
        </w:rPr>
        <w:t xml:space="preserve">En materia de fiscalización de impuestos federales y estatales, </w:t>
      </w:r>
      <w:r w:rsidR="006E3022" w:rsidRPr="00B006EE">
        <w:rPr>
          <w:rFonts w:ascii="Arial" w:hAnsi="Arial" w:cs="Arial"/>
          <w:sz w:val="24"/>
          <w:szCs w:val="24"/>
        </w:rPr>
        <w:t xml:space="preserve">proponen </w:t>
      </w:r>
      <w:r w:rsidRPr="00B006EE">
        <w:rPr>
          <w:rFonts w:ascii="Arial" w:hAnsi="Arial" w:cs="Arial"/>
          <w:sz w:val="24"/>
          <w:szCs w:val="24"/>
        </w:rPr>
        <w:t>re-orientar las acciones de presencia fiscal para identificar conductas o prácticas</w:t>
      </w:r>
      <w:r w:rsidRPr="000D4168">
        <w:rPr>
          <w:rFonts w:ascii="Arial" w:hAnsi="Arial" w:cs="Arial"/>
          <w:sz w:val="24"/>
          <w:szCs w:val="24"/>
        </w:rPr>
        <w:t xml:space="preserve"> evasoras y omisas de obligaciones fiscales, a través del uso de herramientas tecnológicas y aprovechamiento de plataformas digitales disponibles, que permitirán una mayor eficiencia en esta labor. </w:t>
      </w:r>
    </w:p>
    <w:p w:rsidR="000138B6" w:rsidRPr="000D4168" w:rsidRDefault="000138B6" w:rsidP="006E3022">
      <w:pPr>
        <w:spacing w:before="240" w:after="240" w:line="360" w:lineRule="auto"/>
        <w:ind w:firstLine="567"/>
        <w:jc w:val="both"/>
        <w:rPr>
          <w:rFonts w:ascii="Arial" w:hAnsi="Arial" w:cs="Arial"/>
          <w:sz w:val="24"/>
          <w:szCs w:val="24"/>
        </w:rPr>
      </w:pPr>
      <w:r w:rsidRPr="000D4168">
        <w:rPr>
          <w:rFonts w:ascii="Arial" w:hAnsi="Arial" w:cs="Arial"/>
          <w:sz w:val="24"/>
          <w:szCs w:val="24"/>
        </w:rPr>
        <w:t xml:space="preserve">Por otra parte, se fortalecerá el combate a la economía informal, el contrabando, la evasión fiscal y la introducción ilegal de mercancías y vehículos, potenciando las actividades que promuevan la fiscalización de mercancías </w:t>
      </w:r>
      <w:r w:rsidRPr="00B006EE">
        <w:rPr>
          <w:rFonts w:ascii="Arial" w:hAnsi="Arial" w:cs="Arial"/>
          <w:sz w:val="24"/>
          <w:szCs w:val="24"/>
        </w:rPr>
        <w:t xml:space="preserve">provenientes del exterior, incluyendo vehículos; para ello </w:t>
      </w:r>
      <w:r w:rsidR="006E3022" w:rsidRPr="00B006EE">
        <w:rPr>
          <w:rFonts w:ascii="Arial" w:hAnsi="Arial" w:cs="Arial"/>
          <w:sz w:val="24"/>
          <w:szCs w:val="24"/>
        </w:rPr>
        <w:t>pretenden</w:t>
      </w:r>
      <w:r w:rsidRPr="00B006EE">
        <w:rPr>
          <w:rFonts w:ascii="Arial" w:hAnsi="Arial" w:cs="Arial"/>
          <w:sz w:val="24"/>
          <w:szCs w:val="24"/>
        </w:rPr>
        <w:t xml:space="preserve"> ejercer</w:t>
      </w:r>
      <w:r w:rsidRPr="000D4168">
        <w:rPr>
          <w:rFonts w:ascii="Arial" w:hAnsi="Arial" w:cs="Arial"/>
          <w:sz w:val="24"/>
          <w:szCs w:val="24"/>
        </w:rPr>
        <w:t xml:space="preserve"> facultades relacionadas con la práctica de embargos precautorios, realización total del procedimiento administrativo en materia aduanera, formulación de declaraciones de abandono de mercancía, entre otras.</w:t>
      </w:r>
    </w:p>
    <w:p w:rsidR="000138B6" w:rsidRPr="000D4168" w:rsidRDefault="006E3022" w:rsidP="006E3022">
      <w:pPr>
        <w:spacing w:before="240" w:after="240" w:line="360" w:lineRule="auto"/>
        <w:ind w:firstLine="567"/>
        <w:jc w:val="both"/>
        <w:rPr>
          <w:rFonts w:ascii="Arial" w:hAnsi="Arial" w:cs="Arial"/>
          <w:sz w:val="24"/>
          <w:szCs w:val="24"/>
        </w:rPr>
      </w:pPr>
      <w:r w:rsidRPr="00B006EE">
        <w:rPr>
          <w:rFonts w:ascii="Arial" w:hAnsi="Arial" w:cs="Arial"/>
          <w:sz w:val="24"/>
          <w:szCs w:val="24"/>
        </w:rPr>
        <w:t>C</w:t>
      </w:r>
      <w:r w:rsidR="000138B6" w:rsidRPr="00B006EE">
        <w:rPr>
          <w:rFonts w:ascii="Arial" w:hAnsi="Arial" w:cs="Arial"/>
          <w:sz w:val="24"/>
          <w:szCs w:val="24"/>
        </w:rPr>
        <w:t>on tales acciones</w:t>
      </w:r>
      <w:r w:rsidRPr="00B006EE">
        <w:rPr>
          <w:rFonts w:ascii="Arial" w:hAnsi="Arial" w:cs="Arial"/>
          <w:sz w:val="24"/>
          <w:szCs w:val="24"/>
        </w:rPr>
        <w:t>, se espera que</w:t>
      </w:r>
      <w:r w:rsidR="000138B6" w:rsidRPr="00B006EE">
        <w:rPr>
          <w:rFonts w:ascii="Arial" w:hAnsi="Arial" w:cs="Arial"/>
          <w:sz w:val="24"/>
          <w:szCs w:val="24"/>
        </w:rPr>
        <w:t xml:space="preserve"> el Gobierno del Estado tenga además</w:t>
      </w:r>
      <w:r w:rsidR="000138B6" w:rsidRPr="000D4168">
        <w:rPr>
          <w:rFonts w:ascii="Arial" w:hAnsi="Arial" w:cs="Arial"/>
          <w:sz w:val="24"/>
          <w:szCs w:val="24"/>
        </w:rPr>
        <w:t xml:space="preserve"> una mayor participación en el Fondo de Fiscalización y Recaudación (FOFIR).</w:t>
      </w:r>
    </w:p>
    <w:p w:rsidR="000138B6" w:rsidRPr="000138B6" w:rsidRDefault="000138B6" w:rsidP="000138B6">
      <w:pPr>
        <w:spacing w:before="240" w:after="240" w:line="360" w:lineRule="auto"/>
        <w:ind w:firstLine="567"/>
        <w:jc w:val="both"/>
        <w:rPr>
          <w:rFonts w:ascii="Arial" w:hAnsi="Arial" w:cs="Arial"/>
          <w:sz w:val="24"/>
          <w:szCs w:val="24"/>
        </w:rPr>
      </w:pPr>
    </w:p>
    <w:p w:rsidR="000F389A" w:rsidRPr="00A80737" w:rsidRDefault="00947F87" w:rsidP="000138B6">
      <w:pPr>
        <w:spacing w:before="38" w:after="0" w:line="360" w:lineRule="auto"/>
        <w:ind w:right="-1" w:firstLine="567"/>
        <w:jc w:val="both"/>
        <w:rPr>
          <w:rFonts w:ascii="Arial" w:hAnsi="Arial" w:cs="Arial"/>
          <w:sz w:val="24"/>
          <w:szCs w:val="24"/>
        </w:rPr>
      </w:pPr>
      <w:r w:rsidRPr="00A80737">
        <w:rPr>
          <w:rFonts w:ascii="Arial" w:hAnsi="Arial" w:cs="Arial"/>
          <w:sz w:val="24"/>
          <w:szCs w:val="24"/>
        </w:rPr>
        <w:t xml:space="preserve">Analizadas </w:t>
      </w:r>
      <w:r w:rsidR="001C1F91" w:rsidRPr="00A80737">
        <w:rPr>
          <w:rFonts w:ascii="Arial" w:hAnsi="Arial" w:cs="Arial"/>
          <w:sz w:val="24"/>
          <w:szCs w:val="24"/>
        </w:rPr>
        <w:t xml:space="preserve">que han sido las razones de los promoventes y con el fin de ver </w:t>
      </w:r>
      <w:r w:rsidR="003306DE" w:rsidRPr="00A80737">
        <w:rPr>
          <w:rFonts w:ascii="Arial" w:hAnsi="Arial" w:cs="Arial"/>
          <w:sz w:val="24"/>
          <w:szCs w:val="24"/>
        </w:rPr>
        <w:t>proveído</w:t>
      </w:r>
      <w:r w:rsidR="001C1F91" w:rsidRPr="00A80737">
        <w:rPr>
          <w:rFonts w:ascii="Arial" w:hAnsi="Arial" w:cs="Arial"/>
          <w:sz w:val="24"/>
          <w:szCs w:val="24"/>
        </w:rPr>
        <w:t xml:space="preserve"> el requisito fundamenta</w:t>
      </w:r>
      <w:r w:rsidR="003306DE" w:rsidRPr="00A80737">
        <w:rPr>
          <w:rFonts w:ascii="Arial" w:hAnsi="Arial" w:cs="Arial"/>
          <w:sz w:val="24"/>
          <w:szCs w:val="24"/>
        </w:rPr>
        <w:t>l de dar vista al contenido de la</w:t>
      </w:r>
      <w:r w:rsidR="001C1F91" w:rsidRPr="00A80737">
        <w:rPr>
          <w:rFonts w:ascii="Arial" w:hAnsi="Arial" w:cs="Arial"/>
          <w:sz w:val="24"/>
          <w:szCs w:val="24"/>
        </w:rPr>
        <w:t xml:space="preserve"> solicitud descrita y </w:t>
      </w:r>
      <w:r w:rsidRPr="00A80737">
        <w:rPr>
          <w:rFonts w:ascii="Arial" w:hAnsi="Arial" w:cs="Arial"/>
          <w:sz w:val="24"/>
          <w:szCs w:val="24"/>
        </w:rPr>
        <w:t>según</w:t>
      </w:r>
      <w:r w:rsidR="001C1F91" w:rsidRPr="00A80737">
        <w:rPr>
          <w:rFonts w:ascii="Arial" w:hAnsi="Arial" w:cs="Arial"/>
          <w:sz w:val="24"/>
          <w:szCs w:val="24"/>
        </w:rPr>
        <w:t xml:space="preserve"> lo establecido en el </w:t>
      </w:r>
      <w:r w:rsidR="003306DE" w:rsidRPr="00A80737">
        <w:rPr>
          <w:rFonts w:ascii="Arial" w:hAnsi="Arial" w:cs="Arial"/>
          <w:sz w:val="24"/>
          <w:szCs w:val="24"/>
        </w:rPr>
        <w:t>artículo</w:t>
      </w:r>
      <w:r w:rsidR="001C1F91" w:rsidRPr="00A80737">
        <w:rPr>
          <w:rFonts w:ascii="Arial" w:hAnsi="Arial" w:cs="Arial"/>
          <w:sz w:val="24"/>
          <w:szCs w:val="24"/>
        </w:rPr>
        <w:t xml:space="preserve"> 47 inciso b) del Reglamento para el Gobierno Interior del Congreso del Estado, quienes integramos esta Comisi</w:t>
      </w:r>
      <w:r w:rsidRPr="00A80737">
        <w:rPr>
          <w:rFonts w:ascii="Arial" w:hAnsi="Arial" w:cs="Arial"/>
          <w:sz w:val="24"/>
          <w:szCs w:val="24"/>
        </w:rPr>
        <w:t>ó</w:t>
      </w:r>
      <w:r w:rsidR="001C1F91" w:rsidRPr="00A80737">
        <w:rPr>
          <w:rFonts w:ascii="Arial" w:hAnsi="Arial" w:cs="Arial"/>
          <w:sz w:val="24"/>
          <w:szCs w:val="24"/>
        </w:rPr>
        <w:t>n de Dictamen Legislativo que sustenta el presente documento, consignamos ante este Pleno los siguientes:</w:t>
      </w:r>
    </w:p>
    <w:p w:rsidR="000F389A" w:rsidRPr="00A80737" w:rsidRDefault="000F389A" w:rsidP="00B006EE">
      <w:pPr>
        <w:spacing w:after="0" w:line="360" w:lineRule="auto"/>
        <w:ind w:right="-1"/>
        <w:jc w:val="both"/>
        <w:rPr>
          <w:rFonts w:ascii="Arial" w:hAnsi="Arial" w:cs="Arial"/>
          <w:sz w:val="24"/>
          <w:szCs w:val="24"/>
        </w:rPr>
      </w:pPr>
    </w:p>
    <w:p w:rsidR="00DD49B1" w:rsidRPr="0036216C" w:rsidRDefault="00DD49B1" w:rsidP="00DD49B1">
      <w:pPr>
        <w:spacing w:before="120" w:after="120" w:line="360" w:lineRule="auto"/>
        <w:ind w:left="284"/>
        <w:contextualSpacing/>
        <w:jc w:val="both"/>
        <w:rPr>
          <w:rFonts w:ascii="Arial" w:hAnsi="Arial" w:cs="Arial"/>
          <w:b/>
          <w:sz w:val="24"/>
          <w:szCs w:val="24"/>
        </w:rPr>
      </w:pPr>
      <w:r w:rsidRPr="0036216C">
        <w:rPr>
          <w:rFonts w:ascii="Arial" w:hAnsi="Arial" w:cs="Arial"/>
          <w:b/>
          <w:sz w:val="24"/>
          <w:szCs w:val="24"/>
        </w:rPr>
        <w:t>CONSIDERACIONES</w:t>
      </w:r>
    </w:p>
    <w:p w:rsidR="00DD49B1" w:rsidRPr="00B006EE" w:rsidRDefault="00DD49B1" w:rsidP="00B006EE">
      <w:pPr>
        <w:spacing w:before="120" w:after="120" w:line="360" w:lineRule="auto"/>
        <w:contextualSpacing/>
        <w:jc w:val="both"/>
        <w:rPr>
          <w:rFonts w:ascii="Arial" w:hAnsi="Arial" w:cs="Arial"/>
          <w:sz w:val="24"/>
          <w:szCs w:val="24"/>
        </w:rPr>
      </w:pPr>
    </w:p>
    <w:p w:rsidR="00DD49B1" w:rsidRPr="0036216C" w:rsidRDefault="00DD49B1" w:rsidP="00B006EE">
      <w:pPr>
        <w:spacing w:before="38" w:after="0" w:line="360" w:lineRule="auto"/>
        <w:ind w:right="-1" w:firstLine="567"/>
        <w:jc w:val="both"/>
        <w:rPr>
          <w:rFonts w:ascii="Arial" w:hAnsi="Arial" w:cs="Arial"/>
          <w:sz w:val="24"/>
          <w:szCs w:val="24"/>
        </w:rPr>
      </w:pPr>
      <w:r w:rsidRPr="0036216C">
        <w:rPr>
          <w:rFonts w:ascii="Arial" w:hAnsi="Arial" w:cs="Arial"/>
          <w:sz w:val="24"/>
          <w:szCs w:val="24"/>
        </w:rPr>
        <w:t xml:space="preserve">Esta Comisión de Presupuesto, es competente para conocer de los presentes asuntos en virtud de lo establecido en los artículos 66 inciso a), 70 fracción XXIII de la Ley Orgánica del Poder Legislativo del Estado de Nuevo León y con las facultades que le son conferidas por el Reglamento para el Gobierno Interior del Congreso del Estado en su artículo 39, fracción XXIII, inciso </w:t>
      </w:r>
      <w:r w:rsidRPr="00206EA7">
        <w:rPr>
          <w:rFonts w:ascii="Arial" w:hAnsi="Arial" w:cs="Arial"/>
          <w:b/>
          <w:sz w:val="24"/>
          <w:szCs w:val="24"/>
        </w:rPr>
        <w:t>a).</w:t>
      </w:r>
    </w:p>
    <w:p w:rsidR="00206EA7" w:rsidRDefault="00206EA7" w:rsidP="00DD49B1">
      <w:pPr>
        <w:spacing w:before="120" w:after="120" w:line="360" w:lineRule="auto"/>
        <w:ind w:left="284"/>
        <w:contextualSpacing/>
        <w:jc w:val="both"/>
        <w:rPr>
          <w:rFonts w:ascii="Arial" w:hAnsi="Arial" w:cs="Arial"/>
          <w:sz w:val="24"/>
          <w:szCs w:val="24"/>
        </w:rPr>
      </w:pPr>
    </w:p>
    <w:p w:rsidR="00DD49B1" w:rsidRDefault="00206EA7" w:rsidP="00B006EE">
      <w:pPr>
        <w:spacing w:before="38" w:after="0" w:line="360" w:lineRule="auto"/>
        <w:ind w:right="-1" w:firstLine="567"/>
        <w:jc w:val="both"/>
        <w:rPr>
          <w:rFonts w:ascii="Arial" w:hAnsi="Arial" w:cs="Arial"/>
          <w:sz w:val="24"/>
          <w:szCs w:val="24"/>
        </w:rPr>
      </w:pPr>
      <w:r>
        <w:rPr>
          <w:rFonts w:ascii="Arial" w:hAnsi="Arial" w:cs="Arial"/>
          <w:sz w:val="24"/>
          <w:szCs w:val="24"/>
        </w:rPr>
        <w:t xml:space="preserve">La </w:t>
      </w:r>
      <w:r w:rsidR="00DD49B1" w:rsidRPr="0036216C">
        <w:rPr>
          <w:rFonts w:ascii="Arial" w:hAnsi="Arial" w:cs="Arial"/>
          <w:sz w:val="24"/>
          <w:szCs w:val="24"/>
        </w:rPr>
        <w:t xml:space="preserve">Constitución Política del Estado Libre y Soberano de Nuevo León, toda vez que en su artículo 63, fracción VII, establece la facultad de este Poder Legislativo para la examinación y aprobación respectiva de la Ley de Ingresos del Estado: </w:t>
      </w:r>
    </w:p>
    <w:p w:rsidR="00E516DF" w:rsidRDefault="00E516DF" w:rsidP="00B006EE">
      <w:pPr>
        <w:spacing w:before="38" w:after="0" w:line="360" w:lineRule="auto"/>
        <w:ind w:right="-1" w:firstLine="567"/>
        <w:jc w:val="both"/>
        <w:rPr>
          <w:rFonts w:ascii="Arial" w:hAnsi="Arial" w:cs="Arial"/>
          <w:sz w:val="24"/>
          <w:szCs w:val="24"/>
        </w:rPr>
      </w:pPr>
    </w:p>
    <w:p w:rsidR="00E516DF" w:rsidRPr="0036216C" w:rsidRDefault="00E516DF" w:rsidP="00B006EE">
      <w:pPr>
        <w:spacing w:before="38" w:after="0" w:line="360" w:lineRule="auto"/>
        <w:ind w:right="-1" w:firstLine="567"/>
        <w:jc w:val="both"/>
        <w:rPr>
          <w:rFonts w:ascii="Arial" w:hAnsi="Arial" w:cs="Arial"/>
          <w:sz w:val="24"/>
          <w:szCs w:val="24"/>
        </w:rPr>
      </w:pPr>
    </w:p>
    <w:p w:rsidR="00DD49B1" w:rsidRPr="0036216C" w:rsidRDefault="00DD49B1" w:rsidP="00DD49B1">
      <w:pPr>
        <w:spacing w:before="120" w:after="120" w:line="360" w:lineRule="auto"/>
        <w:ind w:left="284"/>
        <w:contextualSpacing/>
        <w:jc w:val="both"/>
        <w:rPr>
          <w:rFonts w:ascii="Arial" w:hAnsi="Arial" w:cs="Arial"/>
          <w:sz w:val="24"/>
          <w:szCs w:val="24"/>
        </w:rPr>
      </w:pPr>
    </w:p>
    <w:p w:rsidR="00DD49B1" w:rsidRPr="0054628F" w:rsidRDefault="00DD49B1" w:rsidP="00DD49B1">
      <w:pPr>
        <w:spacing w:before="120" w:after="120" w:line="360" w:lineRule="auto"/>
        <w:ind w:left="284"/>
        <w:contextualSpacing/>
        <w:jc w:val="both"/>
        <w:rPr>
          <w:rFonts w:ascii="Arial" w:hAnsi="Arial" w:cs="Arial"/>
          <w:b/>
          <w:sz w:val="24"/>
          <w:szCs w:val="24"/>
        </w:rPr>
      </w:pPr>
      <w:r w:rsidRPr="0054628F">
        <w:rPr>
          <w:rFonts w:ascii="Arial" w:hAnsi="Arial" w:cs="Arial"/>
          <w:b/>
          <w:sz w:val="24"/>
          <w:szCs w:val="24"/>
        </w:rPr>
        <w:lastRenderedPageBreak/>
        <w:t>La Constitución Política del Estado Libre y Soberano de Nuevo León</w:t>
      </w:r>
    </w:p>
    <w:p w:rsidR="00DD49B1" w:rsidRPr="0036216C" w:rsidRDefault="00DD49B1" w:rsidP="00DD49B1">
      <w:pPr>
        <w:spacing w:before="120" w:after="120" w:line="360" w:lineRule="auto"/>
        <w:ind w:left="284" w:right="-232"/>
        <w:contextualSpacing/>
        <w:jc w:val="both"/>
        <w:rPr>
          <w:rFonts w:ascii="Arial" w:hAnsi="Arial" w:cs="Arial"/>
          <w:bCs/>
          <w:i/>
          <w:color w:val="000000"/>
          <w:sz w:val="24"/>
          <w:szCs w:val="24"/>
        </w:rPr>
      </w:pPr>
    </w:p>
    <w:p w:rsidR="00DD49B1" w:rsidRPr="0036216C" w:rsidRDefault="00206EA7" w:rsidP="00DD49B1">
      <w:pPr>
        <w:spacing w:before="120" w:after="120" w:line="360" w:lineRule="auto"/>
        <w:ind w:left="1418" w:right="851"/>
        <w:contextualSpacing/>
        <w:jc w:val="both"/>
        <w:rPr>
          <w:rFonts w:ascii="Arial" w:hAnsi="Arial" w:cs="Arial"/>
          <w:bCs/>
          <w:i/>
          <w:color w:val="000000"/>
          <w:sz w:val="24"/>
          <w:szCs w:val="24"/>
        </w:rPr>
      </w:pPr>
      <w:r>
        <w:rPr>
          <w:rFonts w:ascii="Arial" w:hAnsi="Arial" w:cs="Arial"/>
          <w:bCs/>
          <w:i/>
          <w:color w:val="000000"/>
          <w:sz w:val="24"/>
          <w:szCs w:val="24"/>
        </w:rPr>
        <w:t>“</w:t>
      </w:r>
      <w:r w:rsidR="00DD49B1" w:rsidRPr="0036216C">
        <w:rPr>
          <w:rFonts w:ascii="Arial" w:hAnsi="Arial" w:cs="Arial"/>
          <w:bCs/>
          <w:i/>
          <w:color w:val="000000"/>
          <w:sz w:val="24"/>
          <w:szCs w:val="24"/>
        </w:rPr>
        <w:t>ARTÍCULO 63.- Corresponde al Congreso:</w:t>
      </w:r>
    </w:p>
    <w:p w:rsidR="00DD49B1" w:rsidRPr="0036216C" w:rsidRDefault="00DD49B1" w:rsidP="00DD49B1">
      <w:pPr>
        <w:spacing w:before="120" w:after="120" w:line="360" w:lineRule="auto"/>
        <w:ind w:left="1418" w:right="851"/>
        <w:contextualSpacing/>
        <w:jc w:val="both"/>
        <w:rPr>
          <w:rFonts w:ascii="Arial" w:hAnsi="Arial" w:cs="Arial"/>
          <w:i/>
          <w:sz w:val="24"/>
          <w:szCs w:val="24"/>
        </w:rPr>
      </w:pPr>
    </w:p>
    <w:p w:rsidR="00DD49B1" w:rsidRPr="0036216C" w:rsidRDefault="00DD49B1" w:rsidP="00DD49B1">
      <w:pPr>
        <w:spacing w:before="120" w:after="120" w:line="360" w:lineRule="auto"/>
        <w:ind w:left="1418" w:right="851"/>
        <w:contextualSpacing/>
        <w:jc w:val="both"/>
        <w:rPr>
          <w:rFonts w:ascii="Arial" w:hAnsi="Arial" w:cs="Arial"/>
          <w:bCs/>
          <w:i/>
          <w:color w:val="000000"/>
          <w:sz w:val="24"/>
          <w:szCs w:val="24"/>
        </w:rPr>
      </w:pPr>
      <w:r w:rsidRPr="0036216C">
        <w:rPr>
          <w:rFonts w:ascii="Arial" w:hAnsi="Arial" w:cs="Arial"/>
          <w:bCs/>
          <w:i/>
          <w:color w:val="000000"/>
          <w:sz w:val="24"/>
          <w:szCs w:val="24"/>
        </w:rPr>
        <w:t xml:space="preserve">VII. </w:t>
      </w:r>
      <w:r w:rsidRPr="00206EA7">
        <w:rPr>
          <w:rFonts w:ascii="Arial" w:hAnsi="Arial" w:cs="Arial"/>
          <w:bCs/>
          <w:i/>
          <w:color w:val="000000"/>
          <w:sz w:val="24"/>
          <w:szCs w:val="24"/>
          <w:u w:val="single"/>
        </w:rPr>
        <w:t>Examinar y aprobar anualmente</w:t>
      </w:r>
      <w:r w:rsidRPr="0036216C">
        <w:rPr>
          <w:rFonts w:ascii="Arial" w:hAnsi="Arial" w:cs="Arial"/>
          <w:bCs/>
          <w:i/>
          <w:color w:val="000000"/>
          <w:sz w:val="24"/>
          <w:szCs w:val="24"/>
        </w:rPr>
        <w:t xml:space="preserve">, a propuesta del Gobernador, la </w:t>
      </w:r>
      <w:r w:rsidRPr="00206EA7">
        <w:rPr>
          <w:rFonts w:ascii="Arial" w:hAnsi="Arial" w:cs="Arial"/>
          <w:bCs/>
          <w:i/>
          <w:color w:val="000000"/>
          <w:sz w:val="24"/>
          <w:szCs w:val="24"/>
          <w:u w:val="single"/>
        </w:rPr>
        <w:t>Ley de Ingresos del Estado</w:t>
      </w:r>
      <w:r w:rsidRPr="0036216C">
        <w:rPr>
          <w:rFonts w:ascii="Arial" w:hAnsi="Arial" w:cs="Arial"/>
          <w:bCs/>
          <w:i/>
          <w:color w:val="000000"/>
          <w:sz w:val="24"/>
          <w:szCs w:val="24"/>
        </w:rPr>
        <w:t xml:space="preserve"> y los proyectos y arbitrios de pública utilidad. Una vez analizado y discutido el proyecto de Ley de Ingresos de Estado que corresponda, el Congreso podrá modificarlo, motivando y justificando los cambios realizados.</w:t>
      </w:r>
    </w:p>
    <w:p w:rsidR="00DD49B1" w:rsidRPr="0036216C" w:rsidRDefault="00DD49B1" w:rsidP="00DD49B1">
      <w:pPr>
        <w:spacing w:before="120" w:after="120" w:line="360" w:lineRule="auto"/>
        <w:ind w:left="1418" w:right="851"/>
        <w:contextualSpacing/>
        <w:jc w:val="both"/>
        <w:rPr>
          <w:rFonts w:ascii="Arial" w:hAnsi="Arial" w:cs="Arial"/>
          <w:bCs/>
          <w:i/>
          <w:color w:val="000000"/>
          <w:sz w:val="24"/>
          <w:szCs w:val="24"/>
        </w:rPr>
      </w:pPr>
    </w:p>
    <w:p w:rsidR="00DD49B1" w:rsidRPr="0036216C" w:rsidRDefault="00DD49B1" w:rsidP="00DD49B1">
      <w:pPr>
        <w:spacing w:before="120" w:after="120" w:line="360" w:lineRule="auto"/>
        <w:ind w:left="1418" w:right="851"/>
        <w:contextualSpacing/>
        <w:jc w:val="both"/>
        <w:rPr>
          <w:rFonts w:ascii="Arial" w:hAnsi="Arial" w:cs="Arial"/>
          <w:bCs/>
          <w:i/>
          <w:color w:val="000000"/>
          <w:sz w:val="24"/>
          <w:szCs w:val="24"/>
        </w:rPr>
      </w:pPr>
      <w:r w:rsidRPr="0036216C">
        <w:rPr>
          <w:rFonts w:ascii="Arial" w:hAnsi="Arial" w:cs="Arial"/>
          <w:bCs/>
          <w:i/>
          <w:color w:val="000000"/>
          <w:sz w:val="24"/>
          <w:szCs w:val="24"/>
        </w:rPr>
        <w:t>Si terminado un año, por cualquier circunstancia no se hubiere aprobado la Ley de Ingresos que deba aplicarse al siguiente ejercicio, mientras no haya aprobación expresa en diverso sentido seguirá vigente la misma del ejercicio que termina.</w:t>
      </w:r>
      <w:r w:rsidR="00206EA7">
        <w:rPr>
          <w:rFonts w:ascii="Arial" w:hAnsi="Arial" w:cs="Arial"/>
          <w:bCs/>
          <w:i/>
          <w:color w:val="000000"/>
          <w:sz w:val="24"/>
          <w:szCs w:val="24"/>
        </w:rPr>
        <w:t>”</w:t>
      </w:r>
    </w:p>
    <w:p w:rsidR="00DD49B1" w:rsidRPr="0036216C" w:rsidRDefault="00DD49B1" w:rsidP="00DD49B1">
      <w:pPr>
        <w:spacing w:before="120" w:after="120" w:line="360" w:lineRule="auto"/>
        <w:ind w:left="284"/>
        <w:contextualSpacing/>
        <w:jc w:val="both"/>
        <w:rPr>
          <w:rFonts w:ascii="Arial" w:hAnsi="Arial" w:cs="Arial"/>
          <w:sz w:val="24"/>
          <w:szCs w:val="24"/>
        </w:rPr>
      </w:pPr>
    </w:p>
    <w:p w:rsidR="00DD49B1" w:rsidRDefault="00DD49B1" w:rsidP="00B006EE">
      <w:pPr>
        <w:spacing w:before="38" w:after="0" w:line="360" w:lineRule="auto"/>
        <w:ind w:right="-1" w:firstLine="567"/>
        <w:jc w:val="both"/>
        <w:rPr>
          <w:rFonts w:ascii="Arial" w:hAnsi="Arial" w:cs="Arial"/>
          <w:sz w:val="24"/>
          <w:szCs w:val="24"/>
        </w:rPr>
      </w:pPr>
      <w:r w:rsidRPr="0036216C">
        <w:rPr>
          <w:rFonts w:ascii="Arial" w:hAnsi="Arial" w:cs="Arial"/>
          <w:sz w:val="24"/>
          <w:szCs w:val="24"/>
        </w:rPr>
        <w:t>Así mismo del citado art</w:t>
      </w:r>
      <w:r w:rsidR="00CD08A7">
        <w:rPr>
          <w:rFonts w:ascii="Arial" w:hAnsi="Arial" w:cs="Arial"/>
          <w:sz w:val="24"/>
          <w:szCs w:val="24"/>
        </w:rPr>
        <w:t>ículo podemos analizar que la</w:t>
      </w:r>
      <w:r w:rsidRPr="0036216C">
        <w:rPr>
          <w:rFonts w:ascii="Arial" w:hAnsi="Arial" w:cs="Arial"/>
          <w:sz w:val="24"/>
          <w:szCs w:val="24"/>
        </w:rPr>
        <w:t xml:space="preserve"> fracción X, </w:t>
      </w:r>
      <w:r w:rsidR="00CD08A7">
        <w:rPr>
          <w:rFonts w:ascii="Arial" w:hAnsi="Arial" w:cs="Arial"/>
          <w:sz w:val="24"/>
          <w:szCs w:val="24"/>
        </w:rPr>
        <w:t xml:space="preserve">para </w:t>
      </w:r>
      <w:r w:rsidR="00CD08A7" w:rsidRPr="007F3C1F">
        <w:rPr>
          <w:rFonts w:ascii="Arial" w:hAnsi="Arial" w:cs="Arial"/>
          <w:sz w:val="24"/>
          <w:szCs w:val="24"/>
        </w:rPr>
        <w:t>efectos de re</w:t>
      </w:r>
      <w:r w:rsidR="007F3C1F" w:rsidRPr="007F3C1F">
        <w:rPr>
          <w:rFonts w:ascii="Arial" w:hAnsi="Arial" w:cs="Arial"/>
          <w:sz w:val="24"/>
          <w:szCs w:val="24"/>
        </w:rPr>
        <w:t>a</w:t>
      </w:r>
      <w:r w:rsidR="00CD08A7" w:rsidRPr="007F3C1F">
        <w:rPr>
          <w:rFonts w:ascii="Arial" w:hAnsi="Arial" w:cs="Arial"/>
          <w:sz w:val="24"/>
          <w:szCs w:val="24"/>
        </w:rPr>
        <w:t>f</w:t>
      </w:r>
      <w:r w:rsidR="007F3C1F" w:rsidRPr="007F3C1F">
        <w:rPr>
          <w:rFonts w:ascii="Arial" w:hAnsi="Arial" w:cs="Arial"/>
          <w:sz w:val="24"/>
          <w:szCs w:val="24"/>
        </w:rPr>
        <w:t>irmar</w:t>
      </w:r>
      <w:r w:rsidR="00CD08A7" w:rsidRPr="007F3C1F">
        <w:rPr>
          <w:rFonts w:ascii="Arial" w:hAnsi="Arial" w:cs="Arial"/>
          <w:sz w:val="24"/>
          <w:szCs w:val="24"/>
        </w:rPr>
        <w:t xml:space="preserve"> lo anterior, este Órgano Colegiado </w:t>
      </w:r>
      <w:r w:rsidRPr="007F3C1F">
        <w:rPr>
          <w:rFonts w:ascii="Arial" w:hAnsi="Arial" w:cs="Arial"/>
          <w:sz w:val="24"/>
          <w:szCs w:val="24"/>
        </w:rPr>
        <w:t>tiene la facultad de fijar de</w:t>
      </w:r>
      <w:r w:rsidRPr="0036216C">
        <w:rPr>
          <w:rFonts w:ascii="Arial" w:hAnsi="Arial" w:cs="Arial"/>
          <w:sz w:val="24"/>
          <w:szCs w:val="24"/>
        </w:rPr>
        <w:t xml:space="preserve"> manera anual, a propuesta únicamente del Poder Ejecutivo o de los Municipios, las contribuciones y demás ingresos, que formarán parte de las Hac</w:t>
      </w:r>
      <w:r w:rsidR="00CD08A7">
        <w:rPr>
          <w:rFonts w:ascii="Arial" w:hAnsi="Arial" w:cs="Arial"/>
          <w:sz w:val="24"/>
          <w:szCs w:val="24"/>
        </w:rPr>
        <w:t xml:space="preserve">iendas Estatales o Municipales, con la finalidad de cubrir y satisfacer las necesidades requeridas </w:t>
      </w:r>
      <w:r w:rsidRPr="0036216C">
        <w:rPr>
          <w:rFonts w:ascii="Arial" w:hAnsi="Arial" w:cs="Arial"/>
          <w:sz w:val="24"/>
          <w:szCs w:val="24"/>
        </w:rPr>
        <w:t>para el Estado:</w:t>
      </w:r>
    </w:p>
    <w:p w:rsidR="00E516DF" w:rsidRPr="0036216C" w:rsidRDefault="00E516DF" w:rsidP="00B006EE">
      <w:pPr>
        <w:spacing w:before="38" w:after="0" w:line="360" w:lineRule="auto"/>
        <w:ind w:right="-1" w:firstLine="567"/>
        <w:jc w:val="both"/>
        <w:rPr>
          <w:rFonts w:ascii="Arial" w:hAnsi="Arial" w:cs="Arial"/>
          <w:sz w:val="24"/>
          <w:szCs w:val="24"/>
        </w:rPr>
      </w:pPr>
    </w:p>
    <w:p w:rsidR="00DD49B1" w:rsidRPr="0036216C" w:rsidRDefault="00DD49B1" w:rsidP="00DD49B1">
      <w:pPr>
        <w:spacing w:before="120" w:after="120" w:line="360" w:lineRule="auto"/>
        <w:ind w:left="284"/>
        <w:contextualSpacing/>
        <w:jc w:val="both"/>
        <w:rPr>
          <w:rFonts w:ascii="Arial" w:hAnsi="Arial" w:cs="Arial"/>
          <w:sz w:val="24"/>
          <w:szCs w:val="24"/>
        </w:rPr>
      </w:pPr>
    </w:p>
    <w:p w:rsidR="00DD49B1" w:rsidRPr="0054628F" w:rsidRDefault="00DD49B1" w:rsidP="00DD49B1">
      <w:pPr>
        <w:spacing w:before="120" w:after="120" w:line="360" w:lineRule="auto"/>
        <w:ind w:left="284"/>
        <w:contextualSpacing/>
        <w:jc w:val="both"/>
        <w:rPr>
          <w:rFonts w:ascii="Arial" w:hAnsi="Arial" w:cs="Arial"/>
          <w:b/>
          <w:i/>
          <w:sz w:val="24"/>
          <w:szCs w:val="24"/>
        </w:rPr>
      </w:pPr>
      <w:r w:rsidRPr="0054628F">
        <w:rPr>
          <w:rFonts w:ascii="Arial" w:hAnsi="Arial" w:cs="Arial"/>
          <w:b/>
          <w:i/>
          <w:sz w:val="24"/>
          <w:szCs w:val="24"/>
        </w:rPr>
        <w:lastRenderedPageBreak/>
        <w:t>La Constitución Política del Estado Libre y Soberano de Nuevo León</w:t>
      </w:r>
    </w:p>
    <w:p w:rsidR="00DD49B1" w:rsidRPr="0036216C" w:rsidRDefault="00DD49B1" w:rsidP="00DD49B1">
      <w:pPr>
        <w:spacing w:before="120" w:after="120" w:line="360" w:lineRule="auto"/>
        <w:ind w:left="284"/>
        <w:contextualSpacing/>
        <w:jc w:val="both"/>
        <w:rPr>
          <w:rFonts w:ascii="Arial" w:hAnsi="Arial" w:cs="Arial"/>
          <w:i/>
          <w:sz w:val="24"/>
          <w:szCs w:val="24"/>
        </w:rPr>
      </w:pPr>
    </w:p>
    <w:p w:rsidR="00DD49B1" w:rsidRPr="0036216C" w:rsidRDefault="00CD08A7" w:rsidP="00DD49B1">
      <w:pPr>
        <w:spacing w:before="120" w:after="120" w:line="360" w:lineRule="auto"/>
        <w:ind w:left="1418" w:right="567"/>
        <w:contextualSpacing/>
        <w:jc w:val="both"/>
        <w:rPr>
          <w:rFonts w:ascii="Arial" w:hAnsi="Arial" w:cs="Arial"/>
          <w:bCs/>
          <w:i/>
          <w:color w:val="000000"/>
          <w:sz w:val="24"/>
          <w:szCs w:val="24"/>
        </w:rPr>
      </w:pPr>
      <w:r>
        <w:rPr>
          <w:rFonts w:ascii="Arial" w:hAnsi="Arial" w:cs="Arial"/>
          <w:bCs/>
          <w:i/>
          <w:color w:val="000000"/>
          <w:sz w:val="24"/>
          <w:szCs w:val="24"/>
        </w:rPr>
        <w:t>“</w:t>
      </w:r>
      <w:r w:rsidR="00DD49B1" w:rsidRPr="0036216C">
        <w:rPr>
          <w:rFonts w:ascii="Arial" w:hAnsi="Arial" w:cs="Arial"/>
          <w:bCs/>
          <w:i/>
          <w:color w:val="000000"/>
          <w:sz w:val="24"/>
          <w:szCs w:val="24"/>
        </w:rPr>
        <w:t>ARTÍCULO 63.- Corresponde al Congreso:</w:t>
      </w:r>
    </w:p>
    <w:p w:rsidR="00DD49B1" w:rsidRPr="00B006EE" w:rsidRDefault="00DD49B1" w:rsidP="00B006EE">
      <w:pPr>
        <w:spacing w:before="120" w:after="0" w:line="360" w:lineRule="auto"/>
        <w:ind w:left="1418" w:right="567"/>
        <w:contextualSpacing/>
        <w:jc w:val="both"/>
        <w:rPr>
          <w:rFonts w:ascii="Arial" w:hAnsi="Arial" w:cs="Arial"/>
          <w:sz w:val="20"/>
          <w:szCs w:val="24"/>
        </w:rPr>
      </w:pPr>
    </w:p>
    <w:p w:rsidR="00DD49B1" w:rsidRDefault="00DD49B1" w:rsidP="00DD49B1">
      <w:pPr>
        <w:spacing w:before="120" w:after="120" w:line="360" w:lineRule="auto"/>
        <w:ind w:left="1418" w:right="567"/>
        <w:contextualSpacing/>
        <w:jc w:val="both"/>
        <w:rPr>
          <w:rFonts w:ascii="Arial" w:hAnsi="Arial" w:cs="Arial"/>
          <w:i/>
          <w:sz w:val="24"/>
          <w:szCs w:val="24"/>
        </w:rPr>
      </w:pPr>
      <w:r w:rsidRPr="0036216C">
        <w:rPr>
          <w:rFonts w:ascii="Arial" w:hAnsi="Arial" w:cs="Arial"/>
          <w:i/>
          <w:sz w:val="24"/>
          <w:szCs w:val="24"/>
        </w:rPr>
        <w:t xml:space="preserve">X.- </w:t>
      </w:r>
      <w:r w:rsidRPr="00CD08A7">
        <w:rPr>
          <w:rFonts w:ascii="Arial" w:hAnsi="Arial" w:cs="Arial"/>
          <w:i/>
          <w:sz w:val="24"/>
          <w:szCs w:val="24"/>
          <w:u w:val="single"/>
        </w:rPr>
        <w:t>Fijar anualmente</w:t>
      </w:r>
      <w:r w:rsidRPr="0036216C">
        <w:rPr>
          <w:rFonts w:ascii="Arial" w:hAnsi="Arial" w:cs="Arial"/>
          <w:i/>
          <w:sz w:val="24"/>
          <w:szCs w:val="24"/>
        </w:rPr>
        <w:t>, a propuesta del Ejecutivo Estatal o de los Ayuntamientos, las contribuciones y demás ingresos que deberán formar la Hacienda Pública Estatal o Municipal respectivamente, procurando que sean suficien</w:t>
      </w:r>
      <w:r w:rsidR="00CD08A7">
        <w:rPr>
          <w:rFonts w:ascii="Arial" w:hAnsi="Arial" w:cs="Arial"/>
          <w:i/>
          <w:sz w:val="24"/>
          <w:szCs w:val="24"/>
        </w:rPr>
        <w:t>tes para cubrir sus necesidades.</w:t>
      </w:r>
    </w:p>
    <w:p w:rsidR="00CD08A7" w:rsidRPr="0036216C" w:rsidRDefault="00CD08A7" w:rsidP="00DD49B1">
      <w:pPr>
        <w:spacing w:before="120" w:after="120" w:line="360" w:lineRule="auto"/>
        <w:ind w:left="1418" w:right="567"/>
        <w:contextualSpacing/>
        <w:jc w:val="both"/>
        <w:rPr>
          <w:rFonts w:ascii="Arial" w:hAnsi="Arial" w:cs="Arial"/>
          <w:i/>
          <w:sz w:val="24"/>
          <w:szCs w:val="24"/>
        </w:rPr>
      </w:pPr>
    </w:p>
    <w:p w:rsidR="00DD49B1" w:rsidRPr="00C70DF3" w:rsidRDefault="00DD49B1" w:rsidP="00DD49B1">
      <w:pPr>
        <w:spacing w:before="120" w:after="120" w:line="360" w:lineRule="auto"/>
        <w:ind w:left="1418" w:right="567"/>
        <w:contextualSpacing/>
        <w:jc w:val="both"/>
        <w:rPr>
          <w:rFonts w:ascii="Arial" w:hAnsi="Arial" w:cs="Arial"/>
          <w:i/>
          <w:sz w:val="24"/>
          <w:szCs w:val="24"/>
        </w:rPr>
      </w:pPr>
      <w:r w:rsidRPr="0036216C">
        <w:rPr>
          <w:rFonts w:ascii="Arial" w:hAnsi="Arial" w:cs="Arial"/>
          <w:i/>
          <w:sz w:val="24"/>
          <w:szCs w:val="24"/>
        </w:rPr>
        <w:t xml:space="preserve">Si terminado un año, por cualquier circunstancia no se hubiere aprobado lo señalado en el párrafo anterior, mientras no haya aprobación expresa en diverso sentido seguirán vigentes las mismas del </w:t>
      </w:r>
      <w:r w:rsidRPr="00C70DF3">
        <w:rPr>
          <w:rFonts w:ascii="Arial" w:hAnsi="Arial" w:cs="Arial"/>
          <w:i/>
          <w:sz w:val="24"/>
          <w:szCs w:val="24"/>
        </w:rPr>
        <w:t>ejercicio que termina.</w:t>
      </w:r>
      <w:r w:rsidR="00CD08A7">
        <w:rPr>
          <w:rFonts w:ascii="Arial" w:hAnsi="Arial" w:cs="Arial"/>
          <w:i/>
          <w:sz w:val="24"/>
          <w:szCs w:val="24"/>
        </w:rPr>
        <w:t>”</w:t>
      </w:r>
    </w:p>
    <w:p w:rsidR="00DD49B1" w:rsidRPr="00C70DF3" w:rsidRDefault="00DD49B1" w:rsidP="00DD49B1">
      <w:pPr>
        <w:spacing w:before="120" w:after="120" w:line="360" w:lineRule="auto"/>
        <w:ind w:left="284"/>
        <w:contextualSpacing/>
        <w:jc w:val="both"/>
        <w:rPr>
          <w:rFonts w:ascii="Arial" w:hAnsi="Arial" w:cs="Arial"/>
          <w:i/>
          <w:sz w:val="24"/>
          <w:szCs w:val="24"/>
        </w:rPr>
      </w:pPr>
    </w:p>
    <w:p w:rsidR="00DD49B1" w:rsidRPr="00C70DF3" w:rsidRDefault="00CD08A7" w:rsidP="00B006EE">
      <w:pPr>
        <w:spacing w:before="38" w:after="0" w:line="360" w:lineRule="auto"/>
        <w:ind w:right="-1" w:firstLine="567"/>
        <w:jc w:val="both"/>
        <w:rPr>
          <w:rFonts w:ascii="Arial" w:eastAsia="Arial" w:hAnsi="Arial" w:cs="Arial"/>
          <w:bCs/>
          <w:color w:val="000000"/>
          <w:sz w:val="24"/>
          <w:szCs w:val="24"/>
          <w:lang w:eastAsia="es-MX"/>
        </w:rPr>
      </w:pPr>
      <w:r>
        <w:rPr>
          <w:rFonts w:ascii="Arial" w:hAnsi="Arial" w:cs="Arial"/>
          <w:sz w:val="24"/>
          <w:szCs w:val="24"/>
        </w:rPr>
        <w:t>Esto es, que con el citado artículo, se precisa que es facultad exclusiva del Estado y Municipios el enviar sus respectivas iniciativas al Congreso del Estado para su Aprobación. Así como primeramente, la Comisión de Presupuesto</w:t>
      </w:r>
      <w:r>
        <w:rPr>
          <w:rFonts w:ascii="Arial" w:eastAsia="Arial" w:hAnsi="Arial" w:cs="Arial"/>
          <w:bCs/>
          <w:color w:val="000000"/>
          <w:sz w:val="24"/>
          <w:szCs w:val="24"/>
          <w:lang w:eastAsia="es-MX"/>
        </w:rPr>
        <w:t xml:space="preserve"> </w:t>
      </w:r>
      <w:r w:rsidR="00DD49B1" w:rsidRPr="00C70DF3">
        <w:rPr>
          <w:rFonts w:ascii="Arial" w:eastAsia="Arial" w:hAnsi="Arial" w:cs="Arial"/>
          <w:bCs/>
          <w:color w:val="000000"/>
          <w:sz w:val="24"/>
          <w:szCs w:val="24"/>
          <w:lang w:eastAsia="es-MX"/>
        </w:rPr>
        <w:t>es la respo</w:t>
      </w:r>
      <w:r>
        <w:rPr>
          <w:rFonts w:ascii="Arial" w:eastAsia="Arial" w:hAnsi="Arial" w:cs="Arial"/>
          <w:bCs/>
          <w:color w:val="000000"/>
          <w:sz w:val="24"/>
          <w:szCs w:val="24"/>
          <w:lang w:eastAsia="es-MX"/>
        </w:rPr>
        <w:t>nsable de proponer al Pleno de é</w:t>
      </w:r>
      <w:r w:rsidR="00DD49B1" w:rsidRPr="00C70DF3">
        <w:rPr>
          <w:rFonts w:ascii="Arial" w:eastAsia="Arial" w:hAnsi="Arial" w:cs="Arial"/>
          <w:bCs/>
          <w:color w:val="000000"/>
          <w:sz w:val="24"/>
          <w:szCs w:val="24"/>
          <w:lang w:eastAsia="es-MX"/>
        </w:rPr>
        <w:t xml:space="preserve">ste Congreso un proyecto </w:t>
      </w:r>
      <w:r>
        <w:rPr>
          <w:rFonts w:ascii="Arial" w:eastAsia="Arial" w:hAnsi="Arial" w:cs="Arial"/>
          <w:bCs/>
          <w:color w:val="000000"/>
          <w:sz w:val="24"/>
          <w:szCs w:val="24"/>
          <w:lang w:eastAsia="es-MX"/>
        </w:rPr>
        <w:t xml:space="preserve">de decreto o acuerdo que cumpla </w:t>
      </w:r>
      <w:r w:rsidR="00DD49B1" w:rsidRPr="00C70DF3">
        <w:rPr>
          <w:rFonts w:ascii="Arial" w:eastAsia="Arial" w:hAnsi="Arial" w:cs="Arial"/>
          <w:bCs/>
          <w:color w:val="000000"/>
          <w:sz w:val="24"/>
          <w:szCs w:val="24"/>
          <w:lang w:eastAsia="es-MX"/>
        </w:rPr>
        <w:t>con</w:t>
      </w:r>
      <w:r>
        <w:rPr>
          <w:rFonts w:ascii="Arial" w:eastAsia="Arial" w:hAnsi="Arial" w:cs="Arial"/>
          <w:bCs/>
          <w:color w:val="000000"/>
          <w:sz w:val="24"/>
          <w:szCs w:val="24"/>
          <w:lang w:eastAsia="es-MX"/>
        </w:rPr>
        <w:t xml:space="preserve"> la fundamentación y motivación de</w:t>
      </w:r>
      <w:r w:rsidR="00DD49B1" w:rsidRPr="00C70DF3">
        <w:rPr>
          <w:rFonts w:ascii="Arial" w:eastAsia="Arial" w:hAnsi="Arial" w:cs="Arial"/>
          <w:bCs/>
          <w:color w:val="000000"/>
          <w:sz w:val="24"/>
          <w:szCs w:val="24"/>
          <w:lang w:eastAsia="es-MX"/>
        </w:rPr>
        <w:t xml:space="preserve"> la presente iniciativa.</w:t>
      </w:r>
    </w:p>
    <w:p w:rsidR="00DD49B1" w:rsidRPr="00C70DF3" w:rsidRDefault="00DD49B1" w:rsidP="00DD49B1">
      <w:pPr>
        <w:tabs>
          <w:tab w:val="left" w:pos="7938"/>
        </w:tabs>
        <w:spacing w:before="120" w:after="120" w:line="360" w:lineRule="auto"/>
        <w:ind w:left="284" w:right="417"/>
        <w:contextualSpacing/>
        <w:jc w:val="both"/>
        <w:rPr>
          <w:rFonts w:ascii="Arial" w:eastAsia="Arial" w:hAnsi="Arial" w:cs="Arial"/>
          <w:bCs/>
          <w:color w:val="000000"/>
          <w:sz w:val="24"/>
          <w:szCs w:val="24"/>
          <w:lang w:eastAsia="es-MX"/>
        </w:rPr>
      </w:pPr>
    </w:p>
    <w:p w:rsidR="00DD49B1" w:rsidRPr="00C70DF3" w:rsidRDefault="00CD08A7" w:rsidP="00B006EE">
      <w:pPr>
        <w:spacing w:before="38" w:after="0" w:line="360" w:lineRule="auto"/>
        <w:ind w:right="-1" w:firstLine="567"/>
        <w:jc w:val="both"/>
        <w:rPr>
          <w:rFonts w:ascii="Arial" w:eastAsia="Arial" w:hAnsi="Arial" w:cs="Arial"/>
          <w:bCs/>
          <w:color w:val="000000"/>
          <w:sz w:val="24"/>
          <w:szCs w:val="24"/>
          <w:lang w:eastAsia="es-MX"/>
        </w:rPr>
      </w:pPr>
      <w:r>
        <w:rPr>
          <w:rFonts w:ascii="Arial" w:eastAsia="Arial" w:hAnsi="Arial" w:cs="Arial"/>
          <w:bCs/>
          <w:color w:val="000000"/>
          <w:sz w:val="24"/>
          <w:szCs w:val="24"/>
          <w:lang w:eastAsia="es-MX"/>
        </w:rPr>
        <w:t xml:space="preserve">Nuestra Carta Magna señala en su numeral 134 que los </w:t>
      </w:r>
      <w:r w:rsidR="00DD49B1" w:rsidRPr="00C70DF3">
        <w:rPr>
          <w:rFonts w:ascii="Arial" w:eastAsia="Arial" w:hAnsi="Arial" w:cs="Arial"/>
          <w:bCs/>
          <w:color w:val="000000"/>
          <w:sz w:val="24"/>
          <w:szCs w:val="24"/>
          <w:lang w:eastAsia="es-MX"/>
        </w:rPr>
        <w:t xml:space="preserve">recursos económicos que disponga tanto la Federación, Entidades Federativas y Municipios, deberán administrarse mediante los principios de eficiencia, </w:t>
      </w:r>
      <w:r w:rsidR="00DD49B1" w:rsidRPr="00C70DF3">
        <w:rPr>
          <w:rFonts w:ascii="Arial" w:eastAsia="Arial" w:hAnsi="Arial" w:cs="Arial"/>
          <w:bCs/>
          <w:color w:val="000000"/>
          <w:sz w:val="24"/>
          <w:szCs w:val="24"/>
          <w:lang w:eastAsia="es-MX"/>
        </w:rPr>
        <w:lastRenderedPageBreak/>
        <w:t>economía, transparencia y honradez, a efecto de cumplir la finalidad destinada, esto es, hacia las necesidades de la población del Estado a cubrir.</w:t>
      </w:r>
    </w:p>
    <w:p w:rsidR="00DD49B1" w:rsidRPr="00C70DF3" w:rsidRDefault="00DD49B1" w:rsidP="00DD49B1">
      <w:pPr>
        <w:tabs>
          <w:tab w:val="left" w:pos="7938"/>
        </w:tabs>
        <w:spacing w:before="120" w:after="120" w:line="360" w:lineRule="auto"/>
        <w:ind w:left="284" w:right="418"/>
        <w:contextualSpacing/>
        <w:jc w:val="both"/>
        <w:rPr>
          <w:rFonts w:ascii="Arial" w:eastAsia="Arial" w:hAnsi="Arial" w:cs="Arial"/>
          <w:bCs/>
          <w:color w:val="000000"/>
          <w:sz w:val="24"/>
          <w:szCs w:val="24"/>
          <w:lang w:eastAsia="es-MX"/>
        </w:rPr>
      </w:pPr>
    </w:p>
    <w:p w:rsidR="00DD49B1" w:rsidRPr="00C70DF3" w:rsidRDefault="002F345E" w:rsidP="002F345E">
      <w:pPr>
        <w:tabs>
          <w:tab w:val="left" w:pos="7938"/>
        </w:tabs>
        <w:spacing w:before="120" w:after="120" w:line="360" w:lineRule="auto"/>
        <w:ind w:left="284" w:right="418"/>
        <w:contextualSpacing/>
        <w:jc w:val="center"/>
        <w:rPr>
          <w:rFonts w:ascii="Arial" w:eastAsia="Arial" w:hAnsi="Arial" w:cs="Arial"/>
          <w:b/>
          <w:bCs/>
          <w:i/>
          <w:color w:val="000000"/>
          <w:sz w:val="24"/>
          <w:szCs w:val="24"/>
          <w:lang w:eastAsia="es-MX"/>
        </w:rPr>
      </w:pPr>
      <w:r>
        <w:rPr>
          <w:rFonts w:ascii="Arial" w:eastAsia="Arial" w:hAnsi="Arial" w:cs="Arial"/>
          <w:b/>
          <w:bCs/>
          <w:i/>
          <w:color w:val="000000"/>
          <w:sz w:val="24"/>
          <w:szCs w:val="24"/>
          <w:lang w:eastAsia="es-MX"/>
        </w:rPr>
        <w:t>“</w:t>
      </w:r>
      <w:r w:rsidR="00DD49B1" w:rsidRPr="00C70DF3">
        <w:rPr>
          <w:rFonts w:ascii="Arial" w:eastAsia="Arial" w:hAnsi="Arial" w:cs="Arial"/>
          <w:b/>
          <w:bCs/>
          <w:i/>
          <w:color w:val="000000"/>
          <w:sz w:val="24"/>
          <w:szCs w:val="24"/>
          <w:lang w:eastAsia="es-MX"/>
        </w:rPr>
        <w:t>Constitución Política de los Estados Unidos Mexicanos</w:t>
      </w:r>
    </w:p>
    <w:p w:rsidR="00DD49B1" w:rsidRPr="00B006EE" w:rsidRDefault="00DD49B1" w:rsidP="00DD49B1">
      <w:pPr>
        <w:tabs>
          <w:tab w:val="left" w:pos="7938"/>
        </w:tabs>
        <w:spacing w:before="120" w:after="120" w:line="360" w:lineRule="auto"/>
        <w:ind w:left="284" w:right="418"/>
        <w:contextualSpacing/>
        <w:jc w:val="both"/>
        <w:rPr>
          <w:rFonts w:ascii="Arial" w:eastAsia="Arial" w:hAnsi="Arial" w:cs="Arial"/>
          <w:bCs/>
          <w:color w:val="000000"/>
          <w:sz w:val="24"/>
          <w:szCs w:val="24"/>
          <w:lang w:eastAsia="es-MX"/>
        </w:rPr>
      </w:pPr>
    </w:p>
    <w:p w:rsidR="00DD49B1" w:rsidRPr="00C70DF3" w:rsidRDefault="00DD49B1" w:rsidP="00DD49B1">
      <w:pPr>
        <w:pStyle w:val="Texto"/>
        <w:spacing w:before="120" w:after="120" w:line="360" w:lineRule="auto"/>
        <w:ind w:left="1418" w:right="567" w:firstLine="0"/>
        <w:contextualSpacing/>
        <w:rPr>
          <w:i/>
          <w:sz w:val="24"/>
          <w:szCs w:val="24"/>
        </w:rPr>
      </w:pPr>
      <w:r w:rsidRPr="00C70DF3">
        <w:rPr>
          <w:b/>
          <w:i/>
          <w:sz w:val="24"/>
          <w:szCs w:val="24"/>
        </w:rPr>
        <w:t>Artículo 134.</w:t>
      </w:r>
      <w:r w:rsidRPr="00C70DF3">
        <w:rPr>
          <w:i/>
          <w:sz w:val="24"/>
          <w:szCs w:val="24"/>
        </w:rPr>
        <w:t xml:space="preserv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r w:rsidR="002F345E">
        <w:rPr>
          <w:i/>
          <w:sz w:val="24"/>
          <w:szCs w:val="24"/>
        </w:rPr>
        <w:t>”</w:t>
      </w:r>
    </w:p>
    <w:p w:rsidR="00DD49B1" w:rsidRPr="00C70DF3" w:rsidRDefault="00DD49B1" w:rsidP="00DD49B1">
      <w:pPr>
        <w:pStyle w:val="Texto"/>
        <w:spacing w:before="120" w:after="120" w:line="360" w:lineRule="auto"/>
        <w:ind w:left="1418" w:right="567" w:firstLine="0"/>
        <w:contextualSpacing/>
        <w:rPr>
          <w:i/>
          <w:sz w:val="24"/>
          <w:szCs w:val="24"/>
        </w:rPr>
      </w:pPr>
    </w:p>
    <w:p w:rsidR="00DD49B1" w:rsidRPr="007F3C1F" w:rsidRDefault="00DD49B1" w:rsidP="007F3C1F">
      <w:pPr>
        <w:pStyle w:val="Texto"/>
        <w:spacing w:before="120" w:after="120" w:line="360" w:lineRule="auto"/>
        <w:ind w:left="284"/>
        <w:contextualSpacing/>
        <w:rPr>
          <w:sz w:val="24"/>
          <w:szCs w:val="24"/>
        </w:rPr>
      </w:pPr>
    </w:p>
    <w:p w:rsidR="00DD49B1" w:rsidRPr="00B006EE" w:rsidRDefault="00281C58" w:rsidP="00B006EE">
      <w:pPr>
        <w:spacing w:before="38" w:after="0" w:line="360" w:lineRule="auto"/>
        <w:ind w:right="-1" w:firstLine="567"/>
        <w:jc w:val="both"/>
        <w:rPr>
          <w:rFonts w:ascii="Arial" w:hAnsi="Arial" w:cs="Arial"/>
          <w:sz w:val="24"/>
          <w:szCs w:val="24"/>
        </w:rPr>
      </w:pPr>
      <w:r w:rsidRPr="007F3C1F">
        <w:rPr>
          <w:rFonts w:ascii="Arial" w:hAnsi="Arial" w:cs="Arial"/>
          <w:sz w:val="24"/>
          <w:szCs w:val="24"/>
        </w:rPr>
        <w:t>Una vez descrito lo anterior, se ci</w:t>
      </w:r>
      <w:r w:rsidR="0089182C" w:rsidRPr="007F3C1F">
        <w:rPr>
          <w:rFonts w:ascii="Arial" w:hAnsi="Arial" w:cs="Arial"/>
          <w:sz w:val="24"/>
          <w:szCs w:val="24"/>
        </w:rPr>
        <w:t>ta con puntualidad la referencia</w:t>
      </w:r>
      <w:r w:rsidRPr="007F3C1F">
        <w:rPr>
          <w:rFonts w:ascii="Arial" w:hAnsi="Arial" w:cs="Arial"/>
          <w:sz w:val="24"/>
          <w:szCs w:val="24"/>
        </w:rPr>
        <w:t xml:space="preserve"> entre la exposición de motivos y los cambios realizados en comparación co</w:t>
      </w:r>
      <w:r w:rsidR="0089182C" w:rsidRPr="007F3C1F">
        <w:rPr>
          <w:rFonts w:ascii="Arial" w:hAnsi="Arial" w:cs="Arial"/>
          <w:sz w:val="24"/>
          <w:szCs w:val="24"/>
        </w:rPr>
        <w:t>n la Ley de Ingresos para el Es</w:t>
      </w:r>
      <w:r w:rsidRPr="007F3C1F">
        <w:rPr>
          <w:rFonts w:ascii="Arial" w:hAnsi="Arial" w:cs="Arial"/>
          <w:sz w:val="24"/>
          <w:szCs w:val="24"/>
        </w:rPr>
        <w:t>t</w:t>
      </w:r>
      <w:r w:rsidR="0089182C" w:rsidRPr="007F3C1F">
        <w:rPr>
          <w:rFonts w:ascii="Arial" w:hAnsi="Arial" w:cs="Arial"/>
          <w:sz w:val="24"/>
          <w:szCs w:val="24"/>
        </w:rPr>
        <w:t>ado de N</w:t>
      </w:r>
      <w:r w:rsidRPr="007F3C1F">
        <w:rPr>
          <w:rFonts w:ascii="Arial" w:hAnsi="Arial" w:cs="Arial"/>
          <w:sz w:val="24"/>
          <w:szCs w:val="24"/>
        </w:rPr>
        <w:t>u</w:t>
      </w:r>
      <w:r w:rsidR="0089182C" w:rsidRPr="007F3C1F">
        <w:rPr>
          <w:rFonts w:ascii="Arial" w:hAnsi="Arial" w:cs="Arial"/>
          <w:sz w:val="24"/>
          <w:szCs w:val="24"/>
        </w:rPr>
        <w:t>e</w:t>
      </w:r>
      <w:r w:rsidRPr="007F3C1F">
        <w:rPr>
          <w:rFonts w:ascii="Arial" w:hAnsi="Arial" w:cs="Arial"/>
          <w:sz w:val="24"/>
          <w:szCs w:val="24"/>
        </w:rPr>
        <w:t>vo León para el año 2017.</w:t>
      </w:r>
    </w:p>
    <w:p w:rsidR="00281C58" w:rsidRPr="00B006EE" w:rsidRDefault="00281C58" w:rsidP="00DD49B1">
      <w:pPr>
        <w:pStyle w:val="Texto"/>
        <w:spacing w:before="120" w:after="120" w:line="360" w:lineRule="auto"/>
        <w:ind w:left="284"/>
        <w:contextualSpacing/>
        <w:rPr>
          <w:sz w:val="24"/>
          <w:szCs w:val="24"/>
        </w:rPr>
      </w:pPr>
    </w:p>
    <w:p w:rsidR="00281C58" w:rsidRPr="00B006EE" w:rsidRDefault="00281C58" w:rsidP="00B006EE">
      <w:pPr>
        <w:spacing w:before="38" w:after="0" w:line="360" w:lineRule="auto"/>
        <w:ind w:right="-1" w:firstLine="567"/>
        <w:jc w:val="both"/>
        <w:rPr>
          <w:rFonts w:ascii="Arial" w:hAnsi="Arial" w:cs="Arial"/>
          <w:bCs/>
          <w:sz w:val="24"/>
          <w:szCs w:val="24"/>
        </w:rPr>
      </w:pPr>
      <w:r w:rsidRPr="00B006EE">
        <w:rPr>
          <w:rFonts w:ascii="Arial" w:hAnsi="Arial" w:cs="Arial"/>
          <w:sz w:val="24"/>
          <w:szCs w:val="24"/>
        </w:rPr>
        <w:t>En relación al parámetro marcado por el Artículo 1 de la presente Ley, se tomaron en cuenta diversos factores, el Producto Interno Bruto, los Criterios Generales de Economía, la inflación presupuestada para el 2018, por lo que podemos</w:t>
      </w:r>
      <w:r w:rsidR="0089182C" w:rsidRPr="00B006EE">
        <w:rPr>
          <w:rFonts w:ascii="Arial" w:hAnsi="Arial" w:cs="Arial"/>
          <w:sz w:val="24"/>
          <w:szCs w:val="24"/>
        </w:rPr>
        <w:t xml:space="preserve"> precisar que</w:t>
      </w:r>
      <w:r w:rsidRPr="00B006EE">
        <w:rPr>
          <w:rFonts w:ascii="Arial" w:hAnsi="Arial" w:cs="Arial"/>
          <w:sz w:val="24"/>
          <w:szCs w:val="24"/>
        </w:rPr>
        <w:t xml:space="preserve"> los ingresos presupuestados por concepto de impuestos, rondarán alrededor de los</w:t>
      </w:r>
      <w:r w:rsidR="00341F21" w:rsidRPr="00B006EE">
        <w:rPr>
          <w:rFonts w:ascii="Arial" w:hAnsi="Arial" w:cs="Arial"/>
          <w:sz w:val="24"/>
          <w:szCs w:val="24"/>
        </w:rPr>
        <w:t xml:space="preserve"> $</w:t>
      </w:r>
      <w:r w:rsidR="002D2C89" w:rsidRPr="00B006EE">
        <w:rPr>
          <w:rFonts w:ascii="Arial" w:hAnsi="Arial" w:cs="Arial"/>
          <w:bCs/>
          <w:sz w:val="24"/>
          <w:szCs w:val="24"/>
        </w:rPr>
        <w:t>8,883</w:t>
      </w:r>
      <w:r w:rsidR="00B006EE">
        <w:rPr>
          <w:rFonts w:ascii="Arial" w:hAnsi="Arial" w:cs="Arial"/>
          <w:bCs/>
          <w:sz w:val="24"/>
          <w:szCs w:val="24"/>
        </w:rPr>
        <w:t>´</w:t>
      </w:r>
      <w:r w:rsidR="002D2C89" w:rsidRPr="00B006EE">
        <w:rPr>
          <w:rFonts w:ascii="Arial" w:hAnsi="Arial" w:cs="Arial"/>
          <w:bCs/>
          <w:sz w:val="24"/>
          <w:szCs w:val="24"/>
        </w:rPr>
        <w:t>508,727</w:t>
      </w:r>
      <w:r w:rsidR="00341F21" w:rsidRPr="00B006EE">
        <w:rPr>
          <w:rFonts w:ascii="Arial" w:hAnsi="Arial" w:cs="Arial"/>
          <w:bCs/>
          <w:sz w:val="24"/>
          <w:szCs w:val="24"/>
        </w:rPr>
        <w:t xml:space="preserve"> pesos</w:t>
      </w:r>
      <w:r w:rsidR="002D2C89" w:rsidRPr="00B006EE">
        <w:rPr>
          <w:rFonts w:ascii="Arial" w:hAnsi="Arial" w:cs="Arial"/>
          <w:bCs/>
          <w:sz w:val="24"/>
          <w:szCs w:val="24"/>
        </w:rPr>
        <w:t>, siendo que en el año 2017, se presupuestaron</w:t>
      </w:r>
      <w:r w:rsidR="00341F21" w:rsidRPr="00B006EE">
        <w:rPr>
          <w:rFonts w:ascii="Arial" w:hAnsi="Arial" w:cs="Arial"/>
          <w:bCs/>
          <w:sz w:val="24"/>
          <w:szCs w:val="24"/>
        </w:rPr>
        <w:t xml:space="preserve"> $</w:t>
      </w:r>
      <w:r w:rsidR="002D2C89" w:rsidRPr="00B006EE">
        <w:rPr>
          <w:rFonts w:ascii="Arial" w:hAnsi="Arial" w:cs="Arial"/>
          <w:bCs/>
          <w:sz w:val="24"/>
          <w:szCs w:val="24"/>
        </w:rPr>
        <w:t>10,436</w:t>
      </w:r>
      <w:r w:rsidR="00B006EE">
        <w:rPr>
          <w:rFonts w:ascii="Arial" w:hAnsi="Arial" w:cs="Arial"/>
          <w:bCs/>
          <w:sz w:val="24"/>
          <w:szCs w:val="24"/>
        </w:rPr>
        <w:t>´</w:t>
      </w:r>
      <w:r w:rsidR="002D2C89" w:rsidRPr="00B006EE">
        <w:rPr>
          <w:rFonts w:ascii="Arial" w:hAnsi="Arial" w:cs="Arial"/>
          <w:bCs/>
          <w:sz w:val="24"/>
          <w:szCs w:val="24"/>
        </w:rPr>
        <w:t>178,707</w:t>
      </w:r>
      <w:r w:rsidR="00341F21" w:rsidRPr="00B006EE">
        <w:rPr>
          <w:rFonts w:ascii="Arial" w:hAnsi="Arial" w:cs="Arial"/>
          <w:bCs/>
          <w:sz w:val="24"/>
          <w:szCs w:val="24"/>
        </w:rPr>
        <w:t xml:space="preserve"> pesos</w:t>
      </w:r>
      <w:r w:rsidR="002D2C89" w:rsidRPr="00B006EE">
        <w:rPr>
          <w:rFonts w:ascii="Arial" w:hAnsi="Arial" w:cs="Arial"/>
          <w:bCs/>
          <w:sz w:val="24"/>
          <w:szCs w:val="24"/>
        </w:rPr>
        <w:t xml:space="preserve">; lo anterior debido a un claro reflejo de la eliminación </w:t>
      </w:r>
      <w:r w:rsidR="00F3085E" w:rsidRPr="00B006EE">
        <w:rPr>
          <w:rFonts w:ascii="Arial" w:hAnsi="Arial" w:cs="Arial"/>
          <w:bCs/>
          <w:sz w:val="24"/>
          <w:szCs w:val="24"/>
        </w:rPr>
        <w:t xml:space="preserve">del impuesto sobre tenencia o uso de vehículos. </w:t>
      </w:r>
      <w:r w:rsidR="00F3085E" w:rsidRPr="00B006EE">
        <w:rPr>
          <w:rFonts w:ascii="Arial" w:hAnsi="Arial" w:cs="Arial"/>
          <w:bCs/>
          <w:sz w:val="24"/>
          <w:szCs w:val="24"/>
        </w:rPr>
        <w:lastRenderedPageBreak/>
        <w:t xml:space="preserve">Tal y como se expuso en la Ley </w:t>
      </w:r>
      <w:r w:rsidR="0089182C" w:rsidRPr="00B006EE">
        <w:rPr>
          <w:rFonts w:ascii="Arial" w:hAnsi="Arial" w:cs="Arial"/>
          <w:bCs/>
          <w:sz w:val="24"/>
          <w:szCs w:val="24"/>
        </w:rPr>
        <w:t>de Hacienda para el Estado de N</w:t>
      </w:r>
      <w:r w:rsidR="00F3085E" w:rsidRPr="00B006EE">
        <w:rPr>
          <w:rFonts w:ascii="Arial" w:hAnsi="Arial" w:cs="Arial"/>
          <w:bCs/>
          <w:sz w:val="24"/>
          <w:szCs w:val="24"/>
        </w:rPr>
        <w:t>u</w:t>
      </w:r>
      <w:r w:rsidR="0089182C" w:rsidRPr="00B006EE">
        <w:rPr>
          <w:rFonts w:ascii="Arial" w:hAnsi="Arial" w:cs="Arial"/>
          <w:bCs/>
          <w:sz w:val="24"/>
          <w:szCs w:val="24"/>
        </w:rPr>
        <w:t>e</w:t>
      </w:r>
      <w:r w:rsidR="00F3085E" w:rsidRPr="00B006EE">
        <w:rPr>
          <w:rFonts w:ascii="Arial" w:hAnsi="Arial" w:cs="Arial"/>
          <w:bCs/>
          <w:sz w:val="24"/>
          <w:szCs w:val="24"/>
        </w:rPr>
        <w:t>vo León, que se cita a</w:t>
      </w:r>
      <w:r w:rsidR="0089182C" w:rsidRPr="00B006EE">
        <w:rPr>
          <w:rFonts w:ascii="Arial" w:hAnsi="Arial" w:cs="Arial"/>
          <w:bCs/>
          <w:sz w:val="24"/>
          <w:szCs w:val="24"/>
        </w:rPr>
        <w:t xml:space="preserve"> </w:t>
      </w:r>
      <w:r w:rsidR="00F3085E" w:rsidRPr="00B006EE">
        <w:rPr>
          <w:rFonts w:ascii="Arial" w:hAnsi="Arial" w:cs="Arial"/>
          <w:bCs/>
          <w:sz w:val="24"/>
          <w:szCs w:val="24"/>
        </w:rPr>
        <w:t>continuación:</w:t>
      </w:r>
    </w:p>
    <w:p w:rsidR="00F3085E" w:rsidRDefault="00F3085E" w:rsidP="00281C58">
      <w:pPr>
        <w:pStyle w:val="Texto"/>
        <w:spacing w:before="120" w:after="120" w:line="360" w:lineRule="auto"/>
        <w:ind w:left="284"/>
        <w:contextualSpacing/>
        <w:rPr>
          <w:b/>
          <w:bCs/>
          <w:sz w:val="21"/>
          <w:szCs w:val="21"/>
        </w:rPr>
      </w:pPr>
    </w:p>
    <w:p w:rsidR="00F3085E" w:rsidRPr="0089182C" w:rsidRDefault="0089182C" w:rsidP="0089182C">
      <w:pPr>
        <w:pStyle w:val="Texto"/>
        <w:spacing w:before="120" w:after="120" w:line="360" w:lineRule="auto"/>
        <w:ind w:left="284"/>
        <w:contextualSpacing/>
        <w:jc w:val="center"/>
        <w:rPr>
          <w:b/>
          <w:i/>
          <w:sz w:val="24"/>
          <w:szCs w:val="24"/>
        </w:rPr>
      </w:pPr>
      <w:r w:rsidRPr="0089182C">
        <w:rPr>
          <w:b/>
          <w:i/>
          <w:sz w:val="24"/>
          <w:szCs w:val="24"/>
        </w:rPr>
        <w:t>Ley de Hac</w:t>
      </w:r>
      <w:r w:rsidR="00F3085E" w:rsidRPr="0089182C">
        <w:rPr>
          <w:b/>
          <w:i/>
          <w:sz w:val="24"/>
          <w:szCs w:val="24"/>
        </w:rPr>
        <w:t>i</w:t>
      </w:r>
      <w:r w:rsidRPr="0089182C">
        <w:rPr>
          <w:b/>
          <w:i/>
          <w:sz w:val="24"/>
          <w:szCs w:val="24"/>
        </w:rPr>
        <w:t>e</w:t>
      </w:r>
      <w:r w:rsidR="00F3085E" w:rsidRPr="0089182C">
        <w:rPr>
          <w:b/>
          <w:i/>
          <w:sz w:val="24"/>
          <w:szCs w:val="24"/>
        </w:rPr>
        <w:t>nda para el Est</w:t>
      </w:r>
      <w:r w:rsidRPr="0089182C">
        <w:rPr>
          <w:b/>
          <w:i/>
          <w:sz w:val="24"/>
          <w:szCs w:val="24"/>
        </w:rPr>
        <w:t>ado de N</w:t>
      </w:r>
      <w:r w:rsidR="00F3085E" w:rsidRPr="0089182C">
        <w:rPr>
          <w:b/>
          <w:i/>
          <w:sz w:val="24"/>
          <w:szCs w:val="24"/>
        </w:rPr>
        <w:t>u</w:t>
      </w:r>
      <w:r w:rsidRPr="0089182C">
        <w:rPr>
          <w:b/>
          <w:i/>
          <w:sz w:val="24"/>
          <w:szCs w:val="24"/>
        </w:rPr>
        <w:t>e</w:t>
      </w:r>
      <w:r w:rsidR="00F3085E" w:rsidRPr="0089182C">
        <w:rPr>
          <w:b/>
          <w:i/>
          <w:sz w:val="24"/>
          <w:szCs w:val="24"/>
        </w:rPr>
        <w:t>vo León</w:t>
      </w:r>
    </w:p>
    <w:p w:rsidR="00F3085E" w:rsidRDefault="00F3085E" w:rsidP="0089182C">
      <w:pPr>
        <w:pStyle w:val="Texto"/>
        <w:spacing w:before="120" w:after="120" w:line="360" w:lineRule="auto"/>
        <w:ind w:left="284"/>
        <w:contextualSpacing/>
        <w:rPr>
          <w:i/>
          <w:sz w:val="24"/>
          <w:szCs w:val="24"/>
        </w:rPr>
      </w:pPr>
    </w:p>
    <w:p w:rsidR="00341F21" w:rsidRDefault="00341F21" w:rsidP="00341F21">
      <w:pPr>
        <w:pStyle w:val="Texto"/>
        <w:spacing w:before="120" w:after="120" w:line="360" w:lineRule="auto"/>
        <w:ind w:left="284"/>
        <w:contextualSpacing/>
        <w:jc w:val="center"/>
        <w:rPr>
          <w:i/>
          <w:sz w:val="24"/>
          <w:szCs w:val="24"/>
        </w:rPr>
      </w:pPr>
      <w:r>
        <w:rPr>
          <w:i/>
          <w:sz w:val="24"/>
          <w:szCs w:val="24"/>
        </w:rPr>
        <w:t>TRANSITORIOS</w:t>
      </w:r>
    </w:p>
    <w:p w:rsidR="00341F21" w:rsidRPr="0089182C" w:rsidRDefault="00341F21" w:rsidP="00341F21">
      <w:pPr>
        <w:pStyle w:val="Texto"/>
        <w:spacing w:before="120" w:after="120" w:line="360" w:lineRule="auto"/>
        <w:ind w:left="284"/>
        <w:contextualSpacing/>
        <w:jc w:val="center"/>
        <w:rPr>
          <w:i/>
          <w:sz w:val="24"/>
          <w:szCs w:val="24"/>
        </w:rPr>
      </w:pPr>
    </w:p>
    <w:p w:rsidR="00F3085E" w:rsidRPr="00277451" w:rsidRDefault="00341F21" w:rsidP="00277451">
      <w:pPr>
        <w:jc w:val="right"/>
        <w:rPr>
          <w:rFonts w:ascii="Arial" w:hAnsi="Arial" w:cs="Arial"/>
          <w:i/>
          <w:szCs w:val="24"/>
        </w:rPr>
      </w:pPr>
      <w:r w:rsidRPr="00277451">
        <w:rPr>
          <w:rFonts w:ascii="Arial" w:hAnsi="Arial" w:cs="Arial"/>
          <w:i/>
          <w:szCs w:val="24"/>
        </w:rPr>
        <w:t>Periódico Oficial del Estado de fecha  03 D DICIEMBRE DE 2015.</w:t>
      </w:r>
    </w:p>
    <w:p w:rsidR="00341F21" w:rsidRPr="0089182C" w:rsidRDefault="00341F21" w:rsidP="00277451">
      <w:pPr>
        <w:spacing w:after="0"/>
        <w:jc w:val="both"/>
        <w:rPr>
          <w:rFonts w:ascii="Arial" w:hAnsi="Arial" w:cs="Arial"/>
          <w:i/>
          <w:sz w:val="24"/>
          <w:szCs w:val="24"/>
        </w:rPr>
      </w:pPr>
    </w:p>
    <w:p w:rsidR="00F3085E" w:rsidRPr="0089182C" w:rsidRDefault="00F3085E" w:rsidP="0089182C">
      <w:pPr>
        <w:jc w:val="both"/>
        <w:rPr>
          <w:rFonts w:ascii="Arial" w:hAnsi="Arial" w:cs="Arial"/>
          <w:i/>
          <w:sz w:val="24"/>
          <w:szCs w:val="24"/>
        </w:rPr>
      </w:pPr>
      <w:r w:rsidRPr="0089182C">
        <w:rPr>
          <w:rFonts w:ascii="Arial" w:hAnsi="Arial" w:cs="Arial"/>
          <w:i/>
          <w:sz w:val="24"/>
          <w:szCs w:val="24"/>
        </w:rPr>
        <w:t>Primero.- Se derogan los artículos del 118 al 138 de la Ley de Hacienda del Estado de Nuevo León, lo cual entrará en vigor el día 1 de enero de 2018.</w:t>
      </w:r>
    </w:p>
    <w:p w:rsidR="00F3085E" w:rsidRPr="0089182C" w:rsidRDefault="00F3085E" w:rsidP="0089182C">
      <w:pPr>
        <w:jc w:val="both"/>
        <w:rPr>
          <w:rFonts w:ascii="Arial" w:hAnsi="Arial" w:cs="Arial"/>
          <w:i/>
          <w:sz w:val="24"/>
          <w:szCs w:val="24"/>
        </w:rPr>
      </w:pPr>
    </w:p>
    <w:p w:rsidR="00F3085E" w:rsidRPr="0089182C" w:rsidRDefault="00F3085E" w:rsidP="0089182C">
      <w:pPr>
        <w:jc w:val="both"/>
        <w:rPr>
          <w:rFonts w:ascii="Arial" w:hAnsi="Arial" w:cs="Arial"/>
          <w:i/>
          <w:sz w:val="24"/>
          <w:szCs w:val="24"/>
        </w:rPr>
      </w:pPr>
      <w:r w:rsidRPr="0089182C">
        <w:rPr>
          <w:rFonts w:ascii="Arial" w:hAnsi="Arial" w:cs="Arial"/>
          <w:i/>
          <w:sz w:val="24"/>
          <w:szCs w:val="24"/>
        </w:rPr>
        <w:t>(REFORMADO, P.O. 30 DE DICIEMBRE DE 2016)</w:t>
      </w:r>
    </w:p>
    <w:p w:rsidR="00F3085E" w:rsidRPr="0089182C" w:rsidRDefault="00F3085E" w:rsidP="0089182C">
      <w:pPr>
        <w:ind w:right="-1"/>
        <w:jc w:val="both"/>
        <w:rPr>
          <w:rFonts w:ascii="Arial" w:eastAsia="Arial" w:hAnsi="Arial" w:cs="Arial"/>
          <w:bCs/>
          <w:i/>
          <w:sz w:val="24"/>
          <w:szCs w:val="24"/>
          <w:lang w:eastAsia="es-MX"/>
        </w:rPr>
      </w:pPr>
      <w:r w:rsidRPr="0089182C">
        <w:rPr>
          <w:rFonts w:ascii="Arial" w:eastAsia="Arial" w:hAnsi="Arial" w:cs="Arial"/>
          <w:bCs/>
          <w:i/>
          <w:sz w:val="24"/>
          <w:szCs w:val="24"/>
          <w:lang w:eastAsia="es-MX"/>
        </w:rPr>
        <w:t>Segundo.- A fin de eliminar de manera gradual el impuesto Sobre Tenencia o Uso de Vehículos, el importe del impuesto que resulte de aplicar lo dispuesto en los artículos 118 al 138 de la Ley de Hacienda del Estado de Nuevo León, se reducirá en los subsecuentes ejercicios fiscales, en los porcentajes siguientes:</w:t>
      </w:r>
    </w:p>
    <w:p w:rsidR="00F3085E" w:rsidRPr="0089182C" w:rsidRDefault="00F3085E" w:rsidP="00F3085E">
      <w:pPr>
        <w:ind w:right="-1"/>
        <w:rPr>
          <w:rFonts w:ascii="Arial" w:eastAsia="Arial" w:hAnsi="Arial" w:cs="Arial"/>
          <w:bCs/>
          <w:i/>
          <w:sz w:val="24"/>
          <w:szCs w:val="24"/>
          <w:lang w:eastAsia="es-MX"/>
        </w:rPr>
      </w:pPr>
    </w:p>
    <w:tbl>
      <w:tblPr>
        <w:tblW w:w="5387"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828"/>
      </w:tblGrid>
      <w:tr w:rsidR="00F3085E" w:rsidRPr="0089182C" w:rsidTr="00277451">
        <w:trPr>
          <w:trHeight w:val="751"/>
        </w:trPr>
        <w:tc>
          <w:tcPr>
            <w:tcW w:w="1559" w:type="dxa"/>
            <w:shd w:val="clear" w:color="auto" w:fill="BFBFBF"/>
            <w:vAlign w:val="center"/>
          </w:tcPr>
          <w:p w:rsidR="00F3085E" w:rsidRPr="0089182C" w:rsidRDefault="00F3085E" w:rsidP="00277451">
            <w:pPr>
              <w:ind w:right="-1"/>
              <w:jc w:val="center"/>
              <w:rPr>
                <w:rFonts w:ascii="Arial" w:eastAsia="Arial" w:hAnsi="Arial" w:cs="Arial"/>
                <w:bCs/>
                <w:i/>
                <w:sz w:val="24"/>
                <w:szCs w:val="24"/>
                <w:lang w:eastAsia="es-MX"/>
              </w:rPr>
            </w:pPr>
            <w:r w:rsidRPr="0089182C">
              <w:rPr>
                <w:rFonts w:ascii="Arial" w:eastAsia="Arial" w:hAnsi="Arial" w:cs="Arial"/>
                <w:bCs/>
                <w:i/>
                <w:sz w:val="24"/>
                <w:szCs w:val="24"/>
                <w:lang w:eastAsia="es-MX"/>
              </w:rPr>
              <w:t>Año</w:t>
            </w:r>
          </w:p>
        </w:tc>
        <w:tc>
          <w:tcPr>
            <w:tcW w:w="3828" w:type="dxa"/>
            <w:shd w:val="clear" w:color="auto" w:fill="BFBFBF"/>
            <w:vAlign w:val="center"/>
          </w:tcPr>
          <w:p w:rsidR="00F3085E" w:rsidRPr="0089182C" w:rsidRDefault="00F3085E" w:rsidP="00277451">
            <w:pPr>
              <w:spacing w:after="0"/>
              <w:ind w:right="-1"/>
              <w:jc w:val="center"/>
              <w:rPr>
                <w:rFonts w:ascii="Arial" w:eastAsia="Arial" w:hAnsi="Arial" w:cs="Arial"/>
                <w:bCs/>
                <w:i/>
                <w:sz w:val="24"/>
                <w:szCs w:val="24"/>
                <w:lang w:eastAsia="es-MX"/>
              </w:rPr>
            </w:pPr>
            <w:r w:rsidRPr="0089182C">
              <w:rPr>
                <w:rFonts w:ascii="Arial" w:eastAsia="Arial" w:hAnsi="Arial" w:cs="Arial"/>
                <w:bCs/>
                <w:i/>
                <w:sz w:val="24"/>
                <w:szCs w:val="24"/>
                <w:lang w:eastAsia="es-MX"/>
              </w:rPr>
              <w:t>Porcentaje de</w:t>
            </w:r>
          </w:p>
          <w:p w:rsidR="00F3085E" w:rsidRPr="0089182C" w:rsidRDefault="00F3085E" w:rsidP="00277451">
            <w:pPr>
              <w:ind w:right="-1"/>
              <w:jc w:val="center"/>
              <w:rPr>
                <w:rFonts w:ascii="Arial" w:eastAsia="Arial" w:hAnsi="Arial" w:cs="Arial"/>
                <w:bCs/>
                <w:i/>
                <w:sz w:val="24"/>
                <w:szCs w:val="24"/>
                <w:lang w:eastAsia="es-MX"/>
              </w:rPr>
            </w:pPr>
            <w:r w:rsidRPr="0089182C">
              <w:rPr>
                <w:rFonts w:ascii="Arial" w:eastAsia="Arial" w:hAnsi="Arial" w:cs="Arial"/>
                <w:bCs/>
                <w:i/>
                <w:sz w:val="24"/>
                <w:szCs w:val="24"/>
                <w:lang w:eastAsia="es-MX"/>
              </w:rPr>
              <w:t>Reduccón</w:t>
            </w:r>
          </w:p>
        </w:tc>
      </w:tr>
      <w:tr w:rsidR="00F3085E" w:rsidRPr="0089182C" w:rsidTr="006F48FB">
        <w:tc>
          <w:tcPr>
            <w:tcW w:w="1559" w:type="dxa"/>
            <w:shd w:val="clear" w:color="auto" w:fill="auto"/>
          </w:tcPr>
          <w:p w:rsidR="00F3085E" w:rsidRPr="0089182C" w:rsidRDefault="00F3085E" w:rsidP="006F48FB">
            <w:pPr>
              <w:ind w:right="-1"/>
              <w:jc w:val="center"/>
              <w:rPr>
                <w:rFonts w:ascii="Arial" w:eastAsia="Arial" w:hAnsi="Arial" w:cs="Arial"/>
                <w:bCs/>
                <w:i/>
                <w:sz w:val="24"/>
                <w:szCs w:val="24"/>
                <w:lang w:eastAsia="es-MX"/>
              </w:rPr>
            </w:pPr>
            <w:r w:rsidRPr="0089182C">
              <w:rPr>
                <w:rFonts w:ascii="Arial" w:eastAsia="Arial" w:hAnsi="Arial" w:cs="Arial"/>
                <w:bCs/>
                <w:i/>
                <w:sz w:val="24"/>
                <w:szCs w:val="24"/>
                <w:lang w:eastAsia="es-MX"/>
              </w:rPr>
              <w:t>2017</w:t>
            </w:r>
          </w:p>
        </w:tc>
        <w:tc>
          <w:tcPr>
            <w:tcW w:w="3828" w:type="dxa"/>
            <w:shd w:val="clear" w:color="auto" w:fill="auto"/>
          </w:tcPr>
          <w:p w:rsidR="00F3085E" w:rsidRPr="0089182C" w:rsidRDefault="00F3085E" w:rsidP="006F48FB">
            <w:pPr>
              <w:ind w:right="-1"/>
              <w:jc w:val="center"/>
              <w:rPr>
                <w:rFonts w:ascii="Arial" w:eastAsia="Arial" w:hAnsi="Arial" w:cs="Arial"/>
                <w:bCs/>
                <w:i/>
                <w:sz w:val="24"/>
                <w:szCs w:val="24"/>
                <w:lang w:eastAsia="es-MX"/>
              </w:rPr>
            </w:pPr>
            <w:r w:rsidRPr="0089182C">
              <w:rPr>
                <w:rFonts w:ascii="Arial" w:eastAsia="Arial" w:hAnsi="Arial" w:cs="Arial"/>
                <w:bCs/>
                <w:i/>
                <w:sz w:val="24"/>
                <w:szCs w:val="24"/>
                <w:lang w:eastAsia="es-MX"/>
              </w:rPr>
              <w:t>20%</w:t>
            </w:r>
          </w:p>
        </w:tc>
      </w:tr>
      <w:tr w:rsidR="00F3085E" w:rsidRPr="0089182C" w:rsidTr="006F48FB">
        <w:tc>
          <w:tcPr>
            <w:tcW w:w="1559" w:type="dxa"/>
            <w:shd w:val="clear" w:color="auto" w:fill="auto"/>
          </w:tcPr>
          <w:p w:rsidR="00F3085E" w:rsidRPr="0089182C" w:rsidRDefault="00F3085E" w:rsidP="006F48FB">
            <w:pPr>
              <w:ind w:right="-1"/>
              <w:jc w:val="center"/>
              <w:rPr>
                <w:rFonts w:ascii="Arial" w:eastAsia="Arial" w:hAnsi="Arial" w:cs="Arial"/>
                <w:bCs/>
                <w:i/>
                <w:sz w:val="24"/>
                <w:szCs w:val="24"/>
                <w:lang w:eastAsia="es-MX"/>
              </w:rPr>
            </w:pPr>
            <w:r w:rsidRPr="0089182C">
              <w:rPr>
                <w:rFonts w:ascii="Arial" w:eastAsia="Arial" w:hAnsi="Arial" w:cs="Arial"/>
                <w:bCs/>
                <w:i/>
                <w:sz w:val="24"/>
                <w:szCs w:val="24"/>
                <w:lang w:eastAsia="es-MX"/>
              </w:rPr>
              <w:t>2018</w:t>
            </w:r>
          </w:p>
        </w:tc>
        <w:tc>
          <w:tcPr>
            <w:tcW w:w="3828" w:type="dxa"/>
            <w:shd w:val="clear" w:color="auto" w:fill="auto"/>
          </w:tcPr>
          <w:p w:rsidR="00F3085E" w:rsidRPr="0089182C" w:rsidRDefault="00F3085E" w:rsidP="006F48FB">
            <w:pPr>
              <w:ind w:right="-1"/>
              <w:jc w:val="center"/>
              <w:rPr>
                <w:rFonts w:ascii="Arial" w:eastAsia="Arial" w:hAnsi="Arial" w:cs="Arial"/>
                <w:bCs/>
                <w:i/>
                <w:sz w:val="24"/>
                <w:szCs w:val="24"/>
                <w:lang w:eastAsia="es-MX"/>
              </w:rPr>
            </w:pPr>
            <w:r w:rsidRPr="0089182C">
              <w:rPr>
                <w:rFonts w:ascii="Arial" w:eastAsia="Arial" w:hAnsi="Arial" w:cs="Arial"/>
                <w:bCs/>
                <w:i/>
                <w:sz w:val="24"/>
                <w:szCs w:val="24"/>
                <w:lang w:eastAsia="es-MX"/>
              </w:rPr>
              <w:t>100%</w:t>
            </w:r>
          </w:p>
        </w:tc>
      </w:tr>
    </w:tbl>
    <w:p w:rsidR="0089182C" w:rsidRDefault="0089182C" w:rsidP="0089182C">
      <w:pPr>
        <w:pStyle w:val="Texto"/>
        <w:spacing w:before="120" w:after="120" w:line="360" w:lineRule="auto"/>
        <w:ind w:firstLine="0"/>
        <w:contextualSpacing/>
        <w:rPr>
          <w:sz w:val="24"/>
          <w:szCs w:val="24"/>
        </w:rPr>
      </w:pPr>
    </w:p>
    <w:p w:rsidR="00F3085E" w:rsidRPr="00277451" w:rsidRDefault="0089182C" w:rsidP="00277451">
      <w:pPr>
        <w:spacing w:before="38" w:after="0" w:line="360" w:lineRule="auto"/>
        <w:ind w:right="-1" w:firstLine="567"/>
        <w:jc w:val="both"/>
        <w:rPr>
          <w:rFonts w:ascii="Arial" w:hAnsi="Arial" w:cs="Arial"/>
          <w:sz w:val="24"/>
          <w:szCs w:val="24"/>
        </w:rPr>
      </w:pPr>
      <w:r w:rsidRPr="00277451">
        <w:rPr>
          <w:rFonts w:ascii="Arial" w:hAnsi="Arial" w:cs="Arial"/>
          <w:sz w:val="24"/>
          <w:szCs w:val="24"/>
        </w:rPr>
        <w:lastRenderedPageBreak/>
        <w:t>Ahora bien</w:t>
      </w:r>
      <w:r w:rsidR="00F3085E" w:rsidRPr="00277451">
        <w:rPr>
          <w:rFonts w:ascii="Arial" w:hAnsi="Arial" w:cs="Arial"/>
          <w:sz w:val="24"/>
          <w:szCs w:val="24"/>
        </w:rPr>
        <w:t>, en el rubro de Derechos,</w:t>
      </w:r>
      <w:r w:rsidR="000E2DE6" w:rsidRPr="00277451">
        <w:rPr>
          <w:rFonts w:ascii="Arial" w:hAnsi="Arial" w:cs="Arial"/>
          <w:sz w:val="24"/>
          <w:szCs w:val="24"/>
        </w:rPr>
        <w:t xml:space="preserve"> </w:t>
      </w:r>
      <w:r w:rsidR="00341F21" w:rsidRPr="00277451">
        <w:rPr>
          <w:rFonts w:ascii="Arial" w:hAnsi="Arial" w:cs="Arial"/>
          <w:sz w:val="24"/>
          <w:szCs w:val="24"/>
        </w:rPr>
        <w:t>cuyo comportam</w:t>
      </w:r>
      <w:r w:rsidR="000E2DE6" w:rsidRPr="00277451">
        <w:rPr>
          <w:rFonts w:ascii="Arial" w:hAnsi="Arial" w:cs="Arial"/>
          <w:sz w:val="24"/>
          <w:szCs w:val="24"/>
        </w:rPr>
        <w:t>i</w:t>
      </w:r>
      <w:r w:rsidR="00341F21" w:rsidRPr="00277451">
        <w:rPr>
          <w:rFonts w:ascii="Arial" w:hAnsi="Arial" w:cs="Arial"/>
          <w:sz w:val="24"/>
          <w:szCs w:val="24"/>
        </w:rPr>
        <w:t>e</w:t>
      </w:r>
      <w:r w:rsidR="000E2DE6" w:rsidRPr="00277451">
        <w:rPr>
          <w:rFonts w:ascii="Arial" w:hAnsi="Arial" w:cs="Arial"/>
          <w:sz w:val="24"/>
          <w:szCs w:val="24"/>
        </w:rPr>
        <w:t>nto</w:t>
      </w:r>
      <w:r w:rsidR="00341F21" w:rsidRPr="00277451">
        <w:rPr>
          <w:rFonts w:ascii="Arial" w:hAnsi="Arial" w:cs="Arial"/>
          <w:sz w:val="24"/>
          <w:szCs w:val="24"/>
        </w:rPr>
        <w:t xml:space="preserve"> está estrechamente re</w:t>
      </w:r>
      <w:r w:rsidR="000E2DE6" w:rsidRPr="00277451">
        <w:rPr>
          <w:rFonts w:ascii="Arial" w:hAnsi="Arial" w:cs="Arial"/>
          <w:sz w:val="24"/>
          <w:szCs w:val="24"/>
        </w:rPr>
        <w:t>l</w:t>
      </w:r>
      <w:r w:rsidR="00341F21" w:rsidRPr="00277451">
        <w:rPr>
          <w:rFonts w:ascii="Arial" w:hAnsi="Arial" w:cs="Arial"/>
          <w:sz w:val="24"/>
          <w:szCs w:val="24"/>
        </w:rPr>
        <w:t>a</w:t>
      </w:r>
      <w:r w:rsidR="000E2DE6" w:rsidRPr="00277451">
        <w:rPr>
          <w:rFonts w:ascii="Arial" w:hAnsi="Arial" w:cs="Arial"/>
          <w:sz w:val="24"/>
          <w:szCs w:val="24"/>
        </w:rPr>
        <w:t xml:space="preserve">cionado con la demanda de servicios públicos, que utilizamos todos los ciudadanos, se analiza </w:t>
      </w:r>
      <w:r w:rsidR="003B5CA4" w:rsidRPr="00277451">
        <w:rPr>
          <w:rFonts w:ascii="Arial" w:hAnsi="Arial" w:cs="Arial"/>
          <w:sz w:val="24"/>
          <w:szCs w:val="24"/>
        </w:rPr>
        <w:t xml:space="preserve"> que para el año 2018</w:t>
      </w:r>
      <w:r w:rsidR="00F3085E" w:rsidRPr="00277451">
        <w:rPr>
          <w:rFonts w:ascii="Arial" w:hAnsi="Arial" w:cs="Arial"/>
          <w:sz w:val="24"/>
          <w:szCs w:val="24"/>
        </w:rPr>
        <w:t xml:space="preserve"> se pr</w:t>
      </w:r>
      <w:r w:rsidR="003B5CA4" w:rsidRPr="00277451">
        <w:rPr>
          <w:rFonts w:ascii="Arial" w:hAnsi="Arial" w:cs="Arial"/>
          <w:sz w:val="24"/>
          <w:szCs w:val="24"/>
        </w:rPr>
        <w:t>onostica que ronden alrededor d</w:t>
      </w:r>
      <w:r w:rsidR="00F3085E" w:rsidRPr="00277451">
        <w:rPr>
          <w:rFonts w:ascii="Arial" w:hAnsi="Arial" w:cs="Arial"/>
          <w:sz w:val="24"/>
          <w:szCs w:val="24"/>
        </w:rPr>
        <w:t>e</w:t>
      </w:r>
      <w:r w:rsidR="003B5CA4" w:rsidRPr="00277451">
        <w:rPr>
          <w:rFonts w:ascii="Arial" w:hAnsi="Arial" w:cs="Arial"/>
          <w:sz w:val="24"/>
          <w:szCs w:val="24"/>
        </w:rPr>
        <w:t xml:space="preserve"> </w:t>
      </w:r>
      <w:r w:rsidR="00F3085E" w:rsidRPr="00277451">
        <w:rPr>
          <w:rFonts w:ascii="Arial" w:hAnsi="Arial" w:cs="Arial"/>
          <w:sz w:val="24"/>
          <w:szCs w:val="24"/>
        </w:rPr>
        <w:t xml:space="preserve">los </w:t>
      </w:r>
      <w:r w:rsidR="00341F21" w:rsidRPr="00277451">
        <w:rPr>
          <w:rFonts w:ascii="Arial" w:hAnsi="Arial" w:cs="Arial"/>
          <w:sz w:val="24"/>
          <w:szCs w:val="24"/>
        </w:rPr>
        <w:t>$</w:t>
      </w:r>
      <w:r w:rsidR="003B5CA4" w:rsidRPr="00277451">
        <w:rPr>
          <w:rFonts w:ascii="Arial" w:hAnsi="Arial" w:cs="Arial"/>
          <w:sz w:val="24"/>
          <w:szCs w:val="24"/>
        </w:rPr>
        <w:t>1,445</w:t>
      </w:r>
      <w:r w:rsidR="00277451">
        <w:rPr>
          <w:rFonts w:ascii="Arial" w:hAnsi="Arial" w:cs="Arial"/>
          <w:sz w:val="24"/>
          <w:szCs w:val="24"/>
        </w:rPr>
        <w:t>´</w:t>
      </w:r>
      <w:r w:rsidR="003B5CA4" w:rsidRPr="00277451">
        <w:rPr>
          <w:rFonts w:ascii="Arial" w:hAnsi="Arial" w:cs="Arial"/>
          <w:sz w:val="24"/>
          <w:szCs w:val="24"/>
        </w:rPr>
        <w:t>216,620 pesos, s</w:t>
      </w:r>
      <w:r w:rsidR="00F3085E" w:rsidRPr="00277451">
        <w:rPr>
          <w:rFonts w:ascii="Arial" w:hAnsi="Arial" w:cs="Arial"/>
          <w:sz w:val="24"/>
          <w:szCs w:val="24"/>
        </w:rPr>
        <w:t>iendo que en el año pasado se aprobaron dentro de la citada ley en comento la cantidad de</w:t>
      </w:r>
      <w:r w:rsidR="00341F21" w:rsidRPr="00277451">
        <w:rPr>
          <w:rFonts w:ascii="Arial" w:hAnsi="Arial" w:cs="Arial"/>
          <w:sz w:val="24"/>
          <w:szCs w:val="24"/>
        </w:rPr>
        <w:t xml:space="preserve"> $</w:t>
      </w:r>
      <w:r w:rsidR="003B5CA4" w:rsidRPr="00277451">
        <w:rPr>
          <w:rFonts w:ascii="Arial" w:hAnsi="Arial" w:cs="Arial"/>
          <w:sz w:val="24"/>
          <w:szCs w:val="24"/>
        </w:rPr>
        <w:t>1,388</w:t>
      </w:r>
      <w:r w:rsidR="00277451">
        <w:rPr>
          <w:rFonts w:ascii="Arial" w:hAnsi="Arial" w:cs="Arial"/>
          <w:sz w:val="24"/>
          <w:szCs w:val="24"/>
        </w:rPr>
        <w:t>´</w:t>
      </w:r>
      <w:r w:rsidR="003B5CA4" w:rsidRPr="00277451">
        <w:rPr>
          <w:rFonts w:ascii="Arial" w:hAnsi="Arial" w:cs="Arial"/>
          <w:sz w:val="24"/>
          <w:szCs w:val="24"/>
        </w:rPr>
        <w:t>115,732</w:t>
      </w:r>
      <w:r w:rsidR="00341F21" w:rsidRPr="00277451">
        <w:rPr>
          <w:rFonts w:ascii="Arial" w:hAnsi="Arial" w:cs="Arial"/>
          <w:sz w:val="24"/>
          <w:szCs w:val="24"/>
        </w:rPr>
        <w:t xml:space="preserve"> pesos.</w:t>
      </w:r>
    </w:p>
    <w:p w:rsidR="000E2DE6" w:rsidRPr="00F44628" w:rsidRDefault="000E2DE6" w:rsidP="000E2DE6">
      <w:pPr>
        <w:pStyle w:val="Texto"/>
        <w:spacing w:before="120" w:after="120" w:line="360" w:lineRule="auto"/>
        <w:ind w:firstLine="0"/>
        <w:contextualSpacing/>
        <w:rPr>
          <w:sz w:val="24"/>
          <w:szCs w:val="24"/>
        </w:rPr>
      </w:pPr>
    </w:p>
    <w:p w:rsidR="000E2DE6" w:rsidRPr="00F44628" w:rsidRDefault="003B5CA4" w:rsidP="00F44628">
      <w:pPr>
        <w:spacing w:before="38" w:after="0" w:line="360" w:lineRule="auto"/>
        <w:ind w:right="-1" w:firstLine="567"/>
        <w:jc w:val="both"/>
        <w:rPr>
          <w:rFonts w:ascii="Arial" w:hAnsi="Arial" w:cs="Arial"/>
          <w:bCs/>
          <w:sz w:val="24"/>
          <w:szCs w:val="24"/>
        </w:rPr>
      </w:pPr>
      <w:r w:rsidRPr="00F44628">
        <w:rPr>
          <w:rFonts w:ascii="Arial" w:hAnsi="Arial" w:cs="Arial"/>
          <w:sz w:val="24"/>
          <w:szCs w:val="24"/>
        </w:rPr>
        <w:t xml:space="preserve">Respecto a los </w:t>
      </w:r>
      <w:r w:rsidR="00277451" w:rsidRPr="00F44628">
        <w:rPr>
          <w:rFonts w:ascii="Arial" w:hAnsi="Arial" w:cs="Arial"/>
          <w:sz w:val="24"/>
          <w:szCs w:val="24"/>
        </w:rPr>
        <w:t>P</w:t>
      </w:r>
      <w:r w:rsidR="000E2DE6" w:rsidRPr="00F44628">
        <w:rPr>
          <w:rFonts w:ascii="Arial" w:hAnsi="Arial" w:cs="Arial"/>
          <w:sz w:val="24"/>
          <w:szCs w:val="24"/>
        </w:rPr>
        <w:t>roductos, se reitera que por e</w:t>
      </w:r>
      <w:r w:rsidRPr="00F44628">
        <w:rPr>
          <w:rFonts w:ascii="Arial" w:hAnsi="Arial" w:cs="Arial"/>
          <w:sz w:val="24"/>
          <w:szCs w:val="24"/>
        </w:rPr>
        <w:t xml:space="preserve">ste tipo de conceptos, relacionados </w:t>
      </w:r>
      <w:r w:rsidR="000E2DE6" w:rsidRPr="00F44628">
        <w:rPr>
          <w:rFonts w:ascii="Arial" w:hAnsi="Arial" w:cs="Arial"/>
          <w:sz w:val="24"/>
          <w:szCs w:val="24"/>
        </w:rPr>
        <w:t>con la generación de rendimientos derivados de actividades que no pertenecen a fines o proyectos gubernamentale</w:t>
      </w:r>
      <w:r w:rsidRPr="00F44628">
        <w:rPr>
          <w:rFonts w:ascii="Arial" w:hAnsi="Arial" w:cs="Arial"/>
          <w:sz w:val="24"/>
          <w:szCs w:val="24"/>
        </w:rPr>
        <w:t xml:space="preserve">s se estimaron para el año 2017, la cantidad de </w:t>
      </w:r>
      <w:r w:rsidR="00341F21" w:rsidRPr="00F44628">
        <w:rPr>
          <w:rFonts w:ascii="Arial" w:hAnsi="Arial" w:cs="Arial"/>
          <w:sz w:val="24"/>
          <w:szCs w:val="24"/>
        </w:rPr>
        <w:t>$</w:t>
      </w:r>
      <w:r w:rsidRPr="00F44628">
        <w:rPr>
          <w:rFonts w:ascii="Arial" w:hAnsi="Arial" w:cs="Arial"/>
          <w:sz w:val="24"/>
          <w:szCs w:val="24"/>
        </w:rPr>
        <w:t>350</w:t>
      </w:r>
      <w:r w:rsidR="00277451" w:rsidRPr="00F44628">
        <w:rPr>
          <w:rFonts w:ascii="Arial" w:hAnsi="Arial" w:cs="Arial"/>
          <w:sz w:val="24"/>
          <w:szCs w:val="24"/>
        </w:rPr>
        <w:t>´</w:t>
      </w:r>
      <w:r w:rsidRPr="00F44628">
        <w:rPr>
          <w:rFonts w:ascii="Arial" w:hAnsi="Arial" w:cs="Arial"/>
          <w:sz w:val="24"/>
          <w:szCs w:val="24"/>
        </w:rPr>
        <w:t>601,187</w:t>
      </w:r>
      <w:r w:rsidR="00341F21" w:rsidRPr="00F44628">
        <w:rPr>
          <w:rFonts w:ascii="Arial" w:hAnsi="Arial" w:cs="Arial"/>
          <w:bCs/>
          <w:sz w:val="24"/>
          <w:szCs w:val="24"/>
        </w:rPr>
        <w:t xml:space="preserve"> pesos,</w:t>
      </w:r>
      <w:r w:rsidR="000E2DE6" w:rsidRPr="00F44628">
        <w:rPr>
          <w:rFonts w:ascii="Arial" w:hAnsi="Arial" w:cs="Arial"/>
          <w:bCs/>
          <w:sz w:val="24"/>
          <w:szCs w:val="24"/>
        </w:rPr>
        <w:t xml:space="preserve"> s</w:t>
      </w:r>
      <w:r w:rsidRPr="00F44628">
        <w:rPr>
          <w:rFonts w:ascii="Arial" w:hAnsi="Arial" w:cs="Arial"/>
          <w:bCs/>
          <w:sz w:val="24"/>
          <w:szCs w:val="24"/>
        </w:rPr>
        <w:t>iendo que para el próximo año se visualizan por la cantidad de</w:t>
      </w:r>
      <w:r w:rsidR="00341F21" w:rsidRPr="00F44628">
        <w:rPr>
          <w:rFonts w:ascii="Arial" w:hAnsi="Arial" w:cs="Arial"/>
          <w:bCs/>
          <w:sz w:val="24"/>
          <w:szCs w:val="24"/>
        </w:rPr>
        <w:t xml:space="preserve"> $</w:t>
      </w:r>
      <w:r w:rsidRPr="00F44628">
        <w:rPr>
          <w:rFonts w:ascii="Arial" w:hAnsi="Arial" w:cs="Arial"/>
          <w:bCs/>
          <w:sz w:val="24"/>
          <w:szCs w:val="24"/>
        </w:rPr>
        <w:t>264</w:t>
      </w:r>
      <w:r w:rsidR="00277451" w:rsidRPr="00F44628">
        <w:rPr>
          <w:rFonts w:ascii="Arial" w:hAnsi="Arial" w:cs="Arial"/>
          <w:bCs/>
          <w:sz w:val="24"/>
          <w:szCs w:val="24"/>
        </w:rPr>
        <w:t>´</w:t>
      </w:r>
      <w:r w:rsidRPr="00F44628">
        <w:rPr>
          <w:rFonts w:ascii="Arial" w:hAnsi="Arial" w:cs="Arial"/>
          <w:bCs/>
          <w:sz w:val="24"/>
          <w:szCs w:val="24"/>
        </w:rPr>
        <w:t>866,810 pesos.</w:t>
      </w:r>
    </w:p>
    <w:p w:rsidR="000E2DE6" w:rsidRPr="00F44628" w:rsidRDefault="000E2DE6" w:rsidP="000E2DE6">
      <w:pPr>
        <w:pStyle w:val="Texto"/>
        <w:spacing w:before="120" w:after="120" w:line="360" w:lineRule="auto"/>
        <w:ind w:firstLine="0"/>
        <w:contextualSpacing/>
        <w:rPr>
          <w:bCs/>
          <w:sz w:val="24"/>
          <w:szCs w:val="24"/>
        </w:rPr>
      </w:pPr>
    </w:p>
    <w:p w:rsidR="000E2DE6" w:rsidRPr="00F44628" w:rsidRDefault="000E2DE6" w:rsidP="00F44628">
      <w:pPr>
        <w:spacing w:before="38" w:after="0" w:line="360" w:lineRule="auto"/>
        <w:ind w:right="-1" w:firstLine="567"/>
        <w:jc w:val="both"/>
        <w:rPr>
          <w:rFonts w:ascii="Arial" w:hAnsi="Arial" w:cs="Arial"/>
          <w:bCs/>
          <w:sz w:val="24"/>
          <w:szCs w:val="24"/>
        </w:rPr>
      </w:pPr>
      <w:r w:rsidRPr="00F44628">
        <w:rPr>
          <w:rFonts w:ascii="Arial" w:hAnsi="Arial" w:cs="Arial"/>
          <w:bCs/>
          <w:sz w:val="24"/>
          <w:szCs w:val="24"/>
        </w:rPr>
        <w:t>E</w:t>
      </w:r>
      <w:r w:rsidR="00341F21" w:rsidRPr="00F44628">
        <w:rPr>
          <w:rFonts w:ascii="Arial" w:hAnsi="Arial" w:cs="Arial"/>
          <w:bCs/>
          <w:sz w:val="24"/>
          <w:szCs w:val="24"/>
        </w:rPr>
        <w:t xml:space="preserve">n cuanto a los </w:t>
      </w:r>
      <w:r w:rsidR="00277451" w:rsidRPr="00F44628">
        <w:rPr>
          <w:rFonts w:ascii="Arial" w:hAnsi="Arial" w:cs="Arial"/>
          <w:bCs/>
          <w:sz w:val="24"/>
          <w:szCs w:val="24"/>
        </w:rPr>
        <w:t>A</w:t>
      </w:r>
      <w:r w:rsidR="00341F21" w:rsidRPr="00F44628">
        <w:rPr>
          <w:rFonts w:ascii="Arial" w:hAnsi="Arial" w:cs="Arial"/>
          <w:bCs/>
          <w:sz w:val="24"/>
          <w:szCs w:val="24"/>
        </w:rPr>
        <w:t>provechamientos, cuya actividad es</w:t>
      </w:r>
      <w:r w:rsidR="003065B1" w:rsidRPr="00F44628">
        <w:rPr>
          <w:rFonts w:ascii="Arial" w:hAnsi="Arial" w:cs="Arial"/>
          <w:bCs/>
          <w:sz w:val="24"/>
          <w:szCs w:val="24"/>
        </w:rPr>
        <w:t>t</w:t>
      </w:r>
      <w:r w:rsidR="00341F21" w:rsidRPr="00F44628">
        <w:rPr>
          <w:rFonts w:ascii="Arial" w:hAnsi="Arial" w:cs="Arial"/>
          <w:bCs/>
          <w:sz w:val="24"/>
          <w:szCs w:val="24"/>
        </w:rPr>
        <w:t>á</w:t>
      </w:r>
      <w:r w:rsidR="003065B1" w:rsidRPr="00F44628">
        <w:rPr>
          <w:rFonts w:ascii="Arial" w:hAnsi="Arial" w:cs="Arial"/>
          <w:bCs/>
          <w:sz w:val="24"/>
          <w:szCs w:val="24"/>
        </w:rPr>
        <w:t xml:space="preserve"> ligada a actividades productivas, en e</w:t>
      </w:r>
      <w:r w:rsidR="00341F21" w:rsidRPr="00F44628">
        <w:rPr>
          <w:rFonts w:ascii="Arial" w:hAnsi="Arial" w:cs="Arial"/>
          <w:bCs/>
          <w:sz w:val="24"/>
          <w:szCs w:val="24"/>
        </w:rPr>
        <w:t>l año 2017 se presupuestó</w:t>
      </w:r>
      <w:r w:rsidR="003065B1" w:rsidRPr="00F44628">
        <w:rPr>
          <w:rFonts w:ascii="Arial" w:hAnsi="Arial" w:cs="Arial"/>
          <w:bCs/>
          <w:sz w:val="24"/>
          <w:szCs w:val="24"/>
        </w:rPr>
        <w:t xml:space="preserve"> la cantidad de </w:t>
      </w:r>
      <w:r w:rsidR="00341F21" w:rsidRPr="00F44628">
        <w:rPr>
          <w:rFonts w:ascii="Arial" w:hAnsi="Arial" w:cs="Arial"/>
          <w:bCs/>
          <w:sz w:val="24"/>
          <w:szCs w:val="24"/>
        </w:rPr>
        <w:t>$</w:t>
      </w:r>
      <w:r w:rsidR="003065B1" w:rsidRPr="00F44628">
        <w:rPr>
          <w:rFonts w:ascii="Arial" w:hAnsi="Arial" w:cs="Arial"/>
          <w:bCs/>
          <w:sz w:val="24"/>
          <w:szCs w:val="24"/>
        </w:rPr>
        <w:t>3,037</w:t>
      </w:r>
      <w:r w:rsidR="00277451" w:rsidRPr="00F44628">
        <w:rPr>
          <w:rFonts w:ascii="Arial" w:hAnsi="Arial" w:cs="Arial"/>
          <w:bCs/>
          <w:sz w:val="24"/>
          <w:szCs w:val="24"/>
        </w:rPr>
        <w:t>´</w:t>
      </w:r>
      <w:r w:rsidR="003065B1" w:rsidRPr="00F44628">
        <w:rPr>
          <w:rFonts w:ascii="Arial" w:hAnsi="Arial" w:cs="Arial"/>
          <w:bCs/>
          <w:sz w:val="24"/>
          <w:szCs w:val="24"/>
        </w:rPr>
        <w:t>537,648</w:t>
      </w:r>
      <w:r w:rsidR="00341F21" w:rsidRPr="00F44628">
        <w:rPr>
          <w:rFonts w:ascii="Arial" w:hAnsi="Arial" w:cs="Arial"/>
          <w:bCs/>
          <w:sz w:val="24"/>
          <w:szCs w:val="24"/>
        </w:rPr>
        <w:t xml:space="preserve"> pesos,</w:t>
      </w:r>
      <w:r w:rsidR="003065B1" w:rsidRPr="00F44628">
        <w:rPr>
          <w:rFonts w:ascii="Arial" w:hAnsi="Arial" w:cs="Arial"/>
          <w:bCs/>
          <w:sz w:val="24"/>
          <w:szCs w:val="24"/>
        </w:rPr>
        <w:t xml:space="preserve"> mientras que para este año 2018, la cifra estimada ronda alrededor de los </w:t>
      </w:r>
      <w:r w:rsidR="00341F21" w:rsidRPr="00F44628">
        <w:rPr>
          <w:rFonts w:ascii="Arial" w:hAnsi="Arial" w:cs="Arial"/>
          <w:bCs/>
          <w:sz w:val="24"/>
          <w:szCs w:val="24"/>
        </w:rPr>
        <w:t>$</w:t>
      </w:r>
      <w:r w:rsidR="003065B1" w:rsidRPr="00F44628">
        <w:rPr>
          <w:rFonts w:ascii="Arial" w:hAnsi="Arial" w:cs="Arial"/>
          <w:bCs/>
          <w:sz w:val="24"/>
          <w:szCs w:val="24"/>
        </w:rPr>
        <w:t>4,650</w:t>
      </w:r>
      <w:r w:rsidR="00277451" w:rsidRPr="00F44628">
        <w:rPr>
          <w:rFonts w:ascii="Arial" w:hAnsi="Arial" w:cs="Arial"/>
          <w:bCs/>
          <w:sz w:val="24"/>
          <w:szCs w:val="24"/>
        </w:rPr>
        <w:t>´</w:t>
      </w:r>
      <w:r w:rsidR="003065B1" w:rsidRPr="00F44628">
        <w:rPr>
          <w:rFonts w:ascii="Arial" w:hAnsi="Arial" w:cs="Arial"/>
          <w:bCs/>
          <w:sz w:val="24"/>
          <w:szCs w:val="24"/>
        </w:rPr>
        <w:t>258,764</w:t>
      </w:r>
      <w:r w:rsidR="00341F21" w:rsidRPr="00F44628">
        <w:rPr>
          <w:rFonts w:ascii="Arial" w:hAnsi="Arial" w:cs="Arial"/>
          <w:bCs/>
          <w:sz w:val="24"/>
          <w:szCs w:val="24"/>
        </w:rPr>
        <w:t xml:space="preserve"> pesos.</w:t>
      </w:r>
    </w:p>
    <w:p w:rsidR="003065B1" w:rsidRPr="00F44628" w:rsidRDefault="003065B1" w:rsidP="000E2DE6">
      <w:pPr>
        <w:pStyle w:val="Texto"/>
        <w:spacing w:before="120" w:after="120" w:line="360" w:lineRule="auto"/>
        <w:ind w:firstLine="0"/>
        <w:contextualSpacing/>
        <w:rPr>
          <w:bCs/>
          <w:sz w:val="24"/>
          <w:szCs w:val="24"/>
        </w:rPr>
      </w:pPr>
    </w:p>
    <w:p w:rsidR="006F48FB" w:rsidRPr="00F44628" w:rsidRDefault="00341F21" w:rsidP="00F44628">
      <w:pPr>
        <w:spacing w:before="38" w:after="0" w:line="360" w:lineRule="auto"/>
        <w:ind w:right="-1" w:firstLine="567"/>
        <w:jc w:val="both"/>
        <w:rPr>
          <w:rFonts w:ascii="Arial" w:hAnsi="Arial" w:cs="Arial"/>
          <w:sz w:val="24"/>
          <w:szCs w:val="24"/>
        </w:rPr>
      </w:pPr>
      <w:r w:rsidRPr="00F44628">
        <w:rPr>
          <w:rFonts w:ascii="Arial" w:hAnsi="Arial" w:cs="Arial"/>
          <w:bCs/>
          <w:sz w:val="24"/>
          <w:szCs w:val="24"/>
        </w:rPr>
        <w:t xml:space="preserve">En </w:t>
      </w:r>
      <w:r w:rsidR="003065B1" w:rsidRPr="00F44628">
        <w:rPr>
          <w:rFonts w:ascii="Arial" w:hAnsi="Arial" w:cs="Arial"/>
          <w:bCs/>
          <w:sz w:val="24"/>
          <w:szCs w:val="24"/>
        </w:rPr>
        <w:t xml:space="preserve"> los </w:t>
      </w:r>
      <w:r w:rsidR="00A657F5" w:rsidRPr="00F44628">
        <w:rPr>
          <w:rFonts w:ascii="Arial" w:hAnsi="Arial" w:cs="Arial"/>
          <w:bCs/>
          <w:sz w:val="24"/>
          <w:szCs w:val="24"/>
        </w:rPr>
        <w:t xml:space="preserve">rubros de </w:t>
      </w:r>
      <w:r w:rsidR="00F44628" w:rsidRPr="00F44628">
        <w:rPr>
          <w:rFonts w:ascii="Arial" w:hAnsi="Arial" w:cs="Arial"/>
          <w:bCs/>
          <w:sz w:val="24"/>
          <w:szCs w:val="24"/>
        </w:rPr>
        <w:t>I</w:t>
      </w:r>
      <w:r w:rsidR="00A657F5" w:rsidRPr="00F44628">
        <w:rPr>
          <w:rFonts w:ascii="Arial" w:hAnsi="Arial" w:cs="Arial"/>
          <w:bCs/>
          <w:sz w:val="24"/>
          <w:szCs w:val="24"/>
        </w:rPr>
        <w:t>ngresos Federales, s</w:t>
      </w:r>
      <w:r w:rsidR="003065B1" w:rsidRPr="00F44628">
        <w:rPr>
          <w:rFonts w:ascii="Arial" w:hAnsi="Arial" w:cs="Arial"/>
          <w:bCs/>
          <w:sz w:val="24"/>
          <w:szCs w:val="24"/>
        </w:rPr>
        <w:t>e</w:t>
      </w:r>
      <w:r w:rsidR="00A657F5" w:rsidRPr="00F44628">
        <w:rPr>
          <w:rFonts w:ascii="Arial" w:hAnsi="Arial" w:cs="Arial"/>
          <w:bCs/>
          <w:sz w:val="24"/>
          <w:szCs w:val="24"/>
        </w:rPr>
        <w:t xml:space="preserve"> aprecia que las </w:t>
      </w:r>
      <w:r w:rsidR="003065B1" w:rsidRPr="00F44628">
        <w:rPr>
          <w:rFonts w:ascii="Arial" w:hAnsi="Arial" w:cs="Arial"/>
          <w:bCs/>
          <w:sz w:val="24"/>
          <w:szCs w:val="24"/>
        </w:rPr>
        <w:t>cantida</w:t>
      </w:r>
      <w:r w:rsidR="00A657F5" w:rsidRPr="00F44628">
        <w:rPr>
          <w:rFonts w:ascii="Arial" w:hAnsi="Arial" w:cs="Arial"/>
          <w:bCs/>
          <w:sz w:val="24"/>
          <w:szCs w:val="24"/>
        </w:rPr>
        <w:t xml:space="preserve">des para el año 2017 fueron por la cantidad de </w:t>
      </w:r>
      <w:r w:rsidRPr="00F44628">
        <w:rPr>
          <w:rFonts w:ascii="Arial" w:hAnsi="Arial" w:cs="Arial"/>
          <w:bCs/>
          <w:sz w:val="24"/>
          <w:szCs w:val="24"/>
        </w:rPr>
        <w:t>$</w:t>
      </w:r>
      <w:r w:rsidR="00DB3653" w:rsidRPr="00F44628">
        <w:rPr>
          <w:rFonts w:ascii="Arial" w:hAnsi="Arial" w:cs="Arial"/>
          <w:bCs/>
          <w:sz w:val="24"/>
          <w:szCs w:val="24"/>
        </w:rPr>
        <w:t>61,632</w:t>
      </w:r>
      <w:r w:rsidR="00F44628" w:rsidRPr="00F44628">
        <w:rPr>
          <w:rFonts w:ascii="Arial" w:hAnsi="Arial" w:cs="Arial"/>
          <w:bCs/>
          <w:sz w:val="24"/>
          <w:szCs w:val="24"/>
        </w:rPr>
        <w:t>´</w:t>
      </w:r>
      <w:r w:rsidR="00DB3653" w:rsidRPr="00F44628">
        <w:rPr>
          <w:rFonts w:ascii="Arial" w:hAnsi="Arial" w:cs="Arial"/>
          <w:bCs/>
          <w:sz w:val="24"/>
          <w:szCs w:val="24"/>
        </w:rPr>
        <w:t>723,392,</w:t>
      </w:r>
      <w:r w:rsidRPr="00F44628">
        <w:rPr>
          <w:rFonts w:ascii="Arial" w:hAnsi="Arial" w:cs="Arial"/>
          <w:bCs/>
          <w:sz w:val="24"/>
          <w:szCs w:val="24"/>
        </w:rPr>
        <w:t xml:space="preserve"> pesos</w:t>
      </w:r>
      <w:r w:rsidR="00DB3653" w:rsidRPr="00F44628">
        <w:rPr>
          <w:rFonts w:ascii="Arial" w:hAnsi="Arial" w:cs="Arial"/>
          <w:bCs/>
          <w:sz w:val="24"/>
          <w:szCs w:val="24"/>
        </w:rPr>
        <w:t xml:space="preserve"> por concepto </w:t>
      </w:r>
      <w:r w:rsidRPr="00F44628">
        <w:rPr>
          <w:rFonts w:ascii="Arial" w:hAnsi="Arial" w:cs="Arial"/>
          <w:bCs/>
          <w:sz w:val="24"/>
          <w:szCs w:val="24"/>
        </w:rPr>
        <w:t>de Participaciones, A</w:t>
      </w:r>
      <w:r w:rsidR="00DB3653" w:rsidRPr="00F44628">
        <w:rPr>
          <w:rFonts w:ascii="Arial" w:hAnsi="Arial" w:cs="Arial"/>
          <w:bCs/>
          <w:sz w:val="24"/>
          <w:szCs w:val="24"/>
        </w:rPr>
        <w:t>portaciones y Convenio Federales,</w:t>
      </w:r>
      <w:r w:rsidR="006F48FB" w:rsidRPr="00F44628">
        <w:rPr>
          <w:rFonts w:ascii="Arial" w:hAnsi="Arial" w:cs="Arial"/>
          <w:bCs/>
          <w:sz w:val="24"/>
          <w:szCs w:val="24"/>
        </w:rPr>
        <w:t xml:space="preserve"> mientras que </w:t>
      </w:r>
      <w:r w:rsidR="003065B1" w:rsidRPr="00F44628">
        <w:rPr>
          <w:rFonts w:ascii="Arial" w:hAnsi="Arial" w:cs="Arial"/>
          <w:bCs/>
          <w:sz w:val="24"/>
          <w:szCs w:val="24"/>
        </w:rPr>
        <w:t>p</w:t>
      </w:r>
      <w:r w:rsidR="006F48FB" w:rsidRPr="00F44628">
        <w:rPr>
          <w:rFonts w:ascii="Arial" w:hAnsi="Arial" w:cs="Arial"/>
          <w:bCs/>
          <w:sz w:val="24"/>
          <w:szCs w:val="24"/>
        </w:rPr>
        <w:t>a</w:t>
      </w:r>
      <w:r w:rsidR="003065B1" w:rsidRPr="00F44628">
        <w:rPr>
          <w:rFonts w:ascii="Arial" w:hAnsi="Arial" w:cs="Arial"/>
          <w:bCs/>
          <w:sz w:val="24"/>
          <w:szCs w:val="24"/>
        </w:rPr>
        <w:t xml:space="preserve">ra este año 2018, se estima en </w:t>
      </w:r>
      <w:r w:rsidR="00DB3653" w:rsidRPr="00F44628">
        <w:rPr>
          <w:rFonts w:ascii="Arial" w:hAnsi="Arial" w:cs="Arial"/>
          <w:bCs/>
          <w:sz w:val="24"/>
          <w:szCs w:val="24"/>
        </w:rPr>
        <w:t>un aproximado de ingreso por la cantidad de</w:t>
      </w:r>
      <w:r w:rsidRPr="00F44628">
        <w:rPr>
          <w:rFonts w:ascii="Arial" w:hAnsi="Arial" w:cs="Arial"/>
          <w:bCs/>
          <w:sz w:val="24"/>
          <w:szCs w:val="24"/>
        </w:rPr>
        <w:t xml:space="preserve"> $</w:t>
      </w:r>
      <w:r w:rsidR="0089182C" w:rsidRPr="00F44628">
        <w:rPr>
          <w:rFonts w:ascii="Arial" w:hAnsi="Arial" w:cs="Arial"/>
          <w:bCs/>
          <w:sz w:val="24"/>
          <w:szCs w:val="24"/>
        </w:rPr>
        <w:t>69,490</w:t>
      </w:r>
      <w:r w:rsidR="00F44628" w:rsidRPr="00F44628">
        <w:rPr>
          <w:rFonts w:ascii="Arial" w:hAnsi="Arial" w:cs="Arial"/>
          <w:bCs/>
          <w:sz w:val="24"/>
          <w:szCs w:val="24"/>
        </w:rPr>
        <w:t>´</w:t>
      </w:r>
      <w:r w:rsidR="0089182C" w:rsidRPr="00F44628">
        <w:rPr>
          <w:rFonts w:ascii="Arial" w:hAnsi="Arial" w:cs="Arial"/>
          <w:bCs/>
          <w:sz w:val="24"/>
          <w:szCs w:val="24"/>
        </w:rPr>
        <w:t>117,546</w:t>
      </w:r>
      <w:r w:rsidRPr="00F44628">
        <w:rPr>
          <w:rFonts w:ascii="Arial" w:hAnsi="Arial" w:cs="Arial"/>
          <w:bCs/>
          <w:sz w:val="24"/>
          <w:szCs w:val="24"/>
        </w:rPr>
        <w:t xml:space="preserve"> pesos.</w:t>
      </w:r>
    </w:p>
    <w:p w:rsidR="006F48FB" w:rsidRPr="00F44628" w:rsidRDefault="006F48FB" w:rsidP="000E2DE6">
      <w:pPr>
        <w:pStyle w:val="Texto"/>
        <w:spacing w:before="120" w:after="120" w:line="360" w:lineRule="auto"/>
        <w:ind w:firstLine="0"/>
        <w:contextualSpacing/>
        <w:rPr>
          <w:sz w:val="24"/>
          <w:szCs w:val="24"/>
        </w:rPr>
      </w:pPr>
    </w:p>
    <w:p w:rsidR="006F48FB" w:rsidRPr="00F44628" w:rsidRDefault="006F48FB" w:rsidP="00F44628">
      <w:pPr>
        <w:spacing w:before="38" w:after="0" w:line="360" w:lineRule="auto"/>
        <w:ind w:right="-1" w:firstLine="567"/>
        <w:jc w:val="both"/>
        <w:rPr>
          <w:rFonts w:ascii="Arial" w:hAnsi="Arial" w:cs="Arial"/>
          <w:sz w:val="24"/>
          <w:szCs w:val="24"/>
        </w:rPr>
      </w:pPr>
      <w:r w:rsidRPr="00F44628">
        <w:rPr>
          <w:rFonts w:ascii="Arial" w:hAnsi="Arial" w:cs="Arial"/>
          <w:sz w:val="24"/>
          <w:szCs w:val="24"/>
        </w:rPr>
        <w:t>Ahora</w:t>
      </w:r>
      <w:r w:rsidR="00341F21" w:rsidRPr="00F44628">
        <w:rPr>
          <w:rFonts w:ascii="Arial" w:hAnsi="Arial" w:cs="Arial"/>
          <w:sz w:val="24"/>
          <w:szCs w:val="24"/>
        </w:rPr>
        <w:t xml:space="preserve"> bien, </w:t>
      </w:r>
      <w:r w:rsidRPr="00F44628">
        <w:rPr>
          <w:rFonts w:ascii="Arial" w:hAnsi="Arial" w:cs="Arial"/>
          <w:sz w:val="24"/>
          <w:szCs w:val="24"/>
        </w:rPr>
        <w:t>se expresa</w:t>
      </w:r>
      <w:r w:rsidR="00341F21" w:rsidRPr="00F44628">
        <w:rPr>
          <w:rFonts w:ascii="Arial" w:hAnsi="Arial" w:cs="Arial"/>
          <w:sz w:val="24"/>
          <w:szCs w:val="24"/>
        </w:rPr>
        <w:t xml:space="preserve"> igualmente </w:t>
      </w:r>
      <w:r w:rsidRPr="00F44628">
        <w:rPr>
          <w:rFonts w:ascii="Arial" w:hAnsi="Arial" w:cs="Arial"/>
          <w:sz w:val="24"/>
          <w:szCs w:val="24"/>
        </w:rPr>
        <w:t>en la exposición de motivos del promovente que</w:t>
      </w:r>
      <w:r w:rsidR="00490530" w:rsidRPr="00F44628">
        <w:rPr>
          <w:rFonts w:ascii="Arial" w:hAnsi="Arial" w:cs="Arial"/>
          <w:sz w:val="24"/>
          <w:szCs w:val="24"/>
        </w:rPr>
        <w:t xml:space="preserve"> en el E</w:t>
      </w:r>
      <w:r w:rsidRPr="00F44628">
        <w:rPr>
          <w:rFonts w:ascii="Arial" w:hAnsi="Arial" w:cs="Arial"/>
          <w:sz w:val="24"/>
          <w:szCs w:val="24"/>
        </w:rPr>
        <w:t>stado se pronostica que el PIB para el año 2018 se ubique alrededor del 3.3 %, crecimiento superior al cierre a nivel nacional esperado para el próximo año, repunte que se expresa en un mayor dinamismo del sector manufacturero y en el sector de la construcción.</w:t>
      </w:r>
    </w:p>
    <w:p w:rsidR="006F48FB" w:rsidRPr="00F44628" w:rsidRDefault="006F48FB" w:rsidP="000E2DE6">
      <w:pPr>
        <w:pStyle w:val="Texto"/>
        <w:spacing w:before="120" w:after="120" w:line="360" w:lineRule="auto"/>
        <w:ind w:firstLine="0"/>
        <w:contextualSpacing/>
        <w:rPr>
          <w:sz w:val="24"/>
          <w:szCs w:val="24"/>
        </w:rPr>
      </w:pPr>
    </w:p>
    <w:p w:rsidR="00490530" w:rsidRPr="00F44628" w:rsidRDefault="00490530" w:rsidP="00F44628">
      <w:pPr>
        <w:spacing w:before="38" w:after="0" w:line="360" w:lineRule="auto"/>
        <w:ind w:right="-1" w:firstLine="567"/>
        <w:jc w:val="both"/>
        <w:rPr>
          <w:rFonts w:ascii="Arial" w:hAnsi="Arial" w:cs="Arial"/>
          <w:sz w:val="24"/>
          <w:szCs w:val="24"/>
        </w:rPr>
      </w:pPr>
      <w:r w:rsidRPr="00F44628">
        <w:rPr>
          <w:rFonts w:ascii="Arial" w:hAnsi="Arial" w:cs="Arial"/>
          <w:sz w:val="24"/>
          <w:szCs w:val="24"/>
        </w:rPr>
        <w:t xml:space="preserve">Ahora bien, </w:t>
      </w:r>
      <w:r w:rsidR="00BC1594" w:rsidRPr="00F44628">
        <w:rPr>
          <w:rFonts w:ascii="Arial" w:hAnsi="Arial" w:cs="Arial"/>
          <w:sz w:val="24"/>
          <w:szCs w:val="24"/>
        </w:rPr>
        <w:t xml:space="preserve">la Ley de Disciplina Financiera para las Entidades Federativas y </w:t>
      </w:r>
      <w:r w:rsidR="00F44628" w:rsidRPr="00F44628">
        <w:rPr>
          <w:rFonts w:ascii="Arial" w:hAnsi="Arial" w:cs="Arial"/>
          <w:sz w:val="24"/>
          <w:szCs w:val="24"/>
        </w:rPr>
        <w:t>M</w:t>
      </w:r>
      <w:r w:rsidR="00BC1594" w:rsidRPr="00F44628">
        <w:rPr>
          <w:rFonts w:ascii="Arial" w:hAnsi="Arial" w:cs="Arial"/>
          <w:sz w:val="24"/>
          <w:szCs w:val="24"/>
        </w:rPr>
        <w:t>unicipios, establece que respecto al Financiamiento</w:t>
      </w:r>
      <w:r w:rsidRPr="00F44628">
        <w:rPr>
          <w:rFonts w:ascii="Arial" w:hAnsi="Arial" w:cs="Arial"/>
          <w:sz w:val="24"/>
          <w:szCs w:val="24"/>
        </w:rPr>
        <w:t xml:space="preserve"> P</w:t>
      </w:r>
      <w:r w:rsidR="00BC1594" w:rsidRPr="00F44628">
        <w:rPr>
          <w:rFonts w:ascii="Arial" w:hAnsi="Arial" w:cs="Arial"/>
          <w:sz w:val="24"/>
          <w:szCs w:val="24"/>
        </w:rPr>
        <w:t>úblico</w:t>
      </w:r>
      <w:r w:rsidRPr="00F44628">
        <w:rPr>
          <w:rFonts w:ascii="Arial" w:hAnsi="Arial" w:cs="Arial"/>
          <w:sz w:val="24"/>
          <w:szCs w:val="24"/>
        </w:rPr>
        <w:t xml:space="preserve">, debe de ser obligación para los Entes Públicos, el contratar financiamiento y obligaciones bajo las mejores condiciones de mercado, tal y como se aprecia a continuación: </w:t>
      </w:r>
    </w:p>
    <w:p w:rsidR="00490530" w:rsidRDefault="00490530" w:rsidP="000E2DE6">
      <w:pPr>
        <w:pStyle w:val="Texto"/>
        <w:spacing w:before="120" w:after="120" w:line="360" w:lineRule="auto"/>
        <w:ind w:firstLine="0"/>
        <w:contextualSpacing/>
        <w:rPr>
          <w:sz w:val="24"/>
          <w:szCs w:val="24"/>
        </w:rPr>
      </w:pPr>
    </w:p>
    <w:p w:rsidR="00490530" w:rsidRPr="00BC1594" w:rsidRDefault="00490530" w:rsidP="00490530">
      <w:pPr>
        <w:pStyle w:val="Texto"/>
        <w:spacing w:before="120" w:after="120" w:line="360" w:lineRule="auto"/>
        <w:ind w:firstLine="0"/>
        <w:contextualSpacing/>
        <w:jc w:val="center"/>
        <w:rPr>
          <w:b/>
          <w:i/>
          <w:sz w:val="24"/>
          <w:szCs w:val="24"/>
        </w:rPr>
      </w:pPr>
      <w:r w:rsidRPr="00BC1594">
        <w:rPr>
          <w:b/>
          <w:i/>
          <w:sz w:val="24"/>
          <w:szCs w:val="24"/>
        </w:rPr>
        <w:t>Ley de Disciplina Financiera para las Entidades Federativas y Municipios,</w:t>
      </w:r>
    </w:p>
    <w:p w:rsidR="00490530" w:rsidRPr="00F44628" w:rsidRDefault="00490530" w:rsidP="00490530">
      <w:pPr>
        <w:pStyle w:val="Texto"/>
        <w:spacing w:before="120" w:after="120" w:line="360" w:lineRule="auto"/>
        <w:ind w:firstLine="0"/>
        <w:contextualSpacing/>
        <w:jc w:val="center"/>
        <w:rPr>
          <w:sz w:val="24"/>
          <w:szCs w:val="24"/>
        </w:rPr>
      </w:pPr>
    </w:p>
    <w:p w:rsidR="00490530" w:rsidRPr="00BC1594" w:rsidRDefault="00490530" w:rsidP="00F44628">
      <w:pPr>
        <w:pStyle w:val="Texto"/>
        <w:spacing w:before="120" w:after="120" w:line="360" w:lineRule="auto"/>
        <w:ind w:firstLine="80"/>
        <w:contextualSpacing/>
        <w:rPr>
          <w:i/>
          <w:sz w:val="24"/>
          <w:szCs w:val="24"/>
        </w:rPr>
      </w:pPr>
      <w:r w:rsidRPr="00BC1594">
        <w:rPr>
          <w:b/>
          <w:bCs/>
          <w:i/>
          <w:sz w:val="24"/>
          <w:szCs w:val="24"/>
        </w:rPr>
        <w:t xml:space="preserve">Artículo 25.- </w:t>
      </w:r>
      <w:r w:rsidRPr="00BC1594">
        <w:rPr>
          <w:i/>
          <w:sz w:val="24"/>
          <w:szCs w:val="24"/>
        </w:rPr>
        <w:t>Los Entes Públicos estarán obligados a contratar los Financiamientos y Obligaciones a su cargo bajo las mejores condiciones de mercado.</w:t>
      </w:r>
    </w:p>
    <w:p w:rsidR="00490530" w:rsidRPr="00BC1594" w:rsidRDefault="00490530" w:rsidP="00490530">
      <w:pPr>
        <w:pStyle w:val="Texto"/>
        <w:spacing w:before="120" w:after="120" w:line="360" w:lineRule="auto"/>
        <w:ind w:firstLine="0"/>
        <w:contextualSpacing/>
        <w:jc w:val="center"/>
        <w:rPr>
          <w:i/>
          <w:sz w:val="24"/>
          <w:szCs w:val="24"/>
        </w:rPr>
      </w:pPr>
    </w:p>
    <w:p w:rsidR="00490530" w:rsidRDefault="00490530" w:rsidP="001F0833">
      <w:pPr>
        <w:pStyle w:val="Texto"/>
        <w:spacing w:before="120" w:after="120" w:line="360" w:lineRule="auto"/>
        <w:ind w:firstLine="0"/>
        <w:contextualSpacing/>
        <w:rPr>
          <w:i/>
          <w:sz w:val="24"/>
          <w:szCs w:val="24"/>
        </w:rPr>
      </w:pPr>
      <w:r w:rsidRPr="00BC1594">
        <w:rPr>
          <w:b/>
          <w:bCs/>
          <w:i/>
          <w:sz w:val="24"/>
          <w:szCs w:val="24"/>
        </w:rPr>
        <w:t xml:space="preserve">Artículo 26.- </w:t>
      </w:r>
      <w:r w:rsidRPr="00BC1594">
        <w:rPr>
          <w:i/>
          <w:sz w:val="24"/>
          <w:szCs w:val="24"/>
        </w:rPr>
        <w:t>El secretario de finanzas, tesorero municipal o su equivalente de cada Ente Público, según corresponda a su ámbito de competencia, será el responsable de confirmar que el Financiamiento fue celebrado en las mejores condiciones del mercado.</w:t>
      </w:r>
    </w:p>
    <w:p w:rsidR="00490530" w:rsidRDefault="00490530" w:rsidP="00490530">
      <w:pPr>
        <w:pStyle w:val="Texto"/>
        <w:spacing w:before="120" w:after="120" w:line="360" w:lineRule="auto"/>
        <w:ind w:firstLine="0"/>
        <w:contextualSpacing/>
        <w:jc w:val="center"/>
        <w:rPr>
          <w:i/>
          <w:sz w:val="24"/>
          <w:szCs w:val="24"/>
        </w:rPr>
      </w:pPr>
    </w:p>
    <w:p w:rsidR="00490530" w:rsidRDefault="00490530" w:rsidP="000E2DE6">
      <w:pPr>
        <w:pStyle w:val="Texto"/>
        <w:spacing w:before="120" w:after="120" w:line="360" w:lineRule="auto"/>
        <w:ind w:firstLine="0"/>
        <w:contextualSpacing/>
        <w:rPr>
          <w:sz w:val="24"/>
          <w:szCs w:val="24"/>
        </w:rPr>
      </w:pPr>
    </w:p>
    <w:p w:rsidR="00B36E79" w:rsidRPr="00B36E79" w:rsidRDefault="00B36E79" w:rsidP="00F44628">
      <w:pPr>
        <w:spacing w:before="38" w:after="0" w:line="360" w:lineRule="auto"/>
        <w:ind w:right="-1" w:firstLine="567"/>
        <w:jc w:val="both"/>
        <w:rPr>
          <w:rFonts w:ascii="Arial" w:hAnsi="Arial" w:cs="Arial"/>
          <w:sz w:val="24"/>
          <w:szCs w:val="24"/>
        </w:rPr>
      </w:pPr>
      <w:r w:rsidRPr="00B36E79">
        <w:rPr>
          <w:rFonts w:ascii="Arial" w:hAnsi="Arial" w:cs="Arial"/>
          <w:sz w:val="24"/>
          <w:szCs w:val="24"/>
        </w:rPr>
        <w:t>Precisando a lo anterior es de mencionar que se negociaron 34,968 millones de pesos para la reestructuración de la deuda, disminuyendo con ello los gastos del Estado para cubrir el servicio de la deuda o sea lo referente al pago de intereses y amortizaciones además de liquidar con ello créditos con sobretasas más altas.</w:t>
      </w:r>
    </w:p>
    <w:p w:rsidR="00BC1594" w:rsidRPr="00F44628" w:rsidRDefault="00BC1594" w:rsidP="00F44628">
      <w:pPr>
        <w:pStyle w:val="Texto"/>
        <w:spacing w:before="120" w:after="120" w:line="360" w:lineRule="auto"/>
        <w:ind w:firstLine="0"/>
        <w:contextualSpacing/>
        <w:rPr>
          <w:sz w:val="24"/>
          <w:szCs w:val="24"/>
        </w:rPr>
      </w:pPr>
    </w:p>
    <w:p w:rsidR="00BC1594" w:rsidRPr="00F44628" w:rsidRDefault="00BC1594" w:rsidP="00F44628">
      <w:pPr>
        <w:spacing w:before="38" w:after="0" w:line="360" w:lineRule="auto"/>
        <w:ind w:right="-1" w:firstLine="567"/>
        <w:jc w:val="both"/>
        <w:rPr>
          <w:rFonts w:ascii="Arial" w:hAnsi="Arial" w:cs="Arial"/>
          <w:sz w:val="24"/>
          <w:szCs w:val="24"/>
        </w:rPr>
      </w:pPr>
      <w:r w:rsidRPr="00F44628">
        <w:rPr>
          <w:rFonts w:ascii="Arial" w:hAnsi="Arial" w:cs="Arial"/>
          <w:sz w:val="24"/>
          <w:szCs w:val="24"/>
        </w:rPr>
        <w:t>Expresando</w:t>
      </w:r>
      <w:r w:rsidR="00490530" w:rsidRPr="00F44628">
        <w:rPr>
          <w:rFonts w:ascii="Arial" w:hAnsi="Arial" w:cs="Arial"/>
          <w:sz w:val="24"/>
          <w:szCs w:val="24"/>
        </w:rPr>
        <w:t>,</w:t>
      </w:r>
      <w:r w:rsidRPr="00F44628">
        <w:rPr>
          <w:rFonts w:ascii="Arial" w:hAnsi="Arial" w:cs="Arial"/>
          <w:sz w:val="24"/>
          <w:szCs w:val="24"/>
        </w:rPr>
        <w:t xml:space="preserve"> que el monto de financiamiento requerido para el periodo 2018 estará en función directa del déficit proyectado entre ingreso y gasto </w:t>
      </w:r>
      <w:r w:rsidR="00490530" w:rsidRPr="00F44628">
        <w:rPr>
          <w:rFonts w:ascii="Arial" w:hAnsi="Arial" w:cs="Arial"/>
          <w:sz w:val="24"/>
          <w:szCs w:val="24"/>
        </w:rPr>
        <w:t>incluyendo la a</w:t>
      </w:r>
      <w:r w:rsidR="00575F31" w:rsidRPr="00F44628">
        <w:rPr>
          <w:rFonts w:ascii="Arial" w:hAnsi="Arial" w:cs="Arial"/>
          <w:sz w:val="24"/>
          <w:szCs w:val="24"/>
        </w:rPr>
        <w:t>mo</w:t>
      </w:r>
      <w:r w:rsidR="00490530" w:rsidRPr="00F44628">
        <w:rPr>
          <w:rFonts w:ascii="Arial" w:hAnsi="Arial" w:cs="Arial"/>
          <w:sz w:val="24"/>
          <w:szCs w:val="24"/>
        </w:rPr>
        <w:t>r</w:t>
      </w:r>
      <w:r w:rsidR="00575F31" w:rsidRPr="00F44628">
        <w:rPr>
          <w:rFonts w:ascii="Arial" w:hAnsi="Arial" w:cs="Arial"/>
          <w:sz w:val="24"/>
          <w:szCs w:val="24"/>
        </w:rPr>
        <w:t xml:space="preserve">tización de la deuda directa. Dado </w:t>
      </w:r>
      <w:r w:rsidR="00490530" w:rsidRPr="00F44628">
        <w:rPr>
          <w:rFonts w:ascii="Arial" w:hAnsi="Arial" w:cs="Arial"/>
          <w:sz w:val="24"/>
          <w:szCs w:val="24"/>
        </w:rPr>
        <w:t xml:space="preserve">esto, </w:t>
      </w:r>
      <w:r w:rsidR="00575F31" w:rsidRPr="00F44628">
        <w:rPr>
          <w:rFonts w:ascii="Arial" w:hAnsi="Arial" w:cs="Arial"/>
          <w:sz w:val="24"/>
          <w:szCs w:val="24"/>
        </w:rPr>
        <w:t>en la pres</w:t>
      </w:r>
      <w:r w:rsidR="00490530" w:rsidRPr="00F44628">
        <w:rPr>
          <w:rFonts w:ascii="Arial" w:hAnsi="Arial" w:cs="Arial"/>
          <w:sz w:val="24"/>
          <w:szCs w:val="24"/>
        </w:rPr>
        <w:t xml:space="preserve">ente </w:t>
      </w:r>
      <w:r w:rsidR="00575F31" w:rsidRPr="00F44628">
        <w:rPr>
          <w:rFonts w:ascii="Arial" w:hAnsi="Arial" w:cs="Arial"/>
          <w:sz w:val="24"/>
          <w:szCs w:val="24"/>
        </w:rPr>
        <w:t xml:space="preserve">iniciativa de Ingresos para el 2018, se propone un monto de financiamiento </w:t>
      </w:r>
      <w:r w:rsidR="00F44628">
        <w:rPr>
          <w:rFonts w:ascii="Arial" w:hAnsi="Arial" w:cs="Arial"/>
          <w:sz w:val="24"/>
          <w:szCs w:val="24"/>
        </w:rPr>
        <w:t xml:space="preserve">a Largo Plazo </w:t>
      </w:r>
      <w:r w:rsidR="00575F31" w:rsidRPr="00F44628">
        <w:rPr>
          <w:rFonts w:ascii="Arial" w:hAnsi="Arial" w:cs="Arial"/>
          <w:sz w:val="24"/>
          <w:szCs w:val="24"/>
        </w:rPr>
        <w:t xml:space="preserve">de hasta </w:t>
      </w:r>
      <w:r w:rsidR="00F44628">
        <w:rPr>
          <w:rFonts w:ascii="Arial" w:hAnsi="Arial" w:cs="Arial"/>
          <w:sz w:val="24"/>
          <w:szCs w:val="24"/>
        </w:rPr>
        <w:t>$</w:t>
      </w:r>
      <w:r w:rsidR="00575F31" w:rsidRPr="00F44628">
        <w:rPr>
          <w:rFonts w:ascii="Arial" w:hAnsi="Arial" w:cs="Arial"/>
          <w:sz w:val="24"/>
          <w:szCs w:val="24"/>
        </w:rPr>
        <w:t>2,550</w:t>
      </w:r>
      <w:r w:rsidR="00F44628">
        <w:rPr>
          <w:rFonts w:ascii="Arial" w:hAnsi="Arial" w:cs="Arial"/>
          <w:sz w:val="24"/>
          <w:szCs w:val="24"/>
        </w:rPr>
        <w:t>´</w:t>
      </w:r>
      <w:r w:rsidR="00575F31" w:rsidRPr="00F44628">
        <w:rPr>
          <w:rFonts w:ascii="Arial" w:hAnsi="Arial" w:cs="Arial"/>
          <w:sz w:val="24"/>
          <w:szCs w:val="24"/>
        </w:rPr>
        <w:t>000,000.00 (Dos mil quinientos cincuenta millones de pesos 00/100 M.N.), destin</w:t>
      </w:r>
      <w:r w:rsidR="00490530" w:rsidRPr="00F44628">
        <w:rPr>
          <w:rFonts w:ascii="Arial" w:hAnsi="Arial" w:cs="Arial"/>
          <w:sz w:val="24"/>
          <w:szCs w:val="24"/>
        </w:rPr>
        <w:t>ado principalmente a la Inversió</w:t>
      </w:r>
      <w:r w:rsidR="00575F31" w:rsidRPr="00F44628">
        <w:rPr>
          <w:rFonts w:ascii="Arial" w:hAnsi="Arial" w:cs="Arial"/>
          <w:sz w:val="24"/>
          <w:szCs w:val="24"/>
        </w:rPr>
        <w:t xml:space="preserve">n </w:t>
      </w:r>
      <w:r w:rsidR="00F44628">
        <w:rPr>
          <w:rFonts w:ascii="Arial" w:hAnsi="Arial" w:cs="Arial"/>
          <w:sz w:val="24"/>
          <w:szCs w:val="24"/>
        </w:rPr>
        <w:t>P</w:t>
      </w:r>
      <w:r w:rsidR="00490530" w:rsidRPr="00F44628">
        <w:rPr>
          <w:rFonts w:ascii="Arial" w:hAnsi="Arial" w:cs="Arial"/>
          <w:sz w:val="24"/>
          <w:szCs w:val="24"/>
        </w:rPr>
        <w:t xml:space="preserve">ública </w:t>
      </w:r>
      <w:r w:rsidR="00F44628">
        <w:rPr>
          <w:rFonts w:ascii="Arial" w:hAnsi="Arial" w:cs="Arial"/>
          <w:sz w:val="24"/>
          <w:szCs w:val="24"/>
        </w:rPr>
        <w:t>P</w:t>
      </w:r>
      <w:r w:rsidR="00490530" w:rsidRPr="00F44628">
        <w:rPr>
          <w:rFonts w:ascii="Arial" w:hAnsi="Arial" w:cs="Arial"/>
          <w:sz w:val="24"/>
          <w:szCs w:val="24"/>
        </w:rPr>
        <w:t>roductiva, entendié</w:t>
      </w:r>
      <w:r w:rsidR="00575F31" w:rsidRPr="00F44628">
        <w:rPr>
          <w:rFonts w:ascii="Arial" w:hAnsi="Arial" w:cs="Arial"/>
          <w:sz w:val="24"/>
          <w:szCs w:val="24"/>
        </w:rPr>
        <w:t>ndose</w:t>
      </w:r>
      <w:r w:rsidR="00490530" w:rsidRPr="00F44628">
        <w:rPr>
          <w:rFonts w:ascii="Arial" w:hAnsi="Arial" w:cs="Arial"/>
          <w:sz w:val="24"/>
          <w:szCs w:val="24"/>
        </w:rPr>
        <w:t xml:space="preserve"> é</w:t>
      </w:r>
      <w:r w:rsidR="00575F31" w:rsidRPr="00F44628">
        <w:rPr>
          <w:rFonts w:ascii="Arial" w:hAnsi="Arial" w:cs="Arial"/>
          <w:sz w:val="24"/>
          <w:szCs w:val="24"/>
        </w:rPr>
        <w:t xml:space="preserve">sta como toda erogación destinada a la construcción, mejoramiento, adquisición de bienes </w:t>
      </w:r>
      <w:r w:rsidR="00490530" w:rsidRPr="00F44628">
        <w:rPr>
          <w:rFonts w:ascii="Arial" w:hAnsi="Arial" w:cs="Arial"/>
          <w:sz w:val="24"/>
          <w:szCs w:val="24"/>
        </w:rPr>
        <w:t>para equipam</w:t>
      </w:r>
      <w:r w:rsidR="00575F31" w:rsidRPr="00F44628">
        <w:rPr>
          <w:rFonts w:ascii="Arial" w:hAnsi="Arial" w:cs="Arial"/>
          <w:sz w:val="24"/>
          <w:szCs w:val="24"/>
        </w:rPr>
        <w:t>i</w:t>
      </w:r>
      <w:r w:rsidR="00490530" w:rsidRPr="00F44628">
        <w:rPr>
          <w:rFonts w:ascii="Arial" w:hAnsi="Arial" w:cs="Arial"/>
          <w:sz w:val="24"/>
          <w:szCs w:val="24"/>
        </w:rPr>
        <w:t>e</w:t>
      </w:r>
      <w:r w:rsidR="00575F31" w:rsidRPr="00F44628">
        <w:rPr>
          <w:rFonts w:ascii="Arial" w:hAnsi="Arial" w:cs="Arial"/>
          <w:sz w:val="24"/>
          <w:szCs w:val="24"/>
        </w:rPr>
        <w:t>nto y as</w:t>
      </w:r>
      <w:r w:rsidR="00490530" w:rsidRPr="00F44628">
        <w:rPr>
          <w:rFonts w:ascii="Arial" w:hAnsi="Arial" w:cs="Arial"/>
          <w:sz w:val="24"/>
          <w:szCs w:val="24"/>
        </w:rPr>
        <w:t>í como la adquisición de inmuebles</w:t>
      </w:r>
      <w:r w:rsidR="00575F31" w:rsidRPr="00F44628">
        <w:rPr>
          <w:rFonts w:ascii="Arial" w:hAnsi="Arial" w:cs="Arial"/>
          <w:sz w:val="24"/>
          <w:szCs w:val="24"/>
        </w:rPr>
        <w:t xml:space="preserve"> para la prestación de un servicio público</w:t>
      </w:r>
      <w:r w:rsidR="009B2A7F" w:rsidRPr="00F44628">
        <w:rPr>
          <w:rFonts w:ascii="Arial" w:hAnsi="Arial" w:cs="Arial"/>
          <w:sz w:val="24"/>
          <w:szCs w:val="24"/>
        </w:rPr>
        <w:t xml:space="preserve">, tal y como se define a continuación: </w:t>
      </w:r>
      <w:r w:rsidR="00575F31" w:rsidRPr="00F44628">
        <w:rPr>
          <w:rFonts w:ascii="Arial" w:hAnsi="Arial" w:cs="Arial"/>
          <w:sz w:val="24"/>
          <w:szCs w:val="24"/>
        </w:rPr>
        <w:t xml:space="preserve"> </w:t>
      </w:r>
    </w:p>
    <w:p w:rsidR="00575F31" w:rsidRDefault="00575F31" w:rsidP="00B36E79">
      <w:pPr>
        <w:pStyle w:val="Texto"/>
        <w:spacing w:before="120" w:after="120" w:line="360" w:lineRule="auto"/>
        <w:ind w:firstLine="0"/>
        <w:contextualSpacing/>
        <w:rPr>
          <w:sz w:val="24"/>
          <w:szCs w:val="24"/>
        </w:rPr>
      </w:pPr>
    </w:p>
    <w:p w:rsidR="00DD49B1" w:rsidRPr="0036216C" w:rsidRDefault="00DD49B1" w:rsidP="00DD49B1">
      <w:pPr>
        <w:spacing w:before="120" w:after="120" w:line="360" w:lineRule="auto"/>
        <w:ind w:left="284" w:firstLine="289"/>
        <w:contextualSpacing/>
        <w:jc w:val="both"/>
        <w:rPr>
          <w:rFonts w:ascii="Arial" w:hAnsi="Arial" w:cs="Arial"/>
          <w:sz w:val="24"/>
          <w:szCs w:val="24"/>
        </w:rPr>
      </w:pPr>
    </w:p>
    <w:p w:rsidR="00DD49B1" w:rsidRDefault="00DD49B1" w:rsidP="009B2A7F">
      <w:pPr>
        <w:pStyle w:val="ANOTACION"/>
        <w:spacing w:before="120" w:after="120" w:line="360" w:lineRule="auto"/>
        <w:ind w:left="284"/>
        <w:contextualSpacing/>
        <w:rPr>
          <w:rFonts w:ascii="Arial" w:hAnsi="Arial" w:cs="Arial"/>
          <w:i/>
          <w:sz w:val="24"/>
          <w:szCs w:val="24"/>
        </w:rPr>
      </w:pPr>
      <w:r w:rsidRPr="0054628F">
        <w:rPr>
          <w:rFonts w:ascii="Arial" w:hAnsi="Arial" w:cs="Arial"/>
          <w:i/>
          <w:sz w:val="24"/>
          <w:szCs w:val="24"/>
        </w:rPr>
        <w:t>LEY DE DISCIPLINA FINANCIERA</w:t>
      </w:r>
      <w:r w:rsidRPr="0054628F">
        <w:rPr>
          <w:rFonts w:ascii="Arial" w:hAnsi="Arial" w:cs="Arial"/>
          <w:i/>
          <w:sz w:val="24"/>
          <w:szCs w:val="24"/>
          <w:lang w:val="uz-Cyrl-UZ"/>
        </w:rPr>
        <w:t xml:space="preserve"> </w:t>
      </w:r>
      <w:r w:rsidRPr="0054628F">
        <w:rPr>
          <w:rFonts w:ascii="Arial" w:hAnsi="Arial" w:cs="Arial"/>
          <w:i/>
          <w:sz w:val="24"/>
          <w:szCs w:val="24"/>
        </w:rPr>
        <w:t>DE LAS ENTIDADES FEDERATIVAS Y LOS MUNICIPIOS</w:t>
      </w:r>
    </w:p>
    <w:p w:rsidR="009B2A7F" w:rsidRPr="0054628F" w:rsidRDefault="009B2A7F" w:rsidP="009B2A7F">
      <w:pPr>
        <w:pStyle w:val="ANOTACION"/>
        <w:spacing w:before="120" w:after="120" w:line="360" w:lineRule="auto"/>
        <w:ind w:left="284"/>
        <w:contextualSpacing/>
        <w:rPr>
          <w:rFonts w:ascii="Arial" w:hAnsi="Arial" w:cs="Arial"/>
          <w:i/>
          <w:sz w:val="24"/>
          <w:szCs w:val="24"/>
          <w:lang w:val="uz-Cyrl-UZ"/>
        </w:rPr>
      </w:pPr>
    </w:p>
    <w:p w:rsidR="00DD49B1" w:rsidRPr="0036216C" w:rsidRDefault="00DD49B1" w:rsidP="00DD49B1">
      <w:pPr>
        <w:spacing w:before="120" w:after="120" w:line="360" w:lineRule="auto"/>
        <w:ind w:left="284" w:firstLine="289"/>
        <w:contextualSpacing/>
        <w:jc w:val="both"/>
        <w:rPr>
          <w:rFonts w:ascii="Arial" w:hAnsi="Arial" w:cs="Arial"/>
          <w:i/>
          <w:sz w:val="24"/>
          <w:szCs w:val="24"/>
        </w:rPr>
      </w:pPr>
    </w:p>
    <w:p w:rsidR="00DD49B1" w:rsidRPr="0036216C" w:rsidRDefault="00DD49B1" w:rsidP="00DD49B1">
      <w:pPr>
        <w:pStyle w:val="Texto"/>
        <w:spacing w:before="120" w:after="120" w:line="360" w:lineRule="auto"/>
        <w:ind w:left="1418" w:right="567" w:firstLine="0"/>
        <w:contextualSpacing/>
        <w:rPr>
          <w:i/>
          <w:sz w:val="24"/>
          <w:szCs w:val="24"/>
          <w:lang w:val="uz-Cyrl-UZ"/>
        </w:rPr>
      </w:pPr>
      <w:r w:rsidRPr="0036216C">
        <w:rPr>
          <w:i/>
          <w:sz w:val="24"/>
          <w:szCs w:val="24"/>
        </w:rPr>
        <w:lastRenderedPageBreak/>
        <w:t>Artículo 2.- Para efectos de esta Ley, en singular o plural, se entenderá por:</w:t>
      </w:r>
    </w:p>
    <w:p w:rsidR="00DD49B1" w:rsidRPr="0036216C" w:rsidRDefault="00DD49B1" w:rsidP="00DD49B1">
      <w:pPr>
        <w:spacing w:before="120" w:after="120" w:line="360" w:lineRule="auto"/>
        <w:ind w:left="1418" w:right="567"/>
        <w:contextualSpacing/>
        <w:jc w:val="both"/>
        <w:rPr>
          <w:rFonts w:ascii="Arial" w:hAnsi="Arial" w:cs="Arial"/>
          <w:i/>
          <w:sz w:val="24"/>
          <w:szCs w:val="24"/>
        </w:rPr>
      </w:pPr>
      <w:r w:rsidRPr="0036216C">
        <w:rPr>
          <w:rFonts w:ascii="Arial" w:hAnsi="Arial" w:cs="Arial"/>
          <w:i/>
          <w:sz w:val="24"/>
          <w:szCs w:val="24"/>
        </w:rPr>
        <w:t>..</w:t>
      </w:r>
    </w:p>
    <w:p w:rsidR="00DD49B1" w:rsidRPr="0036216C" w:rsidRDefault="00DD49B1" w:rsidP="00DD49B1">
      <w:pPr>
        <w:spacing w:before="120" w:after="120" w:line="360" w:lineRule="auto"/>
        <w:ind w:left="1418" w:right="567"/>
        <w:contextualSpacing/>
        <w:jc w:val="both"/>
        <w:rPr>
          <w:rFonts w:ascii="Arial" w:hAnsi="Arial" w:cs="Arial"/>
          <w:i/>
          <w:sz w:val="24"/>
          <w:szCs w:val="24"/>
        </w:rPr>
      </w:pPr>
      <w:r w:rsidRPr="0036216C">
        <w:rPr>
          <w:rFonts w:ascii="Arial" w:hAnsi="Arial" w:cs="Arial"/>
          <w:i/>
          <w:sz w:val="24"/>
          <w:szCs w:val="24"/>
        </w:rPr>
        <w:t>..</w:t>
      </w:r>
    </w:p>
    <w:p w:rsidR="00DD49B1" w:rsidRPr="0036216C" w:rsidRDefault="00DD49B1" w:rsidP="00DD49B1">
      <w:pPr>
        <w:pStyle w:val="Texto"/>
        <w:spacing w:before="120" w:after="120" w:line="360" w:lineRule="auto"/>
        <w:ind w:left="1418" w:right="567" w:firstLine="0"/>
        <w:contextualSpacing/>
        <w:rPr>
          <w:i/>
          <w:color w:val="000000"/>
          <w:sz w:val="24"/>
          <w:szCs w:val="24"/>
        </w:rPr>
      </w:pPr>
      <w:r w:rsidRPr="0036216C">
        <w:rPr>
          <w:i/>
          <w:color w:val="000000"/>
          <w:sz w:val="24"/>
          <w:szCs w:val="24"/>
        </w:rPr>
        <w:t>XXV. Inversión pública productiva: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w:t>
      </w:r>
      <w:r w:rsidRPr="0036216C">
        <w:rPr>
          <w:i/>
          <w:sz w:val="24"/>
          <w:szCs w:val="24"/>
        </w:rPr>
        <w:t xml:space="preserve"> </w:t>
      </w:r>
      <w:r w:rsidRPr="0036216C">
        <w:rPr>
          <w:i/>
          <w:color w:val="000000"/>
          <w:sz w:val="24"/>
          <w:szCs w:val="24"/>
        </w:rPr>
        <w:t>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9B2A7F" w:rsidRPr="00267019" w:rsidRDefault="009B2A7F" w:rsidP="00267019">
      <w:pPr>
        <w:spacing w:before="38" w:after="0" w:line="360" w:lineRule="auto"/>
        <w:ind w:right="-1" w:firstLine="567"/>
        <w:jc w:val="both"/>
        <w:rPr>
          <w:rFonts w:ascii="Arial" w:hAnsi="Arial" w:cs="Arial"/>
          <w:color w:val="000000"/>
          <w:sz w:val="24"/>
          <w:szCs w:val="24"/>
        </w:rPr>
      </w:pPr>
      <w:r w:rsidRPr="00267019">
        <w:rPr>
          <w:rFonts w:ascii="Arial" w:hAnsi="Arial" w:cs="Arial"/>
          <w:color w:val="000000"/>
          <w:sz w:val="24"/>
          <w:szCs w:val="24"/>
        </w:rPr>
        <w:t>Por lo anterior, se plantea un refuerzo en medias administrativas a fin de incrementar ingresos propios, a través de una mayor eficiencia recaudatoria</w:t>
      </w:r>
      <w:r w:rsidR="009C0649" w:rsidRPr="00267019">
        <w:rPr>
          <w:rFonts w:ascii="Arial" w:hAnsi="Arial" w:cs="Arial"/>
          <w:color w:val="000000"/>
          <w:sz w:val="24"/>
          <w:szCs w:val="24"/>
        </w:rPr>
        <w:t xml:space="preserve">, </w:t>
      </w:r>
      <w:r w:rsidR="009C0649" w:rsidRPr="00267019">
        <w:rPr>
          <w:rFonts w:ascii="Arial" w:hAnsi="Arial" w:cs="Arial"/>
          <w:color w:val="000000"/>
          <w:sz w:val="24"/>
          <w:szCs w:val="24"/>
        </w:rPr>
        <w:lastRenderedPageBreak/>
        <w:t xml:space="preserve">como lo son las reformas </w:t>
      </w:r>
      <w:r w:rsidR="00392A9B" w:rsidRPr="00267019">
        <w:rPr>
          <w:rFonts w:ascii="Arial" w:hAnsi="Arial" w:cs="Arial"/>
          <w:color w:val="000000"/>
          <w:sz w:val="24"/>
          <w:szCs w:val="24"/>
        </w:rPr>
        <w:t>propuestas a la Ley de Hac</w:t>
      </w:r>
      <w:r w:rsidR="009C0649" w:rsidRPr="00267019">
        <w:rPr>
          <w:rFonts w:ascii="Arial" w:hAnsi="Arial" w:cs="Arial"/>
          <w:color w:val="000000"/>
          <w:sz w:val="24"/>
          <w:szCs w:val="24"/>
        </w:rPr>
        <w:t>i</w:t>
      </w:r>
      <w:r w:rsidR="00392A9B" w:rsidRPr="00267019">
        <w:rPr>
          <w:rFonts w:ascii="Arial" w:hAnsi="Arial" w:cs="Arial"/>
          <w:color w:val="000000"/>
          <w:sz w:val="24"/>
          <w:szCs w:val="24"/>
        </w:rPr>
        <w:t>e</w:t>
      </w:r>
      <w:r w:rsidR="009C0649" w:rsidRPr="00267019">
        <w:rPr>
          <w:rFonts w:ascii="Arial" w:hAnsi="Arial" w:cs="Arial"/>
          <w:color w:val="000000"/>
          <w:sz w:val="24"/>
          <w:szCs w:val="24"/>
        </w:rPr>
        <w:t xml:space="preserve">nda </w:t>
      </w:r>
      <w:r w:rsidR="00392A9B" w:rsidRPr="00267019">
        <w:rPr>
          <w:rFonts w:ascii="Arial" w:hAnsi="Arial" w:cs="Arial"/>
          <w:color w:val="000000"/>
          <w:sz w:val="24"/>
          <w:szCs w:val="24"/>
        </w:rPr>
        <w:t>del Es</w:t>
      </w:r>
      <w:r w:rsidR="009C0649" w:rsidRPr="00267019">
        <w:rPr>
          <w:rFonts w:ascii="Arial" w:hAnsi="Arial" w:cs="Arial"/>
          <w:color w:val="000000"/>
          <w:sz w:val="24"/>
          <w:szCs w:val="24"/>
        </w:rPr>
        <w:t>t</w:t>
      </w:r>
      <w:r w:rsidR="00392A9B" w:rsidRPr="00267019">
        <w:rPr>
          <w:rFonts w:ascii="Arial" w:hAnsi="Arial" w:cs="Arial"/>
          <w:color w:val="000000"/>
          <w:sz w:val="24"/>
          <w:szCs w:val="24"/>
        </w:rPr>
        <w:t>a</w:t>
      </w:r>
      <w:r w:rsidR="009C0649" w:rsidRPr="00267019">
        <w:rPr>
          <w:rFonts w:ascii="Arial" w:hAnsi="Arial" w:cs="Arial"/>
          <w:color w:val="000000"/>
          <w:sz w:val="24"/>
          <w:szCs w:val="24"/>
        </w:rPr>
        <w:t>do, en materia el impuesto sobre nóminas, con la finalidad de que se permitan mecanismos jurídicos que refuercen el mar</w:t>
      </w:r>
      <w:r w:rsidR="00392A9B" w:rsidRPr="00267019">
        <w:rPr>
          <w:rFonts w:ascii="Arial" w:hAnsi="Arial" w:cs="Arial"/>
          <w:color w:val="000000"/>
          <w:sz w:val="24"/>
          <w:szCs w:val="24"/>
        </w:rPr>
        <w:t>co legal y permitan a la autori</w:t>
      </w:r>
      <w:r w:rsidR="009C0649" w:rsidRPr="00267019">
        <w:rPr>
          <w:rFonts w:ascii="Arial" w:hAnsi="Arial" w:cs="Arial"/>
          <w:color w:val="000000"/>
          <w:sz w:val="24"/>
          <w:szCs w:val="24"/>
        </w:rPr>
        <w:t>d</w:t>
      </w:r>
      <w:r w:rsidR="00392A9B" w:rsidRPr="00267019">
        <w:rPr>
          <w:rFonts w:ascii="Arial" w:hAnsi="Arial" w:cs="Arial"/>
          <w:color w:val="000000"/>
          <w:sz w:val="24"/>
          <w:szCs w:val="24"/>
        </w:rPr>
        <w:t>ad</w:t>
      </w:r>
      <w:r w:rsidR="009C0649" w:rsidRPr="00267019">
        <w:rPr>
          <w:rFonts w:ascii="Arial" w:hAnsi="Arial" w:cs="Arial"/>
          <w:color w:val="000000"/>
          <w:sz w:val="24"/>
          <w:szCs w:val="24"/>
        </w:rPr>
        <w:t>, fo</w:t>
      </w:r>
      <w:r w:rsidR="00392A9B" w:rsidRPr="00267019">
        <w:rPr>
          <w:rFonts w:ascii="Arial" w:hAnsi="Arial" w:cs="Arial"/>
          <w:color w:val="000000"/>
          <w:sz w:val="24"/>
          <w:szCs w:val="24"/>
        </w:rPr>
        <w:t>r</w:t>
      </w:r>
      <w:r w:rsidR="00062180" w:rsidRPr="00267019">
        <w:rPr>
          <w:rFonts w:ascii="Arial" w:hAnsi="Arial" w:cs="Arial"/>
          <w:color w:val="000000"/>
          <w:sz w:val="24"/>
          <w:szCs w:val="24"/>
        </w:rPr>
        <w:t>talecer la misma</w:t>
      </w:r>
      <w:r w:rsidR="007D3571" w:rsidRPr="00267019">
        <w:rPr>
          <w:rFonts w:ascii="Arial" w:hAnsi="Arial" w:cs="Arial"/>
          <w:color w:val="000000"/>
          <w:sz w:val="24"/>
          <w:szCs w:val="24"/>
        </w:rPr>
        <w:t>,</w:t>
      </w:r>
      <w:r w:rsidR="00062180" w:rsidRPr="00267019">
        <w:rPr>
          <w:rFonts w:ascii="Arial" w:hAnsi="Arial" w:cs="Arial"/>
          <w:color w:val="000000"/>
          <w:sz w:val="24"/>
          <w:szCs w:val="24"/>
        </w:rPr>
        <w:t xml:space="preserve"> dado</w:t>
      </w:r>
      <w:r w:rsidR="007D3571" w:rsidRPr="00267019">
        <w:rPr>
          <w:rFonts w:ascii="Arial" w:hAnsi="Arial" w:cs="Arial"/>
          <w:color w:val="000000"/>
          <w:sz w:val="24"/>
          <w:szCs w:val="24"/>
        </w:rPr>
        <w:t xml:space="preserve"> que s</w:t>
      </w:r>
      <w:r w:rsidR="009C0649" w:rsidRPr="00267019">
        <w:rPr>
          <w:rFonts w:ascii="Arial" w:hAnsi="Arial" w:cs="Arial"/>
          <w:color w:val="000000"/>
          <w:sz w:val="24"/>
          <w:szCs w:val="24"/>
        </w:rPr>
        <w:t>e</w:t>
      </w:r>
      <w:r w:rsidR="007D3571" w:rsidRPr="00267019">
        <w:rPr>
          <w:rFonts w:ascii="Arial" w:hAnsi="Arial" w:cs="Arial"/>
          <w:color w:val="000000"/>
          <w:sz w:val="24"/>
          <w:szCs w:val="24"/>
        </w:rPr>
        <w:t xml:space="preserve"> </w:t>
      </w:r>
      <w:r w:rsidR="009C0649" w:rsidRPr="00267019">
        <w:rPr>
          <w:rFonts w:ascii="Arial" w:hAnsi="Arial" w:cs="Arial"/>
          <w:color w:val="000000"/>
          <w:sz w:val="24"/>
          <w:szCs w:val="24"/>
        </w:rPr>
        <w:t>ha obstaculizado derivado de diversas resoluciones que han obtenido a su favor los contribuyentes.</w:t>
      </w:r>
    </w:p>
    <w:p w:rsidR="00392A9B" w:rsidRPr="00267019" w:rsidRDefault="00392A9B" w:rsidP="00353377">
      <w:pPr>
        <w:pStyle w:val="Texto"/>
        <w:spacing w:before="120" w:after="0" w:line="360" w:lineRule="auto"/>
        <w:ind w:left="284"/>
        <w:contextualSpacing/>
        <w:rPr>
          <w:color w:val="000000"/>
          <w:sz w:val="24"/>
          <w:szCs w:val="24"/>
        </w:rPr>
      </w:pPr>
    </w:p>
    <w:p w:rsidR="009C0649" w:rsidRPr="00267019" w:rsidRDefault="00392A9B" w:rsidP="00267019">
      <w:pPr>
        <w:spacing w:before="38" w:after="0" w:line="360" w:lineRule="auto"/>
        <w:ind w:right="-1" w:firstLine="567"/>
        <w:jc w:val="both"/>
        <w:rPr>
          <w:rFonts w:ascii="Arial" w:hAnsi="Arial" w:cs="Arial"/>
          <w:color w:val="000000"/>
          <w:sz w:val="24"/>
          <w:szCs w:val="24"/>
        </w:rPr>
      </w:pPr>
      <w:r w:rsidRPr="00267019">
        <w:rPr>
          <w:rFonts w:ascii="Arial" w:hAnsi="Arial" w:cs="Arial"/>
          <w:color w:val="000000"/>
          <w:sz w:val="24"/>
          <w:szCs w:val="24"/>
        </w:rPr>
        <w:t>A</w:t>
      </w:r>
      <w:r w:rsidR="007D3571" w:rsidRPr="00267019">
        <w:rPr>
          <w:rFonts w:ascii="Arial" w:hAnsi="Arial" w:cs="Arial"/>
          <w:color w:val="000000"/>
          <w:sz w:val="24"/>
          <w:szCs w:val="24"/>
        </w:rPr>
        <w:t>sí</w:t>
      </w:r>
      <w:r w:rsidRPr="00267019">
        <w:rPr>
          <w:rFonts w:ascii="Arial" w:hAnsi="Arial" w:cs="Arial"/>
          <w:color w:val="000000"/>
          <w:sz w:val="24"/>
          <w:szCs w:val="24"/>
        </w:rPr>
        <w:t xml:space="preserve"> como las</w:t>
      </w:r>
      <w:r w:rsidR="007D3571" w:rsidRPr="00267019">
        <w:rPr>
          <w:rFonts w:ascii="Arial" w:hAnsi="Arial" w:cs="Arial"/>
          <w:color w:val="000000"/>
          <w:sz w:val="24"/>
          <w:szCs w:val="24"/>
        </w:rPr>
        <w:t xml:space="preserve"> Reformas correspondientes al Código Fiscal del Es</w:t>
      </w:r>
      <w:r w:rsidRPr="00267019">
        <w:rPr>
          <w:rFonts w:ascii="Arial" w:hAnsi="Arial" w:cs="Arial"/>
          <w:color w:val="000000"/>
          <w:sz w:val="24"/>
          <w:szCs w:val="24"/>
        </w:rPr>
        <w:t>t</w:t>
      </w:r>
      <w:r w:rsidR="007D3571" w:rsidRPr="00267019">
        <w:rPr>
          <w:rFonts w:ascii="Arial" w:hAnsi="Arial" w:cs="Arial"/>
          <w:color w:val="000000"/>
          <w:sz w:val="24"/>
          <w:szCs w:val="24"/>
        </w:rPr>
        <w:t>a</w:t>
      </w:r>
      <w:r w:rsidRPr="00267019">
        <w:rPr>
          <w:rFonts w:ascii="Arial" w:hAnsi="Arial" w:cs="Arial"/>
          <w:color w:val="000000"/>
          <w:sz w:val="24"/>
          <w:szCs w:val="24"/>
        </w:rPr>
        <w:t xml:space="preserve">do de </w:t>
      </w:r>
      <w:r w:rsidR="007D3571" w:rsidRPr="00267019">
        <w:rPr>
          <w:rFonts w:ascii="Arial" w:hAnsi="Arial" w:cs="Arial"/>
          <w:color w:val="000000"/>
          <w:sz w:val="24"/>
          <w:szCs w:val="24"/>
        </w:rPr>
        <w:t>N</w:t>
      </w:r>
      <w:r w:rsidRPr="00267019">
        <w:rPr>
          <w:rFonts w:ascii="Arial" w:hAnsi="Arial" w:cs="Arial"/>
          <w:color w:val="000000"/>
          <w:sz w:val="24"/>
          <w:szCs w:val="24"/>
        </w:rPr>
        <w:t>u</w:t>
      </w:r>
      <w:r w:rsidR="007D3571" w:rsidRPr="00267019">
        <w:rPr>
          <w:rFonts w:ascii="Arial" w:hAnsi="Arial" w:cs="Arial"/>
          <w:color w:val="000000"/>
          <w:sz w:val="24"/>
          <w:szCs w:val="24"/>
        </w:rPr>
        <w:t>e</w:t>
      </w:r>
      <w:r w:rsidRPr="00267019">
        <w:rPr>
          <w:rFonts w:ascii="Arial" w:hAnsi="Arial" w:cs="Arial"/>
          <w:color w:val="000000"/>
          <w:sz w:val="24"/>
          <w:szCs w:val="24"/>
        </w:rPr>
        <w:t>vo León,</w:t>
      </w:r>
      <w:r w:rsidR="007D3571" w:rsidRPr="00267019">
        <w:rPr>
          <w:rFonts w:ascii="Arial" w:hAnsi="Arial" w:cs="Arial"/>
          <w:color w:val="000000"/>
          <w:sz w:val="24"/>
          <w:szCs w:val="24"/>
        </w:rPr>
        <w:t xml:space="preserve"> para el año 2018, </w:t>
      </w:r>
      <w:r w:rsidRPr="00267019">
        <w:rPr>
          <w:rFonts w:ascii="Arial" w:hAnsi="Arial" w:cs="Arial"/>
          <w:color w:val="000000"/>
          <w:sz w:val="24"/>
          <w:szCs w:val="24"/>
        </w:rPr>
        <w:t>atañen a identificar conductas omisas o evasivas, e incluso conductas de simulación</w:t>
      </w:r>
      <w:r w:rsidR="007D3571" w:rsidRPr="00267019">
        <w:rPr>
          <w:rFonts w:ascii="Arial" w:hAnsi="Arial" w:cs="Arial"/>
          <w:color w:val="000000"/>
          <w:sz w:val="24"/>
          <w:szCs w:val="24"/>
        </w:rPr>
        <w:t xml:space="preserve"> fiscal, con el fin de</w:t>
      </w:r>
      <w:r w:rsidR="00062180" w:rsidRPr="00267019">
        <w:rPr>
          <w:rFonts w:ascii="Arial" w:hAnsi="Arial" w:cs="Arial"/>
          <w:color w:val="000000"/>
          <w:sz w:val="24"/>
          <w:szCs w:val="24"/>
        </w:rPr>
        <w:t xml:space="preserve"> ser más</w:t>
      </w:r>
      <w:r w:rsidR="007D3571" w:rsidRPr="00267019">
        <w:rPr>
          <w:rFonts w:ascii="Arial" w:hAnsi="Arial" w:cs="Arial"/>
          <w:color w:val="000000"/>
          <w:sz w:val="24"/>
          <w:szCs w:val="24"/>
        </w:rPr>
        <w:t xml:space="preserve"> eficiente la recaudación en el Estado.</w:t>
      </w:r>
    </w:p>
    <w:p w:rsidR="007D3571" w:rsidRDefault="007D3571" w:rsidP="00DD49B1">
      <w:pPr>
        <w:pStyle w:val="Texto"/>
        <w:spacing w:before="120" w:after="120" w:line="360" w:lineRule="auto"/>
        <w:ind w:left="284"/>
        <w:contextualSpacing/>
        <w:rPr>
          <w:color w:val="000000"/>
          <w:sz w:val="24"/>
          <w:szCs w:val="24"/>
        </w:rPr>
      </w:pPr>
    </w:p>
    <w:p w:rsidR="00370275" w:rsidRDefault="00370275" w:rsidP="00267019">
      <w:pPr>
        <w:spacing w:before="38" w:after="0" w:line="360" w:lineRule="auto"/>
        <w:ind w:right="-1" w:firstLine="567"/>
        <w:jc w:val="both"/>
        <w:rPr>
          <w:rFonts w:ascii="Arial" w:hAnsi="Arial" w:cs="Arial"/>
          <w:color w:val="000000"/>
          <w:sz w:val="24"/>
          <w:szCs w:val="24"/>
        </w:rPr>
      </w:pPr>
      <w:r w:rsidRPr="006F0F2F">
        <w:rPr>
          <w:rFonts w:ascii="Arial" w:hAnsi="Arial" w:cs="Arial"/>
          <w:color w:val="000000"/>
          <w:sz w:val="24"/>
          <w:szCs w:val="24"/>
        </w:rPr>
        <w:t xml:space="preserve">Dentro de los cambios más relevantes al articulado de la presente iniciativa, se contempla una adición al Artículo 2 de la Ley de Ingresos del Estado, otorgando la Facultad al Ejecutivo del Estado para que </w:t>
      </w:r>
      <w:r w:rsidR="00600360" w:rsidRPr="006F0F2F">
        <w:rPr>
          <w:rFonts w:ascii="Arial" w:hAnsi="Arial" w:cs="Arial"/>
          <w:color w:val="000000"/>
          <w:sz w:val="24"/>
          <w:szCs w:val="24"/>
        </w:rPr>
        <w:t xml:space="preserve">efectúe </w:t>
      </w:r>
      <w:r w:rsidRPr="006F0F2F">
        <w:rPr>
          <w:rFonts w:ascii="Arial" w:hAnsi="Arial" w:cs="Arial"/>
          <w:color w:val="000000"/>
          <w:sz w:val="24"/>
          <w:szCs w:val="24"/>
        </w:rPr>
        <w:t xml:space="preserve">los ajustes y modificaciones </w:t>
      </w:r>
      <w:r w:rsidR="00600360" w:rsidRPr="006F0F2F">
        <w:rPr>
          <w:rFonts w:ascii="Arial" w:hAnsi="Arial" w:cs="Arial"/>
          <w:color w:val="000000"/>
          <w:sz w:val="24"/>
          <w:szCs w:val="24"/>
        </w:rPr>
        <w:t>que estime necesarias</w:t>
      </w:r>
      <w:r w:rsidRPr="006F0F2F">
        <w:rPr>
          <w:rFonts w:ascii="Arial" w:hAnsi="Arial" w:cs="Arial"/>
          <w:color w:val="000000"/>
          <w:sz w:val="24"/>
          <w:szCs w:val="24"/>
        </w:rPr>
        <w:t xml:space="preserve"> en las obras y acciones</w:t>
      </w:r>
      <w:r w:rsidRPr="006F0F2F">
        <w:rPr>
          <w:rFonts w:ascii="Arial" w:hAnsi="Arial" w:cs="Arial"/>
          <w:b/>
          <w:color w:val="000000"/>
          <w:sz w:val="24"/>
          <w:szCs w:val="24"/>
        </w:rPr>
        <w:t xml:space="preserve"> </w:t>
      </w:r>
      <w:r w:rsidRPr="006F0F2F">
        <w:rPr>
          <w:rFonts w:ascii="Arial" w:hAnsi="Arial" w:cs="Arial"/>
          <w:color w:val="000000"/>
          <w:sz w:val="24"/>
          <w:szCs w:val="24"/>
        </w:rPr>
        <w:t>de inversión pública</w:t>
      </w:r>
      <w:r w:rsidR="00600360" w:rsidRPr="006F0F2F">
        <w:rPr>
          <w:rFonts w:ascii="Arial" w:hAnsi="Arial" w:cs="Arial"/>
          <w:color w:val="000000"/>
          <w:sz w:val="24"/>
          <w:szCs w:val="24"/>
        </w:rPr>
        <w:t xml:space="preserve"> productivas</w:t>
      </w:r>
      <w:r w:rsidRPr="006F0F2F">
        <w:rPr>
          <w:rFonts w:ascii="Arial" w:hAnsi="Arial" w:cs="Arial"/>
          <w:color w:val="000000"/>
          <w:sz w:val="24"/>
          <w:szCs w:val="24"/>
        </w:rPr>
        <w:t>,</w:t>
      </w:r>
      <w:r w:rsidR="00600360" w:rsidRPr="006F0F2F">
        <w:rPr>
          <w:rFonts w:ascii="Arial" w:hAnsi="Arial" w:cs="Arial"/>
          <w:color w:val="000000"/>
          <w:sz w:val="24"/>
          <w:szCs w:val="24"/>
        </w:rPr>
        <w:t xml:space="preserve"> hasta por un 3</w:t>
      </w:r>
      <w:r w:rsidR="006F0F2F" w:rsidRPr="006F0F2F">
        <w:rPr>
          <w:rFonts w:ascii="Arial" w:hAnsi="Arial" w:cs="Arial"/>
          <w:color w:val="000000"/>
          <w:sz w:val="24"/>
          <w:szCs w:val="24"/>
        </w:rPr>
        <w:t>0</w:t>
      </w:r>
      <w:r w:rsidR="00600360" w:rsidRPr="006F0F2F">
        <w:rPr>
          <w:rFonts w:ascii="Arial" w:hAnsi="Arial" w:cs="Arial"/>
          <w:color w:val="000000"/>
          <w:sz w:val="24"/>
          <w:szCs w:val="24"/>
        </w:rPr>
        <w:t xml:space="preserve">% del importe señalado en este </w:t>
      </w:r>
      <w:r w:rsidR="00877BAD" w:rsidRPr="006F0F2F">
        <w:rPr>
          <w:rFonts w:ascii="Arial" w:hAnsi="Arial" w:cs="Arial"/>
          <w:color w:val="000000"/>
          <w:sz w:val="24"/>
          <w:szCs w:val="24"/>
        </w:rPr>
        <w:t>artículo</w:t>
      </w:r>
      <w:r w:rsidR="00600360" w:rsidRPr="006F0F2F">
        <w:rPr>
          <w:rFonts w:ascii="Arial" w:hAnsi="Arial" w:cs="Arial"/>
          <w:color w:val="000000"/>
          <w:sz w:val="24"/>
          <w:szCs w:val="24"/>
        </w:rPr>
        <w:t>,</w:t>
      </w:r>
      <w:r w:rsidRPr="006F0F2F">
        <w:rPr>
          <w:rFonts w:ascii="Arial" w:hAnsi="Arial" w:cs="Arial"/>
          <w:color w:val="000000"/>
          <w:sz w:val="24"/>
          <w:szCs w:val="24"/>
        </w:rPr>
        <w:t xml:space="preserve"> siempre y cuando sean destinados a los mismos proyectos de inversión pública productiva, </w:t>
      </w:r>
      <w:r w:rsidR="00062180" w:rsidRPr="006F0F2F">
        <w:rPr>
          <w:rFonts w:ascii="Arial" w:hAnsi="Arial" w:cs="Arial"/>
          <w:color w:val="000000"/>
          <w:sz w:val="24"/>
          <w:szCs w:val="24"/>
        </w:rPr>
        <w:t>fundamento el cual ha sido citado anteriormente,</w:t>
      </w:r>
      <w:r w:rsidRPr="006F0F2F">
        <w:rPr>
          <w:rFonts w:ascii="Arial" w:hAnsi="Arial" w:cs="Arial"/>
          <w:color w:val="000000"/>
          <w:sz w:val="24"/>
          <w:szCs w:val="24"/>
        </w:rPr>
        <w:t xml:space="preserve"> y con la obligación de que los mismos ajustes sean informados de manera trimestral,</w:t>
      </w:r>
      <w:r w:rsidR="00062180" w:rsidRPr="006F0F2F">
        <w:rPr>
          <w:rFonts w:ascii="Arial" w:hAnsi="Arial" w:cs="Arial"/>
          <w:color w:val="000000"/>
          <w:sz w:val="24"/>
          <w:szCs w:val="24"/>
        </w:rPr>
        <w:t xml:space="preserve"> dentro de los avances de Gestió</w:t>
      </w:r>
      <w:r w:rsidRPr="006F0F2F">
        <w:rPr>
          <w:rFonts w:ascii="Arial" w:hAnsi="Arial" w:cs="Arial"/>
          <w:color w:val="000000"/>
          <w:sz w:val="24"/>
          <w:szCs w:val="24"/>
        </w:rPr>
        <w:t>n Financiera.</w:t>
      </w:r>
    </w:p>
    <w:p w:rsidR="00353377" w:rsidRDefault="00353377" w:rsidP="00267019">
      <w:pPr>
        <w:spacing w:before="38" w:after="0" w:line="360" w:lineRule="auto"/>
        <w:ind w:right="-1" w:firstLine="567"/>
        <w:jc w:val="both"/>
        <w:rPr>
          <w:rFonts w:ascii="Arial" w:hAnsi="Arial" w:cs="Arial"/>
          <w:color w:val="000000"/>
          <w:sz w:val="24"/>
          <w:szCs w:val="24"/>
        </w:rPr>
      </w:pPr>
    </w:p>
    <w:p w:rsidR="00353377" w:rsidRPr="00267019" w:rsidRDefault="00353377" w:rsidP="00267019">
      <w:pPr>
        <w:spacing w:before="38" w:after="0" w:line="360" w:lineRule="auto"/>
        <w:ind w:right="-1" w:firstLine="567"/>
        <w:jc w:val="both"/>
        <w:rPr>
          <w:rFonts w:ascii="Arial" w:hAnsi="Arial" w:cs="Arial"/>
          <w:color w:val="000000"/>
          <w:sz w:val="24"/>
          <w:szCs w:val="24"/>
        </w:rPr>
      </w:pPr>
      <w:r w:rsidRPr="00B06463">
        <w:rPr>
          <w:rFonts w:ascii="Arial" w:hAnsi="Arial" w:cs="Arial"/>
          <w:color w:val="000000"/>
          <w:sz w:val="24"/>
          <w:szCs w:val="24"/>
        </w:rPr>
        <w:t>Así mismo se establece que en caso de que se requier</w:t>
      </w:r>
      <w:r w:rsidR="00912336" w:rsidRPr="00B06463">
        <w:rPr>
          <w:rFonts w:ascii="Arial" w:hAnsi="Arial" w:cs="Arial"/>
          <w:color w:val="000000"/>
          <w:sz w:val="24"/>
          <w:szCs w:val="24"/>
        </w:rPr>
        <w:t>a</w:t>
      </w:r>
      <w:r w:rsidRPr="00B06463">
        <w:rPr>
          <w:rFonts w:ascii="Arial" w:hAnsi="Arial" w:cs="Arial"/>
          <w:color w:val="000000"/>
          <w:sz w:val="24"/>
          <w:szCs w:val="24"/>
        </w:rPr>
        <w:t xml:space="preserve"> adquirir obligaciones de </w:t>
      </w:r>
      <w:r w:rsidR="00912336" w:rsidRPr="00B06463">
        <w:rPr>
          <w:rFonts w:ascii="Arial" w:hAnsi="Arial" w:cs="Arial"/>
          <w:color w:val="000000"/>
          <w:sz w:val="24"/>
          <w:szCs w:val="24"/>
        </w:rPr>
        <w:t>C</w:t>
      </w:r>
      <w:r w:rsidRPr="00B06463">
        <w:rPr>
          <w:rFonts w:ascii="Arial" w:hAnsi="Arial" w:cs="Arial"/>
          <w:color w:val="000000"/>
          <w:sz w:val="24"/>
          <w:szCs w:val="24"/>
        </w:rPr>
        <w:t xml:space="preserve">orto </w:t>
      </w:r>
      <w:r w:rsidR="00912336" w:rsidRPr="00B06463">
        <w:rPr>
          <w:rFonts w:ascii="Arial" w:hAnsi="Arial" w:cs="Arial"/>
          <w:color w:val="000000"/>
          <w:sz w:val="24"/>
          <w:szCs w:val="24"/>
        </w:rPr>
        <w:t>P</w:t>
      </w:r>
      <w:r w:rsidRPr="00B06463">
        <w:rPr>
          <w:rFonts w:ascii="Arial" w:hAnsi="Arial" w:cs="Arial"/>
          <w:color w:val="000000"/>
          <w:sz w:val="24"/>
          <w:szCs w:val="24"/>
        </w:rPr>
        <w:t>lazo estas serán hasta por el m</w:t>
      </w:r>
      <w:r w:rsidR="00912336" w:rsidRPr="00B06463">
        <w:rPr>
          <w:rFonts w:ascii="Arial" w:hAnsi="Arial" w:cs="Arial"/>
          <w:color w:val="000000"/>
          <w:sz w:val="24"/>
          <w:szCs w:val="24"/>
        </w:rPr>
        <w:t>o</w:t>
      </w:r>
      <w:r w:rsidRPr="00B06463">
        <w:rPr>
          <w:rFonts w:ascii="Arial" w:hAnsi="Arial" w:cs="Arial"/>
          <w:color w:val="000000"/>
          <w:sz w:val="24"/>
          <w:szCs w:val="24"/>
        </w:rPr>
        <w:t xml:space="preserve">nto del 6% de los ingresos </w:t>
      </w:r>
      <w:r w:rsidR="00912336" w:rsidRPr="00B06463">
        <w:rPr>
          <w:rFonts w:ascii="Arial" w:hAnsi="Arial" w:cs="Arial"/>
          <w:color w:val="000000"/>
          <w:sz w:val="24"/>
          <w:szCs w:val="24"/>
        </w:rPr>
        <w:t>antes de financiami</w:t>
      </w:r>
      <w:r w:rsidRPr="00B06463">
        <w:rPr>
          <w:rFonts w:ascii="Arial" w:hAnsi="Arial" w:cs="Arial"/>
          <w:color w:val="000000"/>
          <w:sz w:val="24"/>
          <w:szCs w:val="24"/>
        </w:rPr>
        <w:t xml:space="preserve">ento </w:t>
      </w:r>
      <w:r w:rsidR="00912336" w:rsidRPr="00B06463">
        <w:rPr>
          <w:rFonts w:ascii="Arial" w:hAnsi="Arial" w:cs="Arial"/>
          <w:color w:val="000000"/>
          <w:sz w:val="24"/>
          <w:szCs w:val="24"/>
        </w:rPr>
        <w:t xml:space="preserve">y </w:t>
      </w:r>
      <w:r w:rsidRPr="00B06463">
        <w:rPr>
          <w:rFonts w:ascii="Arial" w:hAnsi="Arial" w:cs="Arial"/>
          <w:color w:val="000000"/>
          <w:sz w:val="24"/>
          <w:szCs w:val="24"/>
        </w:rPr>
        <w:t xml:space="preserve">que se destinen a cubrir necesidades </w:t>
      </w:r>
      <w:r w:rsidRPr="00B06463">
        <w:rPr>
          <w:rFonts w:ascii="Arial" w:hAnsi="Arial" w:cs="Arial"/>
          <w:color w:val="000000"/>
          <w:sz w:val="24"/>
          <w:szCs w:val="24"/>
        </w:rPr>
        <w:lastRenderedPageBreak/>
        <w:t>urgentes de liquidez del es</w:t>
      </w:r>
      <w:r w:rsidR="00912336" w:rsidRPr="00B06463">
        <w:rPr>
          <w:rFonts w:ascii="Arial" w:hAnsi="Arial" w:cs="Arial"/>
          <w:color w:val="000000"/>
          <w:sz w:val="24"/>
          <w:szCs w:val="24"/>
        </w:rPr>
        <w:t>t</w:t>
      </w:r>
      <w:r w:rsidRPr="00B06463">
        <w:rPr>
          <w:rFonts w:ascii="Arial" w:hAnsi="Arial" w:cs="Arial"/>
          <w:color w:val="000000"/>
          <w:sz w:val="24"/>
          <w:szCs w:val="24"/>
        </w:rPr>
        <w:t xml:space="preserve">ado y/o a financiar obras o acciones de inversión </w:t>
      </w:r>
      <w:r w:rsidR="00912336" w:rsidRPr="00B06463">
        <w:rPr>
          <w:rFonts w:ascii="Arial" w:hAnsi="Arial" w:cs="Arial"/>
          <w:color w:val="000000"/>
          <w:sz w:val="24"/>
          <w:szCs w:val="24"/>
        </w:rPr>
        <w:t>pública</w:t>
      </w:r>
      <w:r w:rsidRPr="00B06463">
        <w:rPr>
          <w:rFonts w:ascii="Arial" w:hAnsi="Arial" w:cs="Arial"/>
          <w:color w:val="000000"/>
          <w:sz w:val="24"/>
          <w:szCs w:val="24"/>
        </w:rPr>
        <w:t xml:space="preserve"> productiva incluidas en el programa estatal de obras o adquisiciones</w:t>
      </w:r>
      <w:r w:rsidR="00912336" w:rsidRPr="00B06463">
        <w:rPr>
          <w:rFonts w:ascii="Arial" w:hAnsi="Arial" w:cs="Arial"/>
          <w:color w:val="000000"/>
          <w:sz w:val="24"/>
          <w:szCs w:val="24"/>
        </w:rPr>
        <w:t xml:space="preserve"> autorizados en el presupuest</w:t>
      </w:r>
      <w:r w:rsidRPr="00B06463">
        <w:rPr>
          <w:rFonts w:ascii="Arial" w:hAnsi="Arial" w:cs="Arial"/>
          <w:color w:val="000000"/>
          <w:sz w:val="24"/>
          <w:szCs w:val="24"/>
        </w:rPr>
        <w:t>o</w:t>
      </w:r>
    </w:p>
    <w:p w:rsidR="00142FC2" w:rsidRDefault="00142FC2" w:rsidP="00370275">
      <w:pPr>
        <w:pStyle w:val="Texto"/>
        <w:spacing w:before="120" w:after="120" w:line="360" w:lineRule="auto"/>
        <w:ind w:left="284"/>
        <w:contextualSpacing/>
        <w:rPr>
          <w:color w:val="000000"/>
          <w:sz w:val="24"/>
          <w:szCs w:val="24"/>
        </w:rPr>
      </w:pPr>
    </w:p>
    <w:p w:rsidR="00142FC2" w:rsidRPr="00267019" w:rsidRDefault="00142FC2" w:rsidP="00267019">
      <w:pPr>
        <w:spacing w:before="38" w:after="0" w:line="360" w:lineRule="auto"/>
        <w:ind w:right="-1" w:firstLine="567"/>
        <w:jc w:val="both"/>
        <w:rPr>
          <w:rFonts w:ascii="Arial" w:hAnsi="Arial" w:cs="Arial"/>
          <w:color w:val="000000"/>
          <w:sz w:val="24"/>
          <w:szCs w:val="24"/>
        </w:rPr>
      </w:pPr>
      <w:r w:rsidRPr="00267019">
        <w:rPr>
          <w:rFonts w:ascii="Arial" w:hAnsi="Arial" w:cs="Arial"/>
          <w:color w:val="000000"/>
          <w:sz w:val="24"/>
          <w:szCs w:val="24"/>
        </w:rPr>
        <w:t>Por último, se propone la modificación</w:t>
      </w:r>
      <w:r w:rsidR="00062180" w:rsidRPr="00267019">
        <w:rPr>
          <w:rFonts w:ascii="Arial" w:hAnsi="Arial" w:cs="Arial"/>
          <w:color w:val="000000"/>
          <w:sz w:val="24"/>
          <w:szCs w:val="24"/>
        </w:rPr>
        <w:t xml:space="preserve"> a efecto de incluir lo enunciado por l</w:t>
      </w:r>
      <w:r w:rsidRPr="00267019">
        <w:rPr>
          <w:rFonts w:ascii="Arial" w:hAnsi="Arial" w:cs="Arial"/>
          <w:color w:val="000000"/>
          <w:sz w:val="24"/>
          <w:szCs w:val="24"/>
        </w:rPr>
        <w:t>a</w:t>
      </w:r>
      <w:r w:rsidR="00062180" w:rsidRPr="00267019">
        <w:rPr>
          <w:rFonts w:ascii="Arial" w:hAnsi="Arial" w:cs="Arial"/>
          <w:color w:val="000000"/>
          <w:sz w:val="24"/>
          <w:szCs w:val="24"/>
        </w:rPr>
        <w:t xml:space="preserve"> </w:t>
      </w:r>
      <w:r w:rsidRPr="00267019">
        <w:rPr>
          <w:rFonts w:ascii="Arial" w:hAnsi="Arial" w:cs="Arial"/>
          <w:color w:val="000000"/>
          <w:sz w:val="24"/>
          <w:szCs w:val="24"/>
        </w:rPr>
        <w:t xml:space="preserve">Ley de </w:t>
      </w:r>
      <w:r w:rsidR="00062180" w:rsidRPr="00267019">
        <w:rPr>
          <w:rFonts w:ascii="Arial" w:hAnsi="Arial" w:cs="Arial"/>
          <w:color w:val="000000"/>
          <w:sz w:val="24"/>
          <w:szCs w:val="24"/>
        </w:rPr>
        <w:t>D</w:t>
      </w:r>
      <w:r w:rsidRPr="00267019">
        <w:rPr>
          <w:rFonts w:ascii="Arial" w:hAnsi="Arial" w:cs="Arial"/>
          <w:color w:val="000000"/>
          <w:sz w:val="24"/>
          <w:szCs w:val="24"/>
        </w:rPr>
        <w:t xml:space="preserve">isciplina </w:t>
      </w:r>
      <w:r w:rsidR="00062180" w:rsidRPr="00267019">
        <w:rPr>
          <w:rFonts w:ascii="Arial" w:hAnsi="Arial" w:cs="Arial"/>
          <w:color w:val="000000"/>
          <w:sz w:val="24"/>
          <w:szCs w:val="24"/>
        </w:rPr>
        <w:t>Financ</w:t>
      </w:r>
      <w:r w:rsidRPr="00267019">
        <w:rPr>
          <w:rFonts w:ascii="Arial" w:hAnsi="Arial" w:cs="Arial"/>
          <w:color w:val="000000"/>
          <w:sz w:val="24"/>
          <w:szCs w:val="24"/>
        </w:rPr>
        <w:t>i</w:t>
      </w:r>
      <w:r w:rsidR="00062180" w:rsidRPr="00267019">
        <w:rPr>
          <w:rFonts w:ascii="Arial" w:hAnsi="Arial" w:cs="Arial"/>
          <w:color w:val="000000"/>
          <w:sz w:val="24"/>
          <w:szCs w:val="24"/>
        </w:rPr>
        <w:t>era de las Entidades</w:t>
      </w:r>
      <w:r w:rsidRPr="00267019">
        <w:rPr>
          <w:rFonts w:ascii="Arial" w:hAnsi="Arial" w:cs="Arial"/>
          <w:color w:val="000000"/>
          <w:sz w:val="24"/>
          <w:szCs w:val="24"/>
        </w:rPr>
        <w:t xml:space="preserve"> Federativas y Municipios, respecto a los ingresos excedentes de libre disposición.</w:t>
      </w:r>
    </w:p>
    <w:p w:rsidR="00142FC2" w:rsidRDefault="00142FC2" w:rsidP="00370275">
      <w:pPr>
        <w:pStyle w:val="Texto"/>
        <w:spacing w:before="120" w:after="120" w:line="360" w:lineRule="auto"/>
        <w:ind w:left="284"/>
        <w:contextualSpacing/>
        <w:rPr>
          <w:color w:val="000000"/>
          <w:sz w:val="24"/>
          <w:szCs w:val="24"/>
        </w:rPr>
      </w:pPr>
    </w:p>
    <w:p w:rsidR="00142FC2" w:rsidRPr="00267019" w:rsidRDefault="00142FC2" w:rsidP="00267019">
      <w:pPr>
        <w:spacing w:before="38" w:after="0" w:line="360" w:lineRule="auto"/>
        <w:ind w:right="-1" w:firstLine="567"/>
        <w:jc w:val="both"/>
        <w:rPr>
          <w:rFonts w:ascii="Arial" w:hAnsi="Arial" w:cs="Arial"/>
          <w:color w:val="000000"/>
          <w:sz w:val="24"/>
          <w:szCs w:val="24"/>
        </w:rPr>
      </w:pPr>
      <w:r w:rsidRPr="00267019">
        <w:rPr>
          <w:rFonts w:ascii="Arial" w:hAnsi="Arial" w:cs="Arial"/>
          <w:color w:val="000000"/>
          <w:sz w:val="24"/>
          <w:szCs w:val="24"/>
        </w:rPr>
        <w:t>Debiéndose entender por éstos</w:t>
      </w:r>
      <w:r w:rsidR="00062180" w:rsidRPr="00267019">
        <w:rPr>
          <w:rFonts w:ascii="Arial" w:hAnsi="Arial" w:cs="Arial"/>
          <w:color w:val="000000"/>
          <w:sz w:val="24"/>
          <w:szCs w:val="24"/>
        </w:rPr>
        <w:t>,</w:t>
      </w:r>
      <w:r w:rsidRPr="00267019">
        <w:rPr>
          <w:rFonts w:ascii="Arial" w:hAnsi="Arial" w:cs="Arial"/>
          <w:color w:val="000000"/>
          <w:sz w:val="24"/>
          <w:szCs w:val="24"/>
        </w:rPr>
        <w:t xml:space="preserve"> </w:t>
      </w:r>
      <w:r w:rsidRPr="00267019">
        <w:rPr>
          <w:rFonts w:ascii="Arial" w:hAnsi="Arial" w:cs="Arial"/>
          <w:sz w:val="24"/>
          <w:szCs w:val="24"/>
        </w:rPr>
        <w:t>como aquellos que no contienen ninguna etiqueta o aplicación de manera específica desde un punto de vista normativo, aunado a que se destinarán a sufragar el Gasto Estatal Ordinario</w:t>
      </w:r>
      <w:r w:rsidR="00432D3A" w:rsidRPr="00267019">
        <w:rPr>
          <w:rFonts w:ascii="Arial" w:hAnsi="Arial" w:cs="Arial"/>
          <w:sz w:val="24"/>
          <w:szCs w:val="24"/>
        </w:rPr>
        <w:t>, y/o destinarse tambié</w:t>
      </w:r>
      <w:r w:rsidRPr="00267019">
        <w:rPr>
          <w:rFonts w:ascii="Arial" w:hAnsi="Arial" w:cs="Arial"/>
          <w:sz w:val="24"/>
          <w:szCs w:val="24"/>
        </w:rPr>
        <w:t xml:space="preserve">n </w:t>
      </w:r>
      <w:r w:rsidR="009A283B">
        <w:rPr>
          <w:rFonts w:ascii="Arial" w:hAnsi="Arial" w:cs="Arial"/>
          <w:sz w:val="24"/>
          <w:szCs w:val="24"/>
        </w:rPr>
        <w:t>a R</w:t>
      </w:r>
      <w:r w:rsidRPr="00267019">
        <w:rPr>
          <w:rFonts w:ascii="Arial" w:hAnsi="Arial" w:cs="Arial"/>
          <w:sz w:val="24"/>
          <w:szCs w:val="24"/>
        </w:rPr>
        <w:t xml:space="preserve">educir el </w:t>
      </w:r>
      <w:r w:rsidR="009A283B">
        <w:rPr>
          <w:rFonts w:ascii="Arial" w:hAnsi="Arial" w:cs="Arial"/>
          <w:sz w:val="24"/>
          <w:szCs w:val="24"/>
        </w:rPr>
        <w:t>B</w:t>
      </w:r>
      <w:r w:rsidRPr="00267019">
        <w:rPr>
          <w:rFonts w:ascii="Arial" w:hAnsi="Arial" w:cs="Arial"/>
          <w:sz w:val="24"/>
          <w:szCs w:val="24"/>
        </w:rPr>
        <w:t xml:space="preserve">alance </w:t>
      </w:r>
      <w:r w:rsidR="009A283B">
        <w:rPr>
          <w:rFonts w:ascii="Arial" w:hAnsi="Arial" w:cs="Arial"/>
          <w:sz w:val="24"/>
          <w:szCs w:val="24"/>
        </w:rPr>
        <w:t>P</w:t>
      </w:r>
      <w:r w:rsidRPr="00267019">
        <w:rPr>
          <w:rFonts w:ascii="Arial" w:hAnsi="Arial" w:cs="Arial"/>
          <w:sz w:val="24"/>
          <w:szCs w:val="24"/>
        </w:rPr>
        <w:t>resupuestario de conformidad con lo establecido en el artículo 2 y 14 de la Ley de Disciplina Financiera de las Entidades Federativas y Municipios, toda vez que las medidas contempladas, buscarán robustecer los Ingresos, mejorar la capacidad financiera y saneamiento de finanzas públicas del Estado</w:t>
      </w:r>
      <w:r w:rsidR="00432D3A" w:rsidRPr="00267019">
        <w:rPr>
          <w:rFonts w:ascii="Arial" w:hAnsi="Arial" w:cs="Arial"/>
          <w:sz w:val="24"/>
          <w:szCs w:val="24"/>
        </w:rPr>
        <w:t>, tal y como se expresa a continuación:</w:t>
      </w:r>
    </w:p>
    <w:p w:rsidR="00DD49B1" w:rsidRPr="0036216C" w:rsidRDefault="00DD49B1" w:rsidP="00DD49B1">
      <w:pPr>
        <w:spacing w:before="120" w:after="120" w:line="360" w:lineRule="auto"/>
        <w:ind w:left="284" w:firstLine="289"/>
        <w:contextualSpacing/>
        <w:jc w:val="both"/>
        <w:rPr>
          <w:rFonts w:ascii="Arial" w:hAnsi="Arial" w:cs="Arial"/>
          <w:sz w:val="24"/>
          <w:szCs w:val="24"/>
        </w:rPr>
      </w:pPr>
    </w:p>
    <w:p w:rsidR="00DD49B1" w:rsidRPr="0036216C" w:rsidRDefault="00DD49B1" w:rsidP="00432D3A">
      <w:pPr>
        <w:spacing w:before="120" w:after="120" w:line="360" w:lineRule="auto"/>
        <w:ind w:left="284"/>
        <w:contextualSpacing/>
        <w:jc w:val="center"/>
        <w:rPr>
          <w:rFonts w:ascii="Arial" w:hAnsi="Arial" w:cs="Arial"/>
          <w:b/>
          <w:i/>
          <w:sz w:val="24"/>
          <w:szCs w:val="24"/>
        </w:rPr>
      </w:pPr>
      <w:r w:rsidRPr="0036216C">
        <w:rPr>
          <w:rFonts w:ascii="Arial" w:hAnsi="Arial" w:cs="Arial"/>
          <w:b/>
          <w:i/>
          <w:sz w:val="24"/>
          <w:szCs w:val="24"/>
        </w:rPr>
        <w:t xml:space="preserve">Ley de  Disciplina Financiera para las Entidades Federativas y </w:t>
      </w:r>
      <w:r>
        <w:rPr>
          <w:rFonts w:ascii="Arial" w:hAnsi="Arial" w:cs="Arial"/>
          <w:b/>
          <w:i/>
          <w:sz w:val="24"/>
          <w:szCs w:val="24"/>
        </w:rPr>
        <w:t xml:space="preserve">los </w:t>
      </w:r>
      <w:r w:rsidRPr="0036216C">
        <w:rPr>
          <w:rFonts w:ascii="Arial" w:hAnsi="Arial" w:cs="Arial"/>
          <w:b/>
          <w:i/>
          <w:sz w:val="24"/>
          <w:szCs w:val="24"/>
        </w:rPr>
        <w:t>Municipios</w:t>
      </w:r>
    </w:p>
    <w:p w:rsidR="00DD49B1" w:rsidRPr="0036216C" w:rsidRDefault="00DD49B1" w:rsidP="00DD49B1">
      <w:pPr>
        <w:spacing w:before="120" w:after="120" w:line="360" w:lineRule="auto"/>
        <w:ind w:left="284" w:firstLine="289"/>
        <w:contextualSpacing/>
        <w:jc w:val="both"/>
        <w:rPr>
          <w:rFonts w:ascii="Arial" w:hAnsi="Arial" w:cs="Arial"/>
          <w:b/>
          <w:i/>
          <w:sz w:val="24"/>
          <w:szCs w:val="24"/>
        </w:rPr>
      </w:pPr>
    </w:p>
    <w:p w:rsidR="00DD49B1" w:rsidRPr="0036216C" w:rsidRDefault="00DD49B1" w:rsidP="00DD49B1">
      <w:pPr>
        <w:pStyle w:val="Texto"/>
        <w:spacing w:before="120" w:after="120" w:line="360" w:lineRule="auto"/>
        <w:ind w:left="1418" w:right="567" w:firstLine="0"/>
        <w:contextualSpacing/>
        <w:rPr>
          <w:b/>
          <w:i/>
          <w:sz w:val="24"/>
          <w:szCs w:val="24"/>
          <w:lang w:val="uz-Cyrl-UZ"/>
        </w:rPr>
      </w:pPr>
      <w:r w:rsidRPr="0036216C">
        <w:rPr>
          <w:b/>
          <w:i/>
          <w:sz w:val="24"/>
          <w:szCs w:val="24"/>
        </w:rPr>
        <w:t>Artículo 2.-</w:t>
      </w:r>
      <w:r w:rsidRPr="0036216C">
        <w:rPr>
          <w:i/>
          <w:sz w:val="24"/>
          <w:szCs w:val="24"/>
        </w:rPr>
        <w:t xml:space="preserve"> Para efectos de esta Ley, en singular o plural, se entenderá por</w:t>
      </w:r>
      <w:r w:rsidRPr="0036216C">
        <w:rPr>
          <w:b/>
          <w:i/>
          <w:sz w:val="24"/>
          <w:szCs w:val="24"/>
        </w:rPr>
        <w:t>:</w:t>
      </w:r>
    </w:p>
    <w:p w:rsidR="00DD49B1" w:rsidRPr="0036216C" w:rsidRDefault="00DD49B1" w:rsidP="00DD49B1">
      <w:pPr>
        <w:spacing w:before="120" w:after="120" w:line="360" w:lineRule="auto"/>
        <w:ind w:left="1418" w:right="567"/>
        <w:contextualSpacing/>
        <w:jc w:val="both"/>
        <w:rPr>
          <w:rFonts w:ascii="Arial" w:hAnsi="Arial" w:cs="Arial"/>
          <w:i/>
          <w:sz w:val="24"/>
          <w:szCs w:val="24"/>
        </w:rPr>
      </w:pPr>
      <w:r w:rsidRPr="0036216C">
        <w:rPr>
          <w:rFonts w:ascii="Arial" w:hAnsi="Arial" w:cs="Arial"/>
          <w:i/>
          <w:sz w:val="24"/>
          <w:szCs w:val="24"/>
        </w:rPr>
        <w:lastRenderedPageBreak/>
        <w:t>..</w:t>
      </w:r>
    </w:p>
    <w:p w:rsidR="00DD49B1" w:rsidRPr="0036216C" w:rsidRDefault="00DD49B1" w:rsidP="00DD49B1">
      <w:pPr>
        <w:pStyle w:val="Texto"/>
        <w:spacing w:before="120" w:after="120" w:line="360" w:lineRule="auto"/>
        <w:ind w:left="1418" w:right="567" w:firstLine="0"/>
        <w:contextualSpacing/>
        <w:rPr>
          <w:i/>
          <w:color w:val="000000"/>
          <w:sz w:val="24"/>
          <w:szCs w:val="24"/>
          <w:lang w:val="uz-Cyrl-UZ"/>
        </w:rPr>
      </w:pPr>
      <w:r w:rsidRPr="0036216C">
        <w:rPr>
          <w:b/>
          <w:i/>
          <w:color w:val="000000"/>
          <w:sz w:val="24"/>
          <w:szCs w:val="24"/>
        </w:rPr>
        <w:t>XIX. Ingresos de libre disposición:</w:t>
      </w:r>
      <w:r w:rsidRPr="0036216C">
        <w:rPr>
          <w:i/>
          <w:color w:val="000000"/>
          <w:sz w:val="24"/>
          <w:szCs w:val="24"/>
        </w:rPr>
        <w:t xml:space="preserve">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rsidR="00DD49B1" w:rsidRPr="0036216C" w:rsidRDefault="00DD49B1" w:rsidP="00DD49B1">
      <w:pPr>
        <w:spacing w:before="120" w:after="120" w:line="360" w:lineRule="auto"/>
        <w:ind w:left="1418" w:right="567"/>
        <w:contextualSpacing/>
        <w:jc w:val="both"/>
        <w:rPr>
          <w:rFonts w:ascii="Arial" w:hAnsi="Arial" w:cs="Arial"/>
          <w:i/>
          <w:sz w:val="24"/>
          <w:szCs w:val="24"/>
        </w:rPr>
      </w:pPr>
    </w:p>
    <w:p w:rsidR="00DD49B1" w:rsidRPr="0036216C" w:rsidRDefault="00DD49B1" w:rsidP="00DD49B1">
      <w:pPr>
        <w:pStyle w:val="Texto"/>
        <w:spacing w:before="120" w:after="120" w:line="360" w:lineRule="auto"/>
        <w:ind w:left="1418" w:right="567" w:firstLine="0"/>
        <w:contextualSpacing/>
        <w:rPr>
          <w:i/>
          <w:color w:val="000000"/>
          <w:sz w:val="24"/>
          <w:szCs w:val="24"/>
          <w:lang w:val="uz-Cyrl-UZ"/>
        </w:rPr>
      </w:pPr>
      <w:r w:rsidRPr="0036216C">
        <w:rPr>
          <w:b/>
          <w:i/>
          <w:color w:val="000000"/>
          <w:sz w:val="24"/>
          <w:szCs w:val="24"/>
        </w:rPr>
        <w:t>Artículo 14.-</w:t>
      </w:r>
      <w:r w:rsidRPr="0036216C">
        <w:rPr>
          <w:i/>
          <w:color w:val="000000"/>
          <w:sz w:val="24"/>
          <w:szCs w:val="24"/>
        </w:rPr>
        <w:t xml:space="preserve"> Los Ingresos excedentes derivados de Ingresos de libre disposición de las Entidades Federativas, deberán ser destinados a los siguientes conceptos:</w:t>
      </w:r>
    </w:p>
    <w:p w:rsidR="00DD49B1" w:rsidRPr="0036216C" w:rsidRDefault="00DD49B1" w:rsidP="00DD49B1">
      <w:pPr>
        <w:pStyle w:val="Texto"/>
        <w:spacing w:before="120" w:after="120" w:line="360" w:lineRule="auto"/>
        <w:ind w:left="1418" w:right="567" w:firstLine="0"/>
        <w:contextualSpacing/>
        <w:rPr>
          <w:i/>
          <w:color w:val="000000"/>
          <w:sz w:val="24"/>
          <w:szCs w:val="24"/>
          <w:lang w:val="uz-Cyrl-UZ"/>
        </w:rPr>
      </w:pPr>
    </w:p>
    <w:p w:rsidR="00DD49B1" w:rsidRPr="0036216C" w:rsidRDefault="00DD49B1" w:rsidP="00DD49B1">
      <w:pPr>
        <w:pStyle w:val="Texto"/>
        <w:spacing w:before="120" w:after="120" w:line="360" w:lineRule="auto"/>
        <w:ind w:left="1418" w:right="567" w:firstLine="0"/>
        <w:contextualSpacing/>
        <w:rPr>
          <w:i/>
          <w:color w:val="000000"/>
          <w:sz w:val="24"/>
          <w:szCs w:val="24"/>
        </w:rPr>
      </w:pPr>
      <w:r w:rsidRPr="0036216C">
        <w:rPr>
          <w:b/>
          <w:i/>
          <w:color w:val="000000"/>
          <w:sz w:val="24"/>
          <w:szCs w:val="24"/>
        </w:rPr>
        <w:t xml:space="preserve">I. </w:t>
      </w:r>
      <w:r w:rsidRPr="0036216C">
        <w:rPr>
          <w:i/>
          <w:color w:val="000000"/>
          <w:sz w:val="24"/>
          <w:szCs w:val="24"/>
        </w:rPr>
        <w:t>Por lo menos el 50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w:t>
      </w:r>
    </w:p>
    <w:p w:rsidR="00DD49B1" w:rsidRPr="009A283B" w:rsidRDefault="00DD49B1" w:rsidP="00DD49B1">
      <w:pPr>
        <w:pStyle w:val="Texto"/>
        <w:spacing w:before="120" w:after="120" w:line="360" w:lineRule="auto"/>
        <w:ind w:left="1418" w:right="567" w:firstLine="0"/>
        <w:contextualSpacing/>
        <w:rPr>
          <w:color w:val="000000"/>
          <w:sz w:val="24"/>
          <w:szCs w:val="24"/>
          <w:lang w:val="uz-Cyrl-UZ"/>
        </w:rPr>
      </w:pPr>
    </w:p>
    <w:p w:rsidR="00DD49B1" w:rsidRPr="0036216C" w:rsidRDefault="00DD49B1" w:rsidP="00DD49B1">
      <w:pPr>
        <w:pStyle w:val="Texto"/>
        <w:spacing w:before="120" w:after="120" w:line="360" w:lineRule="auto"/>
        <w:ind w:left="1418" w:right="567" w:firstLine="0"/>
        <w:contextualSpacing/>
        <w:rPr>
          <w:i/>
          <w:color w:val="000000"/>
          <w:sz w:val="24"/>
          <w:szCs w:val="24"/>
          <w:lang w:val="uz-Cyrl-UZ"/>
        </w:rPr>
      </w:pPr>
      <w:r w:rsidRPr="0036216C">
        <w:rPr>
          <w:b/>
          <w:i/>
          <w:color w:val="000000"/>
          <w:sz w:val="24"/>
          <w:szCs w:val="24"/>
        </w:rPr>
        <w:lastRenderedPageBreak/>
        <w:t xml:space="preserve">II. </w:t>
      </w:r>
      <w:r w:rsidRPr="0036216C">
        <w:rPr>
          <w:i/>
          <w:color w:val="000000"/>
          <w:sz w:val="24"/>
          <w:szCs w:val="24"/>
        </w:rPr>
        <w:t>En su caso, el remanente para:</w:t>
      </w:r>
    </w:p>
    <w:p w:rsidR="00DD49B1" w:rsidRPr="0036216C" w:rsidRDefault="00DD49B1" w:rsidP="00DD49B1">
      <w:pPr>
        <w:pStyle w:val="Texto"/>
        <w:spacing w:before="120" w:after="120" w:line="360" w:lineRule="auto"/>
        <w:ind w:left="1418" w:right="567" w:firstLine="0"/>
        <w:contextualSpacing/>
        <w:rPr>
          <w:i/>
          <w:color w:val="000000"/>
          <w:sz w:val="24"/>
          <w:szCs w:val="24"/>
          <w:lang w:val="uz-Cyrl-UZ"/>
        </w:rPr>
      </w:pPr>
    </w:p>
    <w:p w:rsidR="00DD49B1" w:rsidRPr="0036216C" w:rsidRDefault="00DD49B1" w:rsidP="00DD49B1">
      <w:pPr>
        <w:pStyle w:val="Texto"/>
        <w:spacing w:before="120" w:after="120" w:line="360" w:lineRule="auto"/>
        <w:ind w:left="1418" w:right="567" w:firstLine="0"/>
        <w:contextualSpacing/>
        <w:rPr>
          <w:i/>
          <w:color w:val="000000"/>
          <w:sz w:val="24"/>
          <w:szCs w:val="24"/>
        </w:rPr>
      </w:pPr>
      <w:r w:rsidRPr="0036216C">
        <w:rPr>
          <w:b/>
          <w:i/>
          <w:color w:val="000000"/>
          <w:sz w:val="24"/>
          <w:szCs w:val="24"/>
        </w:rPr>
        <w:t>a)</w:t>
      </w:r>
      <w:r w:rsidRPr="0036216C">
        <w:rPr>
          <w:i/>
          <w:color w:val="000000"/>
          <w:sz w:val="24"/>
          <w:szCs w:val="24"/>
        </w:rPr>
        <w:t xml:space="preserve"> Inversión pública productiva, a través de un fondo que se constituya para tal efecto, con el fin de que los recursos correspondientes se ejerzan a más tardar en el ejercicio inmediato siguiente, y</w:t>
      </w:r>
    </w:p>
    <w:p w:rsidR="00DD49B1" w:rsidRPr="0036216C" w:rsidRDefault="00DD49B1" w:rsidP="00DD49B1">
      <w:pPr>
        <w:pStyle w:val="Texto"/>
        <w:spacing w:before="120" w:after="120" w:line="360" w:lineRule="auto"/>
        <w:ind w:left="1418" w:right="567" w:firstLine="0"/>
        <w:contextualSpacing/>
        <w:rPr>
          <w:b/>
          <w:i/>
          <w:color w:val="000000"/>
          <w:sz w:val="24"/>
          <w:szCs w:val="24"/>
          <w:lang w:val="uz-Cyrl-UZ"/>
        </w:rPr>
      </w:pPr>
    </w:p>
    <w:p w:rsidR="00DD49B1" w:rsidRPr="0036216C" w:rsidRDefault="00DD49B1" w:rsidP="00DD49B1">
      <w:pPr>
        <w:pStyle w:val="Texto"/>
        <w:spacing w:before="120" w:after="120" w:line="360" w:lineRule="auto"/>
        <w:ind w:left="1418" w:right="567" w:firstLine="0"/>
        <w:contextualSpacing/>
        <w:rPr>
          <w:color w:val="000000"/>
          <w:sz w:val="24"/>
          <w:szCs w:val="24"/>
          <w:lang w:val="uz-Cyrl-UZ"/>
        </w:rPr>
      </w:pPr>
      <w:r w:rsidRPr="0036216C">
        <w:rPr>
          <w:b/>
          <w:i/>
          <w:color w:val="000000"/>
          <w:sz w:val="24"/>
          <w:szCs w:val="24"/>
        </w:rPr>
        <w:t>b)</w:t>
      </w:r>
      <w:r w:rsidRPr="0036216C">
        <w:rPr>
          <w:i/>
          <w:color w:val="000000"/>
          <w:sz w:val="24"/>
          <w:szCs w:val="24"/>
        </w:rPr>
        <w:t xml:space="preserve"> La creación de un fondo cuyo objetivo sea compensar la caída de Ingresos de libre disposición de ejercicios subsecuentes</w:t>
      </w:r>
      <w:r w:rsidRPr="0036216C">
        <w:rPr>
          <w:color w:val="000000"/>
          <w:sz w:val="24"/>
          <w:szCs w:val="24"/>
        </w:rPr>
        <w:t>.</w:t>
      </w:r>
    </w:p>
    <w:p w:rsidR="00DD49B1" w:rsidRPr="0036216C" w:rsidRDefault="00DD49B1" w:rsidP="00DD49B1">
      <w:pPr>
        <w:pStyle w:val="Texto"/>
        <w:spacing w:before="120" w:after="120" w:line="360" w:lineRule="auto"/>
        <w:ind w:left="1418" w:right="567" w:firstLine="0"/>
        <w:contextualSpacing/>
        <w:rPr>
          <w:color w:val="000000"/>
          <w:sz w:val="24"/>
          <w:szCs w:val="24"/>
          <w:lang w:val="uz-Cyrl-UZ"/>
        </w:rPr>
      </w:pPr>
    </w:p>
    <w:p w:rsidR="00DD49B1" w:rsidRPr="0036216C" w:rsidRDefault="00DD49B1" w:rsidP="00DD49B1">
      <w:pPr>
        <w:pStyle w:val="Texto"/>
        <w:spacing w:before="120" w:after="120" w:line="360" w:lineRule="auto"/>
        <w:ind w:left="1418" w:right="567" w:firstLine="0"/>
        <w:contextualSpacing/>
        <w:rPr>
          <w:i/>
          <w:color w:val="000000"/>
          <w:sz w:val="24"/>
          <w:szCs w:val="24"/>
          <w:lang w:val="uz-Cyrl-UZ"/>
        </w:rPr>
      </w:pPr>
      <w:r w:rsidRPr="0036216C">
        <w:rPr>
          <w:i/>
          <w:color w:val="000000"/>
          <w:sz w:val="24"/>
          <w:szCs w:val="24"/>
        </w:rPr>
        <w:t>Los Ingresos excedentes derivados de Ingresos de libre disposición de las Entidades Federativas podrán destinarse a los rubros mencionados en el presente artículo, sin limitación alguna, siempre y cuando la Entidad Federativa se clasifique en un nivel de endeudamiento sostenible de acuerdo al Sistema de Alertas.</w:t>
      </w:r>
    </w:p>
    <w:p w:rsidR="00DD49B1" w:rsidRPr="0036216C" w:rsidRDefault="00DD49B1" w:rsidP="00DD49B1">
      <w:pPr>
        <w:spacing w:before="120" w:after="120" w:line="360" w:lineRule="auto"/>
        <w:ind w:left="284"/>
        <w:contextualSpacing/>
        <w:jc w:val="both"/>
        <w:rPr>
          <w:rFonts w:ascii="Arial" w:hAnsi="Arial" w:cs="Arial"/>
          <w:sz w:val="24"/>
          <w:szCs w:val="24"/>
        </w:rPr>
      </w:pPr>
    </w:p>
    <w:p w:rsidR="00DD49B1" w:rsidRPr="0036216C" w:rsidRDefault="00DD49B1" w:rsidP="009A283B">
      <w:pPr>
        <w:spacing w:before="120" w:after="120" w:line="360" w:lineRule="auto"/>
        <w:ind w:left="284"/>
        <w:contextualSpacing/>
        <w:jc w:val="both"/>
        <w:rPr>
          <w:rFonts w:ascii="Arial" w:hAnsi="Arial" w:cs="Arial"/>
          <w:sz w:val="24"/>
          <w:szCs w:val="24"/>
        </w:rPr>
      </w:pPr>
    </w:p>
    <w:p w:rsidR="00DD49B1" w:rsidRPr="00432D3A" w:rsidRDefault="00DD49B1" w:rsidP="00432D3A">
      <w:pPr>
        <w:tabs>
          <w:tab w:val="left" w:pos="7938"/>
        </w:tabs>
        <w:spacing w:before="120" w:after="120" w:line="360" w:lineRule="auto"/>
        <w:ind w:left="284" w:right="418"/>
        <w:contextualSpacing/>
        <w:jc w:val="both"/>
        <w:rPr>
          <w:rFonts w:ascii="Arial" w:eastAsia="Arial" w:hAnsi="Arial" w:cs="Arial"/>
          <w:bCs/>
          <w:color w:val="000000"/>
          <w:sz w:val="24"/>
          <w:szCs w:val="24"/>
          <w:lang w:eastAsia="es-MX"/>
        </w:rPr>
      </w:pPr>
      <w:r w:rsidRPr="00891F09">
        <w:rPr>
          <w:rFonts w:ascii="Arial" w:eastAsia="Arial" w:hAnsi="Arial" w:cs="Arial"/>
          <w:bCs/>
          <w:color w:val="000000"/>
          <w:sz w:val="24"/>
          <w:szCs w:val="24"/>
          <w:lang w:eastAsia="es-MX"/>
        </w:rPr>
        <w:t>En atención a los argumentos expuestos por los suscritos Diputados de</w:t>
      </w:r>
      <w:r w:rsidR="009A283B">
        <w:rPr>
          <w:rFonts w:ascii="Arial" w:eastAsia="Arial" w:hAnsi="Arial" w:cs="Arial"/>
          <w:bCs/>
          <w:color w:val="000000"/>
          <w:sz w:val="24"/>
          <w:szCs w:val="24"/>
          <w:lang w:eastAsia="es-MX"/>
        </w:rPr>
        <w:t xml:space="preserve"> </w:t>
      </w:r>
      <w:r w:rsidRPr="00891F09">
        <w:rPr>
          <w:rFonts w:ascii="Arial" w:eastAsia="Arial" w:hAnsi="Arial" w:cs="Arial"/>
          <w:bCs/>
          <w:color w:val="000000"/>
          <w:sz w:val="24"/>
          <w:szCs w:val="24"/>
          <w:lang w:eastAsia="es-MX"/>
        </w:rPr>
        <w:t>esta Comisión</w:t>
      </w:r>
      <w:r>
        <w:rPr>
          <w:rFonts w:ascii="Arial" w:eastAsia="Arial" w:hAnsi="Arial" w:cs="Arial"/>
          <w:bCs/>
          <w:color w:val="000000"/>
          <w:sz w:val="24"/>
          <w:szCs w:val="24"/>
          <w:lang w:eastAsia="es-MX"/>
        </w:rPr>
        <w:t xml:space="preserve"> de Presupuesto</w:t>
      </w:r>
      <w:r w:rsidRPr="00891F09">
        <w:rPr>
          <w:rFonts w:ascii="Arial" w:eastAsia="Arial" w:hAnsi="Arial" w:cs="Arial"/>
          <w:bCs/>
          <w:color w:val="000000"/>
          <w:sz w:val="24"/>
          <w:szCs w:val="24"/>
          <w:lang w:eastAsia="es-MX"/>
        </w:rPr>
        <w:t>, y de acuerdo con lo establecido en los artículos 39 fracción XXIII, y 47 incisos d) y e) del Reglamento para el Gobierno Interior del Congreso del Estado de Nuevo León, proponemos ante esta Soberanía la aprobación del siguiente proyecto de:</w:t>
      </w:r>
    </w:p>
    <w:p w:rsidR="00DD49B1" w:rsidRPr="009A283B" w:rsidRDefault="00DD49B1" w:rsidP="00453778">
      <w:pPr>
        <w:spacing w:before="215" w:after="0" w:line="360" w:lineRule="auto"/>
        <w:ind w:right="-1" w:firstLine="567"/>
        <w:rPr>
          <w:rFonts w:ascii="Arial" w:hAnsi="Arial" w:cs="Arial"/>
          <w:color w:val="000000"/>
          <w:w w:val="103"/>
          <w:sz w:val="24"/>
          <w:szCs w:val="24"/>
        </w:rPr>
      </w:pPr>
    </w:p>
    <w:p w:rsidR="000F389A" w:rsidRPr="00A80737" w:rsidRDefault="000F389A" w:rsidP="00A80737">
      <w:pPr>
        <w:spacing w:after="0" w:line="360" w:lineRule="auto"/>
        <w:ind w:left="567" w:right="-1"/>
        <w:jc w:val="both"/>
        <w:rPr>
          <w:rFonts w:ascii="Arial" w:hAnsi="Arial" w:cs="Arial"/>
          <w:sz w:val="24"/>
          <w:szCs w:val="24"/>
        </w:rPr>
      </w:pPr>
    </w:p>
    <w:p w:rsidR="000F389A" w:rsidRPr="003B484C" w:rsidRDefault="001C1F91" w:rsidP="003B484C">
      <w:pPr>
        <w:spacing w:before="135" w:after="0" w:line="360" w:lineRule="auto"/>
        <w:ind w:left="567" w:right="-1"/>
        <w:jc w:val="center"/>
        <w:rPr>
          <w:rFonts w:ascii="Arial" w:hAnsi="Arial" w:cs="Arial"/>
          <w:b/>
          <w:color w:val="000000"/>
          <w:spacing w:val="2"/>
          <w:sz w:val="24"/>
          <w:szCs w:val="24"/>
        </w:rPr>
      </w:pPr>
      <w:r w:rsidRPr="003B484C">
        <w:rPr>
          <w:rFonts w:ascii="Arial" w:hAnsi="Arial" w:cs="Arial"/>
          <w:b/>
          <w:color w:val="000000"/>
          <w:spacing w:val="2"/>
          <w:sz w:val="24"/>
          <w:szCs w:val="24"/>
        </w:rPr>
        <w:t>DECRETO</w:t>
      </w:r>
    </w:p>
    <w:p w:rsidR="00147A7D" w:rsidRDefault="003B484C" w:rsidP="005D4227">
      <w:pPr>
        <w:pStyle w:val="Text"/>
        <w:spacing w:before="240" w:line="360" w:lineRule="auto"/>
        <w:jc w:val="both"/>
        <w:rPr>
          <w:rFonts w:ascii="Arial" w:eastAsiaTheme="minorEastAsia" w:hAnsi="Arial" w:cs="Arial"/>
          <w:szCs w:val="24"/>
          <w:lang w:val="es-MX" w:eastAsia="en-CA"/>
        </w:rPr>
      </w:pPr>
      <w:r w:rsidRPr="005D4227">
        <w:rPr>
          <w:rFonts w:ascii="Arial" w:hAnsi="Arial" w:cs="Arial"/>
          <w:b/>
          <w:color w:val="000000"/>
          <w:szCs w:val="24"/>
          <w:lang w:val="es-ES"/>
        </w:rPr>
        <w:t>ARTÍCULO ÚNICO.-</w:t>
      </w:r>
      <w:r w:rsidRPr="0083447A">
        <w:rPr>
          <w:rFonts w:ascii="Arial" w:hAnsi="Arial" w:cs="Arial"/>
          <w:color w:val="000000"/>
          <w:szCs w:val="24"/>
          <w:lang w:val="es-ES"/>
        </w:rPr>
        <w:t xml:space="preserve"> </w:t>
      </w:r>
      <w:r w:rsidR="00136526" w:rsidRPr="00136526">
        <w:rPr>
          <w:rFonts w:ascii="Arial" w:eastAsiaTheme="minorEastAsia" w:hAnsi="Arial" w:cs="Arial"/>
          <w:szCs w:val="24"/>
          <w:lang w:val="es-MX" w:eastAsia="en-CA"/>
        </w:rPr>
        <w:t>Se expide la Ley de Ingresos del Estado de Nuevo León para el año 2018, en los siguientes términos:</w:t>
      </w:r>
    </w:p>
    <w:p w:rsidR="00136526" w:rsidRDefault="00136526" w:rsidP="005D4227">
      <w:pPr>
        <w:pStyle w:val="Text"/>
        <w:spacing w:before="240" w:line="360" w:lineRule="auto"/>
        <w:jc w:val="both"/>
        <w:rPr>
          <w:rFonts w:ascii="Arial" w:hAnsi="Arial" w:cs="Arial"/>
          <w:color w:val="000000"/>
          <w:szCs w:val="24"/>
        </w:rPr>
      </w:pPr>
    </w:p>
    <w:p w:rsidR="00600360" w:rsidRPr="00237B3B" w:rsidRDefault="00600360" w:rsidP="00600360">
      <w:pPr>
        <w:pStyle w:val="Texto"/>
        <w:spacing w:after="0" w:line="240" w:lineRule="auto"/>
        <w:ind w:firstLine="0"/>
        <w:jc w:val="center"/>
        <w:rPr>
          <w:b/>
          <w:bCs/>
          <w:sz w:val="22"/>
          <w:szCs w:val="22"/>
        </w:rPr>
      </w:pPr>
      <w:r w:rsidRPr="00237B3B">
        <w:rPr>
          <w:b/>
          <w:bCs/>
          <w:sz w:val="22"/>
          <w:szCs w:val="22"/>
        </w:rPr>
        <w:t xml:space="preserve">LEY DE </w:t>
      </w:r>
      <w:r>
        <w:rPr>
          <w:b/>
          <w:bCs/>
          <w:sz w:val="22"/>
          <w:szCs w:val="22"/>
        </w:rPr>
        <w:t>IN</w:t>
      </w:r>
      <w:r w:rsidRPr="00237B3B">
        <w:rPr>
          <w:b/>
          <w:bCs/>
          <w:sz w:val="22"/>
          <w:szCs w:val="22"/>
        </w:rPr>
        <w:t>GRESOS DEL ESTADO DE NUEVO LEÓN PARA EL EJERCICIO FISCAL 2018</w:t>
      </w:r>
    </w:p>
    <w:p w:rsidR="00600360" w:rsidRPr="00AD68B8" w:rsidRDefault="00600360" w:rsidP="00600360">
      <w:pPr>
        <w:spacing w:after="0"/>
        <w:jc w:val="center"/>
        <w:rPr>
          <w:rFonts w:ascii="Arial" w:hAnsi="Arial" w:cs="Arial"/>
          <w:b/>
          <w:szCs w:val="24"/>
        </w:rPr>
      </w:pPr>
    </w:p>
    <w:p w:rsidR="00600360" w:rsidRDefault="00600360" w:rsidP="00600360">
      <w:pPr>
        <w:spacing w:before="240" w:after="240"/>
        <w:jc w:val="both"/>
        <w:rPr>
          <w:rFonts w:ascii="Arial" w:hAnsi="Arial" w:cs="Arial"/>
          <w:szCs w:val="24"/>
        </w:rPr>
      </w:pPr>
      <w:r w:rsidRPr="00E72682">
        <w:rPr>
          <w:rFonts w:ascii="Arial" w:hAnsi="Arial" w:cs="Arial"/>
          <w:b/>
          <w:szCs w:val="24"/>
        </w:rPr>
        <w:t>Artículo 1.-</w:t>
      </w:r>
      <w:r w:rsidRPr="001A6D61">
        <w:rPr>
          <w:rFonts w:ascii="Arial" w:hAnsi="Arial" w:cs="Arial"/>
          <w:szCs w:val="24"/>
        </w:rPr>
        <w:t xml:space="preserve"> En el ejercicio fiscal del año 2018 la Hacienda Pública del Estado de Nuevo</w:t>
      </w:r>
      <w:r>
        <w:rPr>
          <w:rFonts w:ascii="Arial" w:hAnsi="Arial" w:cs="Arial"/>
          <w:szCs w:val="24"/>
        </w:rPr>
        <w:t xml:space="preserve"> </w:t>
      </w:r>
      <w:r w:rsidRPr="001A6D61">
        <w:rPr>
          <w:rFonts w:ascii="Arial" w:hAnsi="Arial" w:cs="Arial"/>
          <w:szCs w:val="24"/>
        </w:rPr>
        <w:t xml:space="preserve">León, </w:t>
      </w:r>
      <w:r>
        <w:rPr>
          <w:rFonts w:ascii="Arial" w:hAnsi="Arial" w:cs="Arial"/>
          <w:szCs w:val="24"/>
        </w:rPr>
        <w:t xml:space="preserve">sin incluir EDEFAS, </w:t>
      </w:r>
      <w:r w:rsidRPr="001A6D61">
        <w:rPr>
          <w:rFonts w:ascii="Arial" w:hAnsi="Arial" w:cs="Arial"/>
          <w:szCs w:val="24"/>
        </w:rPr>
        <w:t>percibirá los ingresos estimados en pesos que a continuación se enumeran:</w:t>
      </w:r>
    </w:p>
    <w:tbl>
      <w:tblPr>
        <w:tblW w:w="8917" w:type="dxa"/>
        <w:tblInd w:w="-567" w:type="dxa"/>
        <w:tblCellMar>
          <w:left w:w="70" w:type="dxa"/>
          <w:right w:w="70" w:type="dxa"/>
        </w:tblCellMar>
        <w:tblLook w:val="04A0" w:firstRow="1" w:lastRow="0" w:firstColumn="1" w:lastColumn="0" w:noHBand="0" w:noVBand="1"/>
      </w:tblPr>
      <w:tblGrid>
        <w:gridCol w:w="471"/>
        <w:gridCol w:w="146"/>
        <w:gridCol w:w="324"/>
        <w:gridCol w:w="360"/>
        <w:gridCol w:w="5592"/>
        <w:gridCol w:w="263"/>
        <w:gridCol w:w="1761"/>
      </w:tblGrid>
      <w:tr w:rsidR="00600360" w:rsidRPr="00F520CE" w:rsidTr="00EA1B2C">
        <w:trPr>
          <w:trHeight w:val="315"/>
        </w:trPr>
        <w:tc>
          <w:tcPr>
            <w:tcW w:w="471" w:type="dxa"/>
            <w:tcBorders>
              <w:top w:val="nil"/>
              <w:left w:val="nil"/>
              <w:bottom w:val="nil"/>
              <w:right w:val="nil"/>
            </w:tcBorders>
            <w:shd w:val="clear" w:color="auto" w:fill="auto"/>
            <w:noWrap/>
            <w:vAlign w:val="bottom"/>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A.</w:t>
            </w:r>
          </w:p>
        </w:tc>
        <w:tc>
          <w:tcPr>
            <w:tcW w:w="6422" w:type="dxa"/>
            <w:gridSpan w:val="4"/>
            <w:tcBorders>
              <w:top w:val="nil"/>
              <w:left w:val="nil"/>
              <w:bottom w:val="nil"/>
              <w:right w:val="nil"/>
            </w:tcBorders>
            <w:shd w:val="clear" w:color="auto" w:fill="auto"/>
            <w:noWrap/>
            <w:vAlign w:val="bottom"/>
            <w:hideMark/>
          </w:tcPr>
          <w:p w:rsidR="00600360" w:rsidRPr="00F520CE" w:rsidRDefault="00600360" w:rsidP="00FB59A3">
            <w:pPr>
              <w:spacing w:after="0" w:line="240" w:lineRule="auto"/>
              <w:rPr>
                <w:rFonts w:ascii="Arial" w:hAnsi="Arial" w:cs="Arial"/>
                <w:b/>
                <w:bCs/>
              </w:rPr>
            </w:pPr>
            <w:r w:rsidRPr="00F520CE">
              <w:rPr>
                <w:rFonts w:ascii="Arial" w:hAnsi="Arial" w:cs="Arial"/>
                <w:b/>
                <w:bCs/>
              </w:rPr>
              <w:t>INGRESOS.</w:t>
            </w:r>
          </w:p>
        </w:tc>
        <w:tc>
          <w:tcPr>
            <w:tcW w:w="263" w:type="dxa"/>
            <w:tcBorders>
              <w:top w:val="nil"/>
              <w:left w:val="nil"/>
              <w:bottom w:val="nil"/>
              <w:right w:val="nil"/>
            </w:tcBorders>
            <w:shd w:val="clear" w:color="auto" w:fill="auto"/>
            <w:noWrap/>
            <w:vAlign w:val="bottom"/>
            <w:hideMark/>
          </w:tcPr>
          <w:p w:rsidR="00600360" w:rsidRPr="00F520CE" w:rsidRDefault="00600360" w:rsidP="00FB59A3">
            <w:pPr>
              <w:spacing w:after="0" w:line="240" w:lineRule="auto"/>
              <w:rPr>
                <w:rFonts w:ascii="Arial" w:hAnsi="Arial" w:cs="Arial"/>
                <w:b/>
                <w:bCs/>
              </w:rPr>
            </w:pPr>
          </w:p>
        </w:tc>
        <w:tc>
          <w:tcPr>
            <w:tcW w:w="1761" w:type="dxa"/>
            <w:tcBorders>
              <w:top w:val="nil"/>
              <w:left w:val="nil"/>
              <w:bottom w:val="nil"/>
              <w:right w:val="nil"/>
            </w:tcBorders>
            <w:shd w:val="clear" w:color="auto" w:fill="auto"/>
            <w:noWrap/>
            <w:vAlign w:val="bottom"/>
            <w:hideMark/>
          </w:tcPr>
          <w:p w:rsidR="00600360" w:rsidRPr="00F520CE" w:rsidRDefault="00600360" w:rsidP="00FB59A3">
            <w:pPr>
              <w:spacing w:after="0" w:line="240" w:lineRule="auto"/>
              <w:jc w:val="right"/>
              <w:rPr>
                <w:rFonts w:ascii="Arial" w:hAnsi="Arial" w:cs="Arial"/>
                <w:b/>
                <w:bCs/>
              </w:rPr>
            </w:pP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I.</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Impuestos.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8,883,508,727</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Impuestos sobre los ingresos.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a.</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Impuesto por obtención de premios.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264,834,887</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Impuestos sobre el patrimonio.</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a.</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Impuesto sobre tenencia o uso de vehículos.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133,179,587</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3.</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Impuestos sobre la producción, el consumo y las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roofErr w:type="gramStart"/>
            <w:r w:rsidRPr="00F520CE">
              <w:rPr>
                <w:rFonts w:ascii="Arial" w:hAnsi="Arial" w:cs="Arial"/>
              </w:rPr>
              <w:t>transacciones</w:t>
            </w:r>
            <w:proofErr w:type="gramEnd"/>
            <w:r w:rsidRPr="00F520CE">
              <w:rPr>
                <w:rFonts w:ascii="Arial" w:hAnsi="Arial" w:cs="Arial"/>
              </w:rPr>
              <w:t>.</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a.</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Impuesto sobre hospedaje.</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125,503,892</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b.</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Impuesto sobre transmisión de propiedad de</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roofErr w:type="gramStart"/>
            <w:r w:rsidRPr="00F520CE">
              <w:rPr>
                <w:rFonts w:ascii="Arial" w:hAnsi="Arial" w:cs="Arial"/>
              </w:rPr>
              <w:t>vehículos</w:t>
            </w:r>
            <w:proofErr w:type="gramEnd"/>
            <w:r w:rsidRPr="00F520CE">
              <w:rPr>
                <w:rFonts w:ascii="Arial" w:hAnsi="Arial" w:cs="Arial"/>
              </w:rPr>
              <w:t xml:space="preserve"> automotores usados.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229,576,356</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c.</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Impuesto a las erogaciones en juegos con apuestas.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531,073,296</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d.</w:t>
            </w:r>
          </w:p>
        </w:tc>
        <w:tc>
          <w:tcPr>
            <w:tcW w:w="6215" w:type="dxa"/>
            <w:gridSpan w:val="3"/>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Impuesto por la realización de juegos con apuestas</w:t>
            </w:r>
          </w:p>
        </w:tc>
        <w:tc>
          <w:tcPr>
            <w:tcW w:w="1761" w:type="dxa"/>
            <w:tcBorders>
              <w:top w:val="nil"/>
              <w:left w:val="nil"/>
              <w:bottom w:val="nil"/>
              <w:right w:val="nil"/>
            </w:tcBorders>
            <w:shd w:val="clear" w:color="auto" w:fill="auto"/>
            <w:noWrap/>
            <w:vAlign w:val="bottom"/>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roofErr w:type="gramStart"/>
            <w:r w:rsidRPr="00F520CE">
              <w:rPr>
                <w:rFonts w:ascii="Arial" w:hAnsi="Arial" w:cs="Arial"/>
              </w:rPr>
              <w:t>y</w:t>
            </w:r>
            <w:proofErr w:type="gramEnd"/>
            <w:r w:rsidRPr="00F520CE">
              <w:rPr>
                <w:rFonts w:ascii="Arial" w:hAnsi="Arial" w:cs="Arial"/>
              </w:rPr>
              <w:t xml:space="preserve"> sorteos.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99,791,865</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4.</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Impuestos al comercio exterior.</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5.</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Impuestos sobre nóminas y asimilables.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a.</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Impuesto sobre nóminas.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7,468,248,568</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6.</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Impuestos ecológicos.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7.</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Accesorios de impuestos.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31,300,276</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8.</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Otros impuestos.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9.</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Impuestos no comprendidos en las fracciones de la</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8446" w:type="dxa"/>
            <w:gridSpan w:val="6"/>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Ley de Ingresos causadas en ejercicios fiscales anteriores</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roofErr w:type="gramStart"/>
            <w:r w:rsidRPr="00F520CE">
              <w:rPr>
                <w:rFonts w:ascii="Arial" w:hAnsi="Arial" w:cs="Arial"/>
              </w:rPr>
              <w:t>pendientes</w:t>
            </w:r>
            <w:proofErr w:type="gramEnd"/>
            <w:r w:rsidRPr="00F520CE">
              <w:rPr>
                <w:rFonts w:ascii="Arial" w:hAnsi="Arial" w:cs="Arial"/>
              </w:rPr>
              <w:t xml:space="preserve"> de liquidación o pago.</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II.</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Cuotas y aportaciones de seguridad social.</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Aportaciones para fondos de vivienda.</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Cuotas para el seguro social.</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3.</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Cuotas de ahorro para el retiro.</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4.</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Otras cuotas y aportaciones para la seguridad social.</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5.</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Accesorios.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III.</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Contribuciones de mejoras.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Contribuciones de mejoras por obras públicas.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Contribuciones de Mejoras no comprendidas en las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6685" w:type="dxa"/>
            <w:gridSpan w:val="5"/>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fracciones de la Ley de Ingresos causadas en ejercicios</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roofErr w:type="gramStart"/>
            <w:r w:rsidRPr="00F520CE">
              <w:rPr>
                <w:rFonts w:ascii="Arial" w:hAnsi="Arial" w:cs="Arial"/>
              </w:rPr>
              <w:t>fiscales</w:t>
            </w:r>
            <w:proofErr w:type="gramEnd"/>
            <w:r w:rsidRPr="00F520CE">
              <w:rPr>
                <w:rFonts w:ascii="Arial" w:hAnsi="Arial" w:cs="Arial"/>
              </w:rPr>
              <w:t xml:space="preserve"> anteriores pendientes de liquidación o pago.</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IV.</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Derechos.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1,445,216,620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w:t>
            </w:r>
          </w:p>
        </w:tc>
        <w:tc>
          <w:tcPr>
            <w:tcW w:w="8446" w:type="dxa"/>
            <w:gridSpan w:val="6"/>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Derechos por el uso, goce, aprovechamiento o explotación</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roofErr w:type="gramStart"/>
            <w:r w:rsidRPr="00F520CE">
              <w:rPr>
                <w:rFonts w:ascii="Arial" w:hAnsi="Arial" w:cs="Arial"/>
              </w:rPr>
              <w:t>de</w:t>
            </w:r>
            <w:proofErr w:type="gramEnd"/>
            <w:r w:rsidRPr="00F520CE">
              <w:rPr>
                <w:rFonts w:ascii="Arial" w:hAnsi="Arial" w:cs="Arial"/>
              </w:rPr>
              <w:t xml:space="preserve"> bienes de dominio público.</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33,810,473</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Derechos a los hidrocarburos.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3.</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Derechos por prestación de servicios.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a.</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Por servicios prestados por la Secretaría del Trabajo.</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b.</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Por servicios prestados por la Secretaría General</w:t>
            </w:r>
          </w:p>
        </w:tc>
        <w:tc>
          <w:tcPr>
            <w:tcW w:w="263" w:type="dxa"/>
            <w:tcBorders>
              <w:top w:val="nil"/>
              <w:left w:val="nil"/>
              <w:bottom w:val="nil"/>
              <w:right w:val="nil"/>
            </w:tcBorders>
            <w:shd w:val="clear" w:color="auto" w:fill="auto"/>
            <w:noWrap/>
            <w:vAlign w:val="bottom"/>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vAlign w:val="bottom"/>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roofErr w:type="gramStart"/>
            <w:r w:rsidRPr="00F520CE">
              <w:rPr>
                <w:rFonts w:ascii="Arial" w:hAnsi="Arial" w:cs="Arial"/>
              </w:rPr>
              <w:t>de</w:t>
            </w:r>
            <w:proofErr w:type="gramEnd"/>
            <w:r w:rsidRPr="00F520CE">
              <w:rPr>
                <w:rFonts w:ascii="Arial" w:hAnsi="Arial" w:cs="Arial"/>
              </w:rPr>
              <w:t xml:space="preserve"> Gobierno.</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237,735,601</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c.</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Por servicios prestados por la Secretaría de Educación.</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23,607,176</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d.</w:t>
            </w:r>
          </w:p>
        </w:tc>
        <w:tc>
          <w:tcPr>
            <w:tcW w:w="7976"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Por servicios prestados por la Secretaría de Finanzas</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roofErr w:type="gramStart"/>
            <w:r w:rsidRPr="00F520CE">
              <w:rPr>
                <w:rFonts w:ascii="Arial" w:hAnsi="Arial" w:cs="Arial"/>
              </w:rPr>
              <w:t>y</w:t>
            </w:r>
            <w:proofErr w:type="gramEnd"/>
            <w:r w:rsidRPr="00F520CE">
              <w:rPr>
                <w:rFonts w:ascii="Arial" w:hAnsi="Arial" w:cs="Arial"/>
              </w:rPr>
              <w:t xml:space="preserve"> Tesorería General del Estado.</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1,005,179,517</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e.</w:t>
            </w:r>
          </w:p>
        </w:tc>
        <w:tc>
          <w:tcPr>
            <w:tcW w:w="7976"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Por servicios prestados por la Secretaría de Desarrollo</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Sustentable.</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74,358,813</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f.</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Por servicios prestados por diversas dependencias.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69,839,865</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4.</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Otros derechos.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5.</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Accesorios.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685,175</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6.</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Derechos no comprendidos en las fracciones de la</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8446" w:type="dxa"/>
            <w:gridSpan w:val="6"/>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Ley de Ingresos causadas en ejercicios fiscales anteriores</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roofErr w:type="gramStart"/>
            <w:r w:rsidRPr="00F520CE">
              <w:rPr>
                <w:rFonts w:ascii="Arial" w:hAnsi="Arial" w:cs="Arial"/>
              </w:rPr>
              <w:t>pendientes</w:t>
            </w:r>
            <w:proofErr w:type="gramEnd"/>
            <w:r w:rsidRPr="00F520CE">
              <w:rPr>
                <w:rFonts w:ascii="Arial" w:hAnsi="Arial" w:cs="Arial"/>
              </w:rPr>
              <w:t xml:space="preserve"> de liquidación o pago.</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V.</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Productos.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264,866,810</w:t>
            </w: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Productos de tipo corriente.</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a.</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Enajenación de bienes muebles o inmuebles.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4,402,573</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b.</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Arrendamiento o explotación de bienes muebles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roofErr w:type="gramStart"/>
            <w:r w:rsidRPr="00F520CE">
              <w:rPr>
                <w:rFonts w:ascii="Arial" w:hAnsi="Arial" w:cs="Arial"/>
              </w:rPr>
              <w:t>o</w:t>
            </w:r>
            <w:proofErr w:type="gramEnd"/>
            <w:r w:rsidRPr="00F520CE">
              <w:rPr>
                <w:rFonts w:ascii="Arial" w:hAnsi="Arial" w:cs="Arial"/>
              </w:rPr>
              <w:t xml:space="preserve"> inmuebles del dominio privado.</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18,823,476</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c.</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Intereses.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240,334,365</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d.</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Los procedentes de los medios de comunicación</w:t>
            </w:r>
          </w:p>
        </w:tc>
        <w:tc>
          <w:tcPr>
            <w:tcW w:w="263" w:type="dxa"/>
            <w:tcBorders>
              <w:top w:val="nil"/>
              <w:left w:val="nil"/>
              <w:bottom w:val="nil"/>
              <w:right w:val="nil"/>
            </w:tcBorders>
            <w:shd w:val="clear" w:color="auto" w:fill="auto"/>
            <w:noWrap/>
            <w:vAlign w:val="bottom"/>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vAlign w:val="bottom"/>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roofErr w:type="gramStart"/>
            <w:r w:rsidRPr="00F520CE">
              <w:rPr>
                <w:rFonts w:ascii="Arial" w:hAnsi="Arial" w:cs="Arial"/>
              </w:rPr>
              <w:t>social</w:t>
            </w:r>
            <w:proofErr w:type="gramEnd"/>
            <w:r w:rsidRPr="00F520CE">
              <w:rPr>
                <w:rFonts w:ascii="Arial" w:hAnsi="Arial" w:cs="Arial"/>
              </w:rPr>
              <w:t xml:space="preserve"> del Estado.</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e.</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Venta de impresos y papel especial.</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7,362</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f.</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Ingresos de organismos desconcentrados</w:t>
            </w:r>
          </w:p>
        </w:tc>
        <w:tc>
          <w:tcPr>
            <w:tcW w:w="263" w:type="dxa"/>
            <w:tcBorders>
              <w:top w:val="nil"/>
              <w:left w:val="nil"/>
              <w:bottom w:val="nil"/>
              <w:right w:val="nil"/>
            </w:tcBorders>
            <w:shd w:val="clear" w:color="auto" w:fill="auto"/>
            <w:noWrap/>
            <w:vAlign w:val="bottom"/>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vAlign w:val="bottom"/>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roofErr w:type="gramStart"/>
            <w:r w:rsidRPr="00F520CE">
              <w:rPr>
                <w:rFonts w:ascii="Arial" w:hAnsi="Arial" w:cs="Arial"/>
              </w:rPr>
              <w:t>y</w:t>
            </w:r>
            <w:proofErr w:type="gramEnd"/>
            <w:r w:rsidRPr="00F520CE">
              <w:rPr>
                <w:rFonts w:ascii="Arial" w:hAnsi="Arial" w:cs="Arial"/>
              </w:rPr>
              <w:t xml:space="preserve"> diversas entidades.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1,299,034</w:t>
            </w: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Productos de capital.</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3.</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Productos no comprendidos en las fracciones de la</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8446" w:type="dxa"/>
            <w:gridSpan w:val="6"/>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Ley de Ingresos causadas en ejercicios fiscales anteriores</w:t>
            </w: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roofErr w:type="gramStart"/>
            <w:r w:rsidRPr="00F520CE">
              <w:rPr>
                <w:rFonts w:ascii="Arial" w:hAnsi="Arial" w:cs="Arial"/>
              </w:rPr>
              <w:t>pendientes</w:t>
            </w:r>
            <w:proofErr w:type="gramEnd"/>
            <w:r w:rsidRPr="00F520CE">
              <w:rPr>
                <w:rFonts w:ascii="Arial" w:hAnsi="Arial" w:cs="Arial"/>
              </w:rPr>
              <w:t xml:space="preserve"> de liquidación o pago.</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VI.</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Aprovechamientos.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4,858,258,764</w:t>
            </w:r>
          </w:p>
        </w:tc>
      </w:tr>
      <w:tr w:rsidR="00600360" w:rsidRPr="000B4F88" w:rsidTr="00EA1B2C">
        <w:trPr>
          <w:trHeight w:val="300"/>
        </w:trPr>
        <w:tc>
          <w:tcPr>
            <w:tcW w:w="471" w:type="dxa"/>
            <w:tcBorders>
              <w:top w:val="nil"/>
              <w:left w:val="nil"/>
              <w:bottom w:val="nil"/>
              <w:right w:val="nil"/>
            </w:tcBorders>
            <w:shd w:val="clear" w:color="auto" w:fill="auto"/>
            <w:noWrap/>
            <w:hideMark/>
          </w:tcPr>
          <w:p w:rsidR="00600360" w:rsidRPr="00600360" w:rsidRDefault="00600360" w:rsidP="00FB59A3">
            <w:pPr>
              <w:spacing w:after="0" w:line="240" w:lineRule="auto"/>
              <w:jc w:val="right"/>
              <w:rPr>
                <w:rFonts w:ascii="Arial" w:hAnsi="Arial" w:cs="Arial"/>
              </w:rPr>
            </w:pPr>
            <w:r w:rsidRPr="00600360">
              <w:rPr>
                <w:rFonts w:ascii="Arial" w:hAnsi="Arial" w:cs="Arial"/>
              </w:rPr>
              <w:t>1.</w:t>
            </w:r>
          </w:p>
        </w:tc>
        <w:tc>
          <w:tcPr>
            <w:tcW w:w="6422" w:type="dxa"/>
            <w:gridSpan w:val="4"/>
            <w:tcBorders>
              <w:top w:val="nil"/>
              <w:left w:val="nil"/>
              <w:bottom w:val="nil"/>
              <w:right w:val="nil"/>
            </w:tcBorders>
            <w:shd w:val="clear" w:color="auto" w:fill="auto"/>
            <w:noWrap/>
            <w:hideMark/>
          </w:tcPr>
          <w:p w:rsidR="00600360" w:rsidRPr="00600360" w:rsidRDefault="00600360" w:rsidP="00FB59A3">
            <w:pPr>
              <w:spacing w:after="0" w:line="240" w:lineRule="auto"/>
              <w:rPr>
                <w:rFonts w:ascii="Arial" w:hAnsi="Arial" w:cs="Arial"/>
              </w:rPr>
            </w:pPr>
            <w:r w:rsidRPr="00600360">
              <w:rPr>
                <w:rFonts w:ascii="Arial" w:hAnsi="Arial" w:cs="Arial"/>
              </w:rPr>
              <w:t>Aprovechamientos de tipo corriente.</w:t>
            </w:r>
          </w:p>
        </w:tc>
        <w:tc>
          <w:tcPr>
            <w:tcW w:w="263" w:type="dxa"/>
            <w:tcBorders>
              <w:top w:val="nil"/>
              <w:left w:val="nil"/>
              <w:bottom w:val="nil"/>
              <w:right w:val="nil"/>
            </w:tcBorders>
            <w:shd w:val="clear" w:color="auto" w:fill="auto"/>
            <w:noWrap/>
            <w:hideMark/>
          </w:tcPr>
          <w:p w:rsidR="00600360" w:rsidRPr="00600360"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600360" w:rsidRDefault="00600360" w:rsidP="00FB59A3">
            <w:pPr>
              <w:spacing w:after="0" w:line="240" w:lineRule="auto"/>
              <w:jc w:val="right"/>
              <w:rPr>
                <w:rFonts w:ascii="Arial" w:hAnsi="Arial" w:cs="Arial"/>
              </w:rPr>
            </w:pPr>
          </w:p>
        </w:tc>
      </w:tr>
      <w:tr w:rsidR="00600360" w:rsidRPr="000B4F88" w:rsidTr="00EA1B2C">
        <w:trPr>
          <w:trHeight w:val="300"/>
        </w:trPr>
        <w:tc>
          <w:tcPr>
            <w:tcW w:w="471" w:type="dxa"/>
            <w:tcBorders>
              <w:top w:val="nil"/>
              <w:left w:val="nil"/>
              <w:bottom w:val="nil"/>
              <w:right w:val="nil"/>
            </w:tcBorders>
            <w:shd w:val="clear" w:color="auto" w:fill="auto"/>
            <w:noWrap/>
            <w:hideMark/>
          </w:tcPr>
          <w:p w:rsidR="00600360" w:rsidRPr="00600360"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600360"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600360" w:rsidRDefault="00600360" w:rsidP="00FB59A3">
            <w:pPr>
              <w:spacing w:after="0" w:line="240" w:lineRule="auto"/>
              <w:jc w:val="center"/>
              <w:rPr>
                <w:rFonts w:ascii="Arial" w:hAnsi="Arial" w:cs="Arial"/>
              </w:rPr>
            </w:pPr>
            <w:r w:rsidRPr="00600360">
              <w:rPr>
                <w:rFonts w:ascii="Arial" w:hAnsi="Arial" w:cs="Arial"/>
              </w:rPr>
              <w:t>a.</w:t>
            </w:r>
          </w:p>
        </w:tc>
        <w:tc>
          <w:tcPr>
            <w:tcW w:w="5952" w:type="dxa"/>
            <w:gridSpan w:val="2"/>
            <w:tcBorders>
              <w:top w:val="nil"/>
              <w:left w:val="nil"/>
              <w:bottom w:val="nil"/>
              <w:right w:val="nil"/>
            </w:tcBorders>
            <w:shd w:val="clear" w:color="auto" w:fill="auto"/>
            <w:noWrap/>
            <w:hideMark/>
          </w:tcPr>
          <w:p w:rsidR="00600360" w:rsidRPr="00600360" w:rsidRDefault="00600360" w:rsidP="00FB59A3">
            <w:pPr>
              <w:spacing w:after="0" w:line="240" w:lineRule="auto"/>
              <w:rPr>
                <w:rFonts w:ascii="Arial" w:hAnsi="Arial" w:cs="Arial"/>
              </w:rPr>
            </w:pPr>
            <w:r w:rsidRPr="00600360">
              <w:rPr>
                <w:rFonts w:ascii="Arial" w:hAnsi="Arial" w:cs="Arial"/>
              </w:rPr>
              <w:t>Incentivos en contribuciones federales.</w:t>
            </w:r>
          </w:p>
        </w:tc>
        <w:tc>
          <w:tcPr>
            <w:tcW w:w="263" w:type="dxa"/>
            <w:tcBorders>
              <w:top w:val="nil"/>
              <w:left w:val="nil"/>
              <w:bottom w:val="nil"/>
              <w:right w:val="nil"/>
            </w:tcBorders>
            <w:shd w:val="clear" w:color="auto" w:fill="auto"/>
            <w:noWrap/>
            <w:hideMark/>
          </w:tcPr>
          <w:p w:rsidR="00600360" w:rsidRPr="00600360" w:rsidRDefault="00600360" w:rsidP="00FB59A3">
            <w:pPr>
              <w:spacing w:after="0" w:line="240" w:lineRule="auto"/>
              <w:rPr>
                <w:rFonts w:ascii="Arial" w:hAnsi="Arial" w:cs="Arial"/>
              </w:rPr>
            </w:pPr>
            <w:r w:rsidRPr="00600360">
              <w:rPr>
                <w:rFonts w:ascii="Arial" w:hAnsi="Arial" w:cs="Arial"/>
              </w:rPr>
              <w:t>$</w:t>
            </w:r>
          </w:p>
        </w:tc>
        <w:tc>
          <w:tcPr>
            <w:tcW w:w="1761" w:type="dxa"/>
            <w:tcBorders>
              <w:top w:val="nil"/>
              <w:left w:val="nil"/>
              <w:bottom w:val="nil"/>
              <w:right w:val="nil"/>
            </w:tcBorders>
            <w:shd w:val="clear" w:color="auto" w:fill="auto"/>
            <w:noWrap/>
            <w:hideMark/>
          </w:tcPr>
          <w:p w:rsidR="00600360" w:rsidRPr="00600360" w:rsidRDefault="00600360" w:rsidP="00FB59A3">
            <w:pPr>
              <w:spacing w:after="0" w:line="240" w:lineRule="auto"/>
              <w:jc w:val="right"/>
              <w:rPr>
                <w:rFonts w:ascii="Arial" w:hAnsi="Arial" w:cs="Arial"/>
              </w:rPr>
            </w:pPr>
            <w:r w:rsidRPr="00600360">
              <w:rPr>
                <w:rFonts w:ascii="Arial" w:hAnsi="Arial" w:cs="Arial"/>
              </w:rPr>
              <w:t>2,805,740,788</w:t>
            </w:r>
          </w:p>
        </w:tc>
      </w:tr>
      <w:tr w:rsidR="00600360" w:rsidRPr="000B4F88" w:rsidTr="00EA1B2C">
        <w:trPr>
          <w:trHeight w:val="300"/>
        </w:trPr>
        <w:tc>
          <w:tcPr>
            <w:tcW w:w="471" w:type="dxa"/>
            <w:tcBorders>
              <w:top w:val="nil"/>
              <w:left w:val="nil"/>
              <w:bottom w:val="nil"/>
              <w:right w:val="nil"/>
            </w:tcBorders>
            <w:shd w:val="clear" w:color="auto" w:fill="auto"/>
            <w:noWrap/>
            <w:hideMark/>
          </w:tcPr>
          <w:p w:rsidR="00600360" w:rsidRPr="00600360"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600360"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600360" w:rsidRDefault="00600360" w:rsidP="00FB59A3">
            <w:pPr>
              <w:spacing w:after="0" w:line="240" w:lineRule="auto"/>
              <w:jc w:val="center"/>
              <w:rPr>
                <w:rFonts w:ascii="Arial" w:hAnsi="Arial" w:cs="Arial"/>
              </w:rPr>
            </w:pPr>
            <w:r w:rsidRPr="00600360">
              <w:rPr>
                <w:rFonts w:ascii="Arial" w:hAnsi="Arial" w:cs="Arial"/>
              </w:rPr>
              <w:t>b.</w:t>
            </w:r>
          </w:p>
        </w:tc>
        <w:tc>
          <w:tcPr>
            <w:tcW w:w="5952" w:type="dxa"/>
            <w:gridSpan w:val="2"/>
            <w:tcBorders>
              <w:top w:val="nil"/>
              <w:left w:val="nil"/>
              <w:bottom w:val="nil"/>
              <w:right w:val="nil"/>
            </w:tcBorders>
            <w:shd w:val="clear" w:color="auto" w:fill="auto"/>
            <w:noWrap/>
            <w:hideMark/>
          </w:tcPr>
          <w:p w:rsidR="00600360" w:rsidRPr="00600360" w:rsidRDefault="00600360" w:rsidP="00FB59A3">
            <w:pPr>
              <w:spacing w:after="0" w:line="240" w:lineRule="auto"/>
              <w:rPr>
                <w:rFonts w:ascii="Arial" w:hAnsi="Arial" w:cs="Arial"/>
              </w:rPr>
            </w:pPr>
            <w:r w:rsidRPr="00600360">
              <w:rPr>
                <w:rFonts w:ascii="Arial" w:hAnsi="Arial" w:cs="Arial"/>
              </w:rPr>
              <w:t>Multas.</w:t>
            </w:r>
          </w:p>
        </w:tc>
        <w:tc>
          <w:tcPr>
            <w:tcW w:w="263" w:type="dxa"/>
            <w:tcBorders>
              <w:top w:val="nil"/>
              <w:left w:val="nil"/>
              <w:bottom w:val="nil"/>
              <w:right w:val="nil"/>
            </w:tcBorders>
            <w:shd w:val="clear" w:color="auto" w:fill="auto"/>
            <w:noWrap/>
            <w:hideMark/>
          </w:tcPr>
          <w:p w:rsidR="00600360" w:rsidRPr="00600360" w:rsidRDefault="00600360" w:rsidP="00FB59A3">
            <w:pPr>
              <w:spacing w:after="0" w:line="240" w:lineRule="auto"/>
              <w:rPr>
                <w:rFonts w:ascii="Arial" w:hAnsi="Arial" w:cs="Arial"/>
              </w:rPr>
            </w:pPr>
            <w:r w:rsidRPr="00600360">
              <w:rPr>
                <w:rFonts w:ascii="Arial" w:hAnsi="Arial" w:cs="Arial"/>
              </w:rPr>
              <w:t>$</w:t>
            </w:r>
          </w:p>
        </w:tc>
        <w:tc>
          <w:tcPr>
            <w:tcW w:w="1761" w:type="dxa"/>
            <w:tcBorders>
              <w:top w:val="nil"/>
              <w:left w:val="nil"/>
              <w:bottom w:val="nil"/>
              <w:right w:val="nil"/>
            </w:tcBorders>
            <w:shd w:val="clear" w:color="auto" w:fill="auto"/>
            <w:noWrap/>
            <w:hideMark/>
          </w:tcPr>
          <w:p w:rsidR="00600360" w:rsidRPr="00600360" w:rsidRDefault="00600360" w:rsidP="00FB59A3">
            <w:pPr>
              <w:spacing w:after="0" w:line="240" w:lineRule="auto"/>
              <w:jc w:val="right"/>
              <w:rPr>
                <w:rFonts w:ascii="Arial" w:hAnsi="Arial" w:cs="Arial"/>
              </w:rPr>
            </w:pPr>
            <w:r w:rsidRPr="00600360">
              <w:rPr>
                <w:rFonts w:ascii="Arial" w:hAnsi="Arial" w:cs="Arial"/>
              </w:rPr>
              <w:t>37,334,495</w:t>
            </w:r>
          </w:p>
        </w:tc>
      </w:tr>
      <w:tr w:rsidR="00600360" w:rsidRPr="000B4F88" w:rsidTr="00EA1B2C">
        <w:trPr>
          <w:trHeight w:val="300"/>
        </w:trPr>
        <w:tc>
          <w:tcPr>
            <w:tcW w:w="471" w:type="dxa"/>
            <w:tcBorders>
              <w:top w:val="nil"/>
              <w:left w:val="nil"/>
              <w:bottom w:val="nil"/>
              <w:right w:val="nil"/>
            </w:tcBorders>
            <w:shd w:val="clear" w:color="auto" w:fill="auto"/>
            <w:noWrap/>
            <w:hideMark/>
          </w:tcPr>
          <w:p w:rsidR="00600360" w:rsidRPr="00600360"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600360"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600360" w:rsidRDefault="00600360" w:rsidP="00FB59A3">
            <w:pPr>
              <w:spacing w:after="0" w:line="240" w:lineRule="auto"/>
              <w:jc w:val="center"/>
              <w:rPr>
                <w:rFonts w:ascii="Arial" w:hAnsi="Arial" w:cs="Arial"/>
              </w:rPr>
            </w:pPr>
            <w:r w:rsidRPr="00600360">
              <w:rPr>
                <w:rFonts w:ascii="Arial" w:hAnsi="Arial" w:cs="Arial"/>
              </w:rPr>
              <w:t>c.</w:t>
            </w:r>
          </w:p>
        </w:tc>
        <w:tc>
          <w:tcPr>
            <w:tcW w:w="5952" w:type="dxa"/>
            <w:gridSpan w:val="2"/>
            <w:tcBorders>
              <w:top w:val="nil"/>
              <w:left w:val="nil"/>
              <w:bottom w:val="nil"/>
              <w:right w:val="nil"/>
            </w:tcBorders>
            <w:shd w:val="clear" w:color="auto" w:fill="auto"/>
            <w:noWrap/>
            <w:hideMark/>
          </w:tcPr>
          <w:p w:rsidR="00600360" w:rsidRPr="00600360" w:rsidRDefault="00600360" w:rsidP="00FB59A3">
            <w:pPr>
              <w:spacing w:after="0" w:line="240" w:lineRule="auto"/>
              <w:rPr>
                <w:rFonts w:ascii="Arial" w:hAnsi="Arial" w:cs="Arial"/>
              </w:rPr>
            </w:pPr>
            <w:r w:rsidRPr="00600360">
              <w:rPr>
                <w:rFonts w:ascii="Arial" w:hAnsi="Arial" w:cs="Arial"/>
              </w:rPr>
              <w:t>Accesorios de aprovechamientos.</w:t>
            </w:r>
          </w:p>
        </w:tc>
        <w:tc>
          <w:tcPr>
            <w:tcW w:w="263" w:type="dxa"/>
            <w:tcBorders>
              <w:top w:val="nil"/>
              <w:left w:val="nil"/>
              <w:bottom w:val="nil"/>
              <w:right w:val="nil"/>
            </w:tcBorders>
            <w:shd w:val="clear" w:color="auto" w:fill="auto"/>
            <w:noWrap/>
            <w:hideMark/>
          </w:tcPr>
          <w:p w:rsidR="00600360" w:rsidRPr="00600360" w:rsidRDefault="00600360" w:rsidP="00FB59A3">
            <w:pPr>
              <w:spacing w:after="0" w:line="240" w:lineRule="auto"/>
              <w:rPr>
                <w:rFonts w:ascii="Arial" w:hAnsi="Arial" w:cs="Arial"/>
              </w:rPr>
            </w:pPr>
            <w:r w:rsidRPr="00600360">
              <w:rPr>
                <w:rFonts w:ascii="Arial" w:hAnsi="Arial" w:cs="Arial"/>
              </w:rPr>
              <w:t>$</w:t>
            </w:r>
          </w:p>
        </w:tc>
        <w:tc>
          <w:tcPr>
            <w:tcW w:w="1761" w:type="dxa"/>
            <w:tcBorders>
              <w:top w:val="nil"/>
              <w:left w:val="nil"/>
              <w:bottom w:val="nil"/>
              <w:right w:val="nil"/>
            </w:tcBorders>
            <w:shd w:val="clear" w:color="auto" w:fill="auto"/>
            <w:noWrap/>
            <w:hideMark/>
          </w:tcPr>
          <w:p w:rsidR="00600360" w:rsidRPr="00600360" w:rsidRDefault="00600360" w:rsidP="00FB59A3">
            <w:pPr>
              <w:spacing w:after="0" w:line="240" w:lineRule="auto"/>
              <w:jc w:val="right"/>
              <w:rPr>
                <w:rFonts w:ascii="Arial" w:hAnsi="Arial" w:cs="Arial"/>
              </w:rPr>
            </w:pPr>
            <w:r w:rsidRPr="00600360">
              <w:rPr>
                <w:rFonts w:ascii="Arial" w:hAnsi="Arial" w:cs="Arial"/>
              </w:rPr>
              <w:t>320,976</w:t>
            </w:r>
          </w:p>
        </w:tc>
      </w:tr>
      <w:tr w:rsidR="00600360" w:rsidRPr="000B4F88" w:rsidTr="00EA1B2C">
        <w:trPr>
          <w:trHeight w:val="300"/>
        </w:trPr>
        <w:tc>
          <w:tcPr>
            <w:tcW w:w="471" w:type="dxa"/>
            <w:tcBorders>
              <w:top w:val="nil"/>
              <w:left w:val="nil"/>
              <w:bottom w:val="nil"/>
              <w:right w:val="nil"/>
            </w:tcBorders>
            <w:shd w:val="clear" w:color="auto" w:fill="auto"/>
            <w:noWrap/>
            <w:hideMark/>
          </w:tcPr>
          <w:p w:rsidR="00600360" w:rsidRPr="00600360"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600360"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600360" w:rsidRDefault="00600360" w:rsidP="00FB59A3">
            <w:pPr>
              <w:spacing w:after="0" w:line="240" w:lineRule="auto"/>
              <w:jc w:val="center"/>
              <w:rPr>
                <w:rFonts w:ascii="Arial" w:hAnsi="Arial" w:cs="Arial"/>
              </w:rPr>
            </w:pPr>
            <w:r w:rsidRPr="00600360">
              <w:rPr>
                <w:rFonts w:ascii="Arial" w:hAnsi="Arial" w:cs="Arial"/>
              </w:rPr>
              <w:t>d.</w:t>
            </w:r>
          </w:p>
        </w:tc>
        <w:tc>
          <w:tcPr>
            <w:tcW w:w="5952" w:type="dxa"/>
            <w:gridSpan w:val="2"/>
            <w:tcBorders>
              <w:top w:val="nil"/>
              <w:left w:val="nil"/>
              <w:bottom w:val="nil"/>
              <w:right w:val="nil"/>
            </w:tcBorders>
            <w:shd w:val="clear" w:color="auto" w:fill="auto"/>
            <w:noWrap/>
            <w:hideMark/>
          </w:tcPr>
          <w:p w:rsidR="00600360" w:rsidRPr="00600360" w:rsidRDefault="00600360" w:rsidP="00FB59A3">
            <w:pPr>
              <w:spacing w:after="0" w:line="240" w:lineRule="auto"/>
              <w:rPr>
                <w:rFonts w:ascii="Arial" w:hAnsi="Arial" w:cs="Arial"/>
              </w:rPr>
            </w:pPr>
            <w:r w:rsidRPr="00600360">
              <w:rPr>
                <w:rFonts w:ascii="Arial" w:hAnsi="Arial" w:cs="Arial"/>
              </w:rPr>
              <w:t>Aprovechamientos del Instituto de Control Vehicular</w:t>
            </w:r>
          </w:p>
        </w:tc>
        <w:tc>
          <w:tcPr>
            <w:tcW w:w="263" w:type="dxa"/>
            <w:tcBorders>
              <w:top w:val="nil"/>
              <w:left w:val="nil"/>
              <w:bottom w:val="nil"/>
              <w:right w:val="nil"/>
            </w:tcBorders>
            <w:shd w:val="clear" w:color="auto" w:fill="auto"/>
            <w:noWrap/>
            <w:hideMark/>
          </w:tcPr>
          <w:p w:rsidR="00600360" w:rsidRPr="00600360" w:rsidRDefault="00600360" w:rsidP="00FB59A3">
            <w:pPr>
              <w:spacing w:after="0" w:line="240" w:lineRule="auto"/>
              <w:rPr>
                <w:rFonts w:ascii="Arial" w:hAnsi="Arial" w:cs="Arial"/>
              </w:rPr>
            </w:pPr>
            <w:r w:rsidRPr="00600360">
              <w:rPr>
                <w:rFonts w:ascii="Arial" w:hAnsi="Arial" w:cs="Arial"/>
              </w:rPr>
              <w:t>$</w:t>
            </w:r>
          </w:p>
        </w:tc>
        <w:tc>
          <w:tcPr>
            <w:tcW w:w="1761" w:type="dxa"/>
            <w:tcBorders>
              <w:top w:val="nil"/>
              <w:left w:val="nil"/>
              <w:bottom w:val="nil"/>
              <w:right w:val="nil"/>
            </w:tcBorders>
            <w:shd w:val="clear" w:color="auto" w:fill="auto"/>
            <w:noWrap/>
            <w:hideMark/>
          </w:tcPr>
          <w:p w:rsidR="00600360" w:rsidRPr="00600360" w:rsidRDefault="00600360" w:rsidP="00FB59A3">
            <w:pPr>
              <w:spacing w:after="0" w:line="240" w:lineRule="auto"/>
              <w:jc w:val="right"/>
              <w:rPr>
                <w:rFonts w:ascii="Arial" w:hAnsi="Arial" w:cs="Arial"/>
              </w:rPr>
            </w:pPr>
            <w:r w:rsidRPr="00600360">
              <w:rPr>
                <w:rFonts w:ascii="Arial" w:hAnsi="Arial" w:cs="Arial"/>
              </w:rPr>
              <w:t>1,678,684,612</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600360"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600360"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600360" w:rsidRDefault="00600360" w:rsidP="00FB59A3">
            <w:pPr>
              <w:spacing w:after="0" w:line="240" w:lineRule="auto"/>
              <w:jc w:val="center"/>
              <w:rPr>
                <w:rFonts w:ascii="Arial" w:hAnsi="Arial" w:cs="Arial"/>
              </w:rPr>
            </w:pPr>
            <w:r w:rsidRPr="00600360">
              <w:rPr>
                <w:rFonts w:ascii="Arial" w:hAnsi="Arial" w:cs="Arial"/>
              </w:rPr>
              <w:t>e.</w:t>
            </w:r>
          </w:p>
        </w:tc>
        <w:tc>
          <w:tcPr>
            <w:tcW w:w="5952" w:type="dxa"/>
            <w:gridSpan w:val="2"/>
            <w:tcBorders>
              <w:top w:val="nil"/>
              <w:left w:val="nil"/>
              <w:bottom w:val="nil"/>
              <w:right w:val="nil"/>
            </w:tcBorders>
            <w:shd w:val="clear" w:color="auto" w:fill="auto"/>
            <w:noWrap/>
            <w:hideMark/>
          </w:tcPr>
          <w:p w:rsidR="00600360" w:rsidRPr="00600360" w:rsidRDefault="00600360" w:rsidP="00FB59A3">
            <w:pPr>
              <w:spacing w:after="0" w:line="240" w:lineRule="auto"/>
              <w:rPr>
                <w:rFonts w:ascii="Arial" w:hAnsi="Arial" w:cs="Arial"/>
              </w:rPr>
            </w:pPr>
            <w:r w:rsidRPr="00600360">
              <w:rPr>
                <w:rFonts w:ascii="Arial" w:hAnsi="Arial" w:cs="Arial"/>
              </w:rPr>
              <w:t>Diversos</w:t>
            </w:r>
          </w:p>
        </w:tc>
        <w:tc>
          <w:tcPr>
            <w:tcW w:w="263" w:type="dxa"/>
            <w:tcBorders>
              <w:top w:val="nil"/>
              <w:left w:val="nil"/>
              <w:bottom w:val="nil"/>
              <w:right w:val="nil"/>
            </w:tcBorders>
            <w:shd w:val="clear" w:color="auto" w:fill="auto"/>
            <w:noWrap/>
            <w:hideMark/>
          </w:tcPr>
          <w:p w:rsidR="00600360" w:rsidRPr="00600360" w:rsidRDefault="00600360" w:rsidP="00FB59A3">
            <w:pPr>
              <w:spacing w:after="0" w:line="240" w:lineRule="auto"/>
              <w:rPr>
                <w:rFonts w:ascii="Arial" w:hAnsi="Arial" w:cs="Arial"/>
              </w:rPr>
            </w:pPr>
            <w:r w:rsidRPr="00600360">
              <w:rPr>
                <w:rFonts w:ascii="Arial" w:hAnsi="Arial" w:cs="Arial"/>
              </w:rPr>
              <w:t>$</w:t>
            </w:r>
          </w:p>
        </w:tc>
        <w:tc>
          <w:tcPr>
            <w:tcW w:w="1761" w:type="dxa"/>
            <w:tcBorders>
              <w:top w:val="nil"/>
              <w:left w:val="nil"/>
              <w:bottom w:val="nil"/>
              <w:right w:val="nil"/>
            </w:tcBorders>
            <w:shd w:val="clear" w:color="auto" w:fill="auto"/>
            <w:noWrap/>
            <w:hideMark/>
          </w:tcPr>
          <w:p w:rsidR="00600360" w:rsidRPr="00600360" w:rsidRDefault="00600360" w:rsidP="00FB59A3">
            <w:pPr>
              <w:spacing w:after="0" w:line="240" w:lineRule="auto"/>
              <w:jc w:val="right"/>
              <w:rPr>
                <w:rFonts w:ascii="Arial" w:hAnsi="Arial" w:cs="Arial"/>
              </w:rPr>
            </w:pPr>
            <w:r w:rsidRPr="00600360">
              <w:rPr>
                <w:rFonts w:ascii="Arial" w:hAnsi="Arial" w:cs="Arial"/>
              </w:rPr>
              <w:t>336,177,893</w:t>
            </w: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Aprovechamientos de capital.</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3.</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Aprovechamientos no comprendidos en las fracciones de la</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8446" w:type="dxa"/>
            <w:gridSpan w:val="6"/>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Ley de Ingresos causadas en ejercicios fiscales anteriores</w:t>
            </w: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roofErr w:type="gramStart"/>
            <w:r w:rsidRPr="00F520CE">
              <w:rPr>
                <w:rFonts w:ascii="Arial" w:hAnsi="Arial" w:cs="Arial"/>
              </w:rPr>
              <w:t>pendientes</w:t>
            </w:r>
            <w:proofErr w:type="gramEnd"/>
            <w:r w:rsidRPr="00F520CE">
              <w:rPr>
                <w:rFonts w:ascii="Arial" w:hAnsi="Arial" w:cs="Arial"/>
              </w:rPr>
              <w:t xml:space="preserve"> de liquidación o pago.</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VII.</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Ingresos por ventas de bienes y servicios.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w:t>
            </w:r>
          </w:p>
        </w:tc>
        <w:tc>
          <w:tcPr>
            <w:tcW w:w="6685" w:type="dxa"/>
            <w:gridSpan w:val="5"/>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Ingresos por ventas de bienes y servicios de organismos</w:t>
            </w:r>
          </w:p>
        </w:tc>
        <w:tc>
          <w:tcPr>
            <w:tcW w:w="1761" w:type="dxa"/>
            <w:tcBorders>
              <w:top w:val="nil"/>
              <w:left w:val="nil"/>
              <w:bottom w:val="nil"/>
              <w:right w:val="nil"/>
            </w:tcBorders>
            <w:shd w:val="clear" w:color="auto" w:fill="auto"/>
            <w:noWrap/>
            <w:vAlign w:val="bottom"/>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roofErr w:type="gramStart"/>
            <w:r w:rsidRPr="00F520CE">
              <w:rPr>
                <w:rFonts w:ascii="Arial" w:hAnsi="Arial" w:cs="Arial"/>
              </w:rPr>
              <w:t>descentralizados</w:t>
            </w:r>
            <w:proofErr w:type="gramEnd"/>
            <w:r w:rsidRPr="00F520CE">
              <w:rPr>
                <w:rFonts w:ascii="Arial" w:hAnsi="Arial" w:cs="Arial"/>
              </w:rPr>
              <w:t>.</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Ingresos de operación de entidades paraestatales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roofErr w:type="gramStart"/>
            <w:r w:rsidRPr="00F520CE">
              <w:rPr>
                <w:rFonts w:ascii="Arial" w:hAnsi="Arial" w:cs="Arial"/>
              </w:rPr>
              <w:t>empresariales</w:t>
            </w:r>
            <w:proofErr w:type="gramEnd"/>
            <w:r w:rsidRPr="00F520CE">
              <w:rPr>
                <w:rFonts w:ascii="Arial" w:hAnsi="Arial" w:cs="Arial"/>
              </w:rPr>
              <w:t>.</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3.</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Ingresos por ventas de bienes y servicios producidos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roofErr w:type="gramStart"/>
            <w:r w:rsidRPr="00F520CE">
              <w:rPr>
                <w:rFonts w:ascii="Arial" w:hAnsi="Arial" w:cs="Arial"/>
              </w:rPr>
              <w:t>en</w:t>
            </w:r>
            <w:proofErr w:type="gramEnd"/>
            <w:r w:rsidRPr="00F520CE">
              <w:rPr>
                <w:rFonts w:ascii="Arial" w:hAnsi="Arial" w:cs="Arial"/>
              </w:rPr>
              <w:t xml:space="preserve"> establecimientos del Gobierno Central.</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B.</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PARTICIPACIONES, APORTACIONES,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TRANSFERENCIAS, ASIGNACIONES, SUBSIDIOS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Y OTRAS AYUDAS.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I.</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Participaciones, Aportaciones y Convenios Federales.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69,490,117,546</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Participaciones.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35,718,965,400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a.</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Fondo General de Participaciones.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27,271,267,025</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b.</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Fondo de Fomento Municipal.</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732,417,891</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c.</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Fondo de Fiscalización y Recaudación.</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1,231,021,790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d.</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Impuesto Especial Sobre Producción y Servicios.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1,234,364,986</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e.</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Impuesto Sobre Automóviles Nuevos.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978,136,756</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f.</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Venta Final de Gasolinas y Diésel.</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1,204,871,189</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g.</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Fondo ISR.</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2,892,321,472</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h.</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Fondo de Compensación de REPECOS-Intermedios.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69,820,111</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i.</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Fondo de Extracción de Hidrocarburos.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104,744,180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Aportaciones.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22,974,408,105</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a.</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Fondo de Aportaciones para la Nómina Educativa</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roofErr w:type="gramStart"/>
            <w:r w:rsidRPr="00F520CE">
              <w:rPr>
                <w:rFonts w:ascii="Arial" w:hAnsi="Arial" w:cs="Arial"/>
              </w:rPr>
              <w:t>y</w:t>
            </w:r>
            <w:proofErr w:type="gramEnd"/>
            <w:r w:rsidRPr="00F520CE">
              <w:rPr>
                <w:rFonts w:ascii="Arial" w:hAnsi="Arial" w:cs="Arial"/>
              </w:rPr>
              <w:t xml:space="preserve"> Gasto Operativo (FONE).</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i.</w:t>
            </w: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FONE Servicios Personales.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12,928,385,544</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ii.</w:t>
            </w: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FONE Otros de Gasto de Corriente.</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iii.</w:t>
            </w: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FONE Gastos de Operación.</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1,034,722,426</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iv.</w:t>
            </w: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FONE Fondo de Compensación.</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b.</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Fondo de Aportaciones para los Servicios de</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roofErr w:type="gramStart"/>
            <w:r w:rsidRPr="00F520CE">
              <w:rPr>
                <w:rFonts w:ascii="Arial" w:hAnsi="Arial" w:cs="Arial"/>
              </w:rPr>
              <w:t>de</w:t>
            </w:r>
            <w:proofErr w:type="gramEnd"/>
            <w:r w:rsidRPr="00F520CE">
              <w:rPr>
                <w:rFonts w:ascii="Arial" w:hAnsi="Arial" w:cs="Arial"/>
              </w:rPr>
              <w:t xml:space="preserve"> Salud (FASSA).</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2,590,445,985</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c.</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Fondo de Aportaciones para la Infraestructura</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Social (FAIS).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i.</w:t>
            </w: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Fondo de Aportaciones para la Infraestructura</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Social Estatal (FISE).</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107,797,401</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ii.</w:t>
            </w: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Fondo de Aportaciones para la Infraestructura</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Social Municipal (FISM).</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781,513,581</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d.</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Fondo de Aportaciones para el Fortalecimiento</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roofErr w:type="gramStart"/>
            <w:r w:rsidRPr="00F520CE">
              <w:rPr>
                <w:rFonts w:ascii="Arial" w:hAnsi="Arial" w:cs="Arial"/>
              </w:rPr>
              <w:t>de</w:t>
            </w:r>
            <w:proofErr w:type="gramEnd"/>
            <w:r w:rsidRPr="00F520CE">
              <w:rPr>
                <w:rFonts w:ascii="Arial" w:hAnsi="Arial" w:cs="Arial"/>
              </w:rPr>
              <w:t xml:space="preserve"> los Municipios (FORTAMUN).</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3,104,137,042</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e.</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Fondo de Aportaciones Múltiples (FAM).</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i.</w:t>
            </w: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FAM Asistencia Social.</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279,998,617</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ii.</w:t>
            </w: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FAM Infraestructura Educativa Básica.</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242,473,157</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iii.</w:t>
            </w: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FAM Infraestructura Educativa Media Superior.</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24,061,431</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iv.</w:t>
            </w: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FAM Infraestructura Educativa Superior.</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126,527,598</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f.</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Fondo de Aportaciones para la Educación</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Tecnológica y de Adultos (FAETA).</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i.</w:t>
            </w: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FAETA Educación Tecnológica.</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213,046,125</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ii.</w:t>
            </w: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FAETA Educación de Adultos.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g.</w:t>
            </w:r>
          </w:p>
        </w:tc>
        <w:tc>
          <w:tcPr>
            <w:tcW w:w="6215" w:type="dxa"/>
            <w:gridSpan w:val="3"/>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Fondo de Aportaciones para la Seguridad Pública</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roofErr w:type="gramStart"/>
            <w:r w:rsidRPr="00F520CE">
              <w:rPr>
                <w:rFonts w:ascii="Arial" w:hAnsi="Arial" w:cs="Arial"/>
              </w:rPr>
              <w:t>de</w:t>
            </w:r>
            <w:proofErr w:type="gramEnd"/>
            <w:r w:rsidRPr="00F520CE">
              <w:rPr>
                <w:rFonts w:ascii="Arial" w:hAnsi="Arial" w:cs="Arial"/>
              </w:rPr>
              <w:t xml:space="preserve"> los Estados (FASP).</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281,232,730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r w:rsidRPr="00F520CE">
              <w:rPr>
                <w:rFonts w:ascii="Arial" w:hAnsi="Arial" w:cs="Arial"/>
              </w:rPr>
              <w:t>h.</w:t>
            </w: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Fondo de Aportaciones para el Fortalecimiento</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jc w:val="center"/>
              <w:rPr>
                <w:rFonts w:ascii="Arial" w:hAnsi="Arial" w:cs="Arial"/>
              </w:rPr>
            </w:pPr>
          </w:p>
        </w:tc>
        <w:tc>
          <w:tcPr>
            <w:tcW w:w="5952" w:type="dxa"/>
            <w:gridSpan w:val="2"/>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roofErr w:type="gramStart"/>
            <w:r w:rsidRPr="00F520CE">
              <w:rPr>
                <w:rFonts w:ascii="Arial" w:hAnsi="Arial" w:cs="Arial"/>
              </w:rPr>
              <w:t>de</w:t>
            </w:r>
            <w:proofErr w:type="gramEnd"/>
            <w:r w:rsidRPr="00F520CE">
              <w:rPr>
                <w:rFonts w:ascii="Arial" w:hAnsi="Arial" w:cs="Arial"/>
              </w:rPr>
              <w:t xml:space="preserve"> las Entidades Federativas (FAFEF).</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1,260,066,468</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3.</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Convenios.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10,796,744,041</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II.</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Transferencias, asignaciones, subsidios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roofErr w:type="gramStart"/>
            <w:r w:rsidRPr="00F520CE">
              <w:rPr>
                <w:rFonts w:ascii="Arial" w:hAnsi="Arial" w:cs="Arial"/>
                <w:b/>
                <w:bCs/>
              </w:rPr>
              <w:t>y</w:t>
            </w:r>
            <w:proofErr w:type="gramEnd"/>
            <w:r w:rsidRPr="00F520CE">
              <w:rPr>
                <w:rFonts w:ascii="Arial" w:hAnsi="Arial" w:cs="Arial"/>
                <w:b/>
                <w:bCs/>
              </w:rPr>
              <w:t xml:space="preserve"> otras ayudas.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Transferencias Internas y Asignaciones al Sector Público.</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Transferencias al Resto del Sector Público.</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3.</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Subsidios y Subvenciones.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4.</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Ayudas sociales.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5.</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Pensiones y Jubilaciones.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6.</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Transferencias a Fideicomisos, mandatos y análogos.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0</w:t>
            </w: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C.</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INGRESOS DERIVADOS DE FINANCIAMIENTOS.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I.</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Endeudamiento interno.</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6,381,451,337</w:t>
            </w:r>
          </w:p>
        </w:tc>
      </w:tr>
      <w:tr w:rsidR="00600360" w:rsidRPr="00F520CE" w:rsidTr="00EA1B2C">
        <w:trPr>
          <w:trHeight w:val="300"/>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1.</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Financiamiento público bruto de largo plazo.</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rPr>
            </w:pPr>
            <w:r w:rsidRPr="00F520CE">
              <w:rPr>
                <w:rFonts w:ascii="Arial" w:hAnsi="Arial" w:cs="Arial"/>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rPr>
            </w:pPr>
            <w:r w:rsidRPr="00F520CE">
              <w:rPr>
                <w:rFonts w:ascii="Arial" w:hAnsi="Arial" w:cs="Arial"/>
              </w:rPr>
              <w:t>2,550,000,000</w:t>
            </w:r>
          </w:p>
        </w:tc>
      </w:tr>
      <w:tr w:rsidR="00600360" w:rsidRPr="00600360" w:rsidTr="00EA1B2C">
        <w:trPr>
          <w:trHeight w:val="300"/>
        </w:trPr>
        <w:tc>
          <w:tcPr>
            <w:tcW w:w="471" w:type="dxa"/>
            <w:tcBorders>
              <w:top w:val="nil"/>
              <w:left w:val="nil"/>
              <w:bottom w:val="nil"/>
              <w:right w:val="nil"/>
            </w:tcBorders>
            <w:shd w:val="clear" w:color="auto" w:fill="auto"/>
            <w:noWrap/>
            <w:hideMark/>
          </w:tcPr>
          <w:p w:rsidR="00600360" w:rsidRPr="00600360" w:rsidRDefault="00600360" w:rsidP="00FB59A3">
            <w:pPr>
              <w:spacing w:after="0" w:line="240" w:lineRule="auto"/>
              <w:jc w:val="right"/>
              <w:rPr>
                <w:rFonts w:ascii="Arial" w:hAnsi="Arial" w:cs="Arial"/>
              </w:rPr>
            </w:pPr>
            <w:r w:rsidRPr="00600360">
              <w:rPr>
                <w:rFonts w:ascii="Arial" w:hAnsi="Arial" w:cs="Arial"/>
              </w:rPr>
              <w:t>2.</w:t>
            </w:r>
          </w:p>
        </w:tc>
        <w:tc>
          <w:tcPr>
            <w:tcW w:w="6422" w:type="dxa"/>
            <w:gridSpan w:val="4"/>
            <w:tcBorders>
              <w:top w:val="nil"/>
              <w:left w:val="nil"/>
              <w:bottom w:val="nil"/>
              <w:right w:val="nil"/>
            </w:tcBorders>
            <w:shd w:val="clear" w:color="auto" w:fill="auto"/>
            <w:noWrap/>
            <w:hideMark/>
          </w:tcPr>
          <w:p w:rsidR="00600360" w:rsidRPr="00600360" w:rsidRDefault="00600360" w:rsidP="00FB59A3">
            <w:pPr>
              <w:spacing w:after="0" w:line="240" w:lineRule="auto"/>
              <w:rPr>
                <w:rFonts w:ascii="Arial" w:hAnsi="Arial" w:cs="Arial"/>
              </w:rPr>
            </w:pPr>
            <w:r w:rsidRPr="00600360">
              <w:rPr>
                <w:rFonts w:ascii="Arial" w:hAnsi="Arial" w:cs="Arial"/>
              </w:rPr>
              <w:t>Financiamiento público bruto de corto plazo.</w:t>
            </w:r>
          </w:p>
        </w:tc>
        <w:tc>
          <w:tcPr>
            <w:tcW w:w="263" w:type="dxa"/>
            <w:tcBorders>
              <w:top w:val="nil"/>
              <w:left w:val="nil"/>
              <w:bottom w:val="nil"/>
              <w:right w:val="nil"/>
            </w:tcBorders>
            <w:shd w:val="clear" w:color="auto" w:fill="auto"/>
            <w:noWrap/>
            <w:hideMark/>
          </w:tcPr>
          <w:p w:rsidR="00600360" w:rsidRPr="00600360" w:rsidRDefault="00600360" w:rsidP="00FB59A3">
            <w:pPr>
              <w:spacing w:after="0" w:line="240" w:lineRule="auto"/>
              <w:rPr>
                <w:rFonts w:ascii="Arial" w:hAnsi="Arial" w:cs="Arial"/>
              </w:rPr>
            </w:pPr>
            <w:r w:rsidRPr="00600360">
              <w:rPr>
                <w:rFonts w:ascii="Arial" w:hAnsi="Arial" w:cs="Arial"/>
              </w:rPr>
              <w:t>$</w:t>
            </w:r>
          </w:p>
        </w:tc>
        <w:tc>
          <w:tcPr>
            <w:tcW w:w="1761" w:type="dxa"/>
            <w:tcBorders>
              <w:top w:val="nil"/>
              <w:left w:val="nil"/>
              <w:bottom w:val="nil"/>
              <w:right w:val="nil"/>
            </w:tcBorders>
            <w:shd w:val="clear" w:color="auto" w:fill="auto"/>
            <w:noWrap/>
            <w:hideMark/>
          </w:tcPr>
          <w:p w:rsidR="00600360" w:rsidRPr="00600360" w:rsidRDefault="00600360" w:rsidP="00FB59A3">
            <w:pPr>
              <w:spacing w:after="0" w:line="240" w:lineRule="auto"/>
              <w:jc w:val="right"/>
              <w:rPr>
                <w:rFonts w:ascii="Arial" w:hAnsi="Arial" w:cs="Arial"/>
              </w:rPr>
            </w:pPr>
            <w:r w:rsidRPr="00600360">
              <w:rPr>
                <w:rFonts w:ascii="Arial" w:hAnsi="Arial" w:cs="Arial"/>
              </w:rPr>
              <w:t>3,831,451,337</w:t>
            </w: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600360" w:rsidRDefault="00600360" w:rsidP="00FB59A3">
            <w:pPr>
              <w:spacing w:after="0" w:line="240" w:lineRule="auto"/>
              <w:jc w:val="right"/>
              <w:rPr>
                <w:rFonts w:ascii="Arial" w:hAnsi="Arial" w:cs="Arial"/>
                <w:b/>
                <w:bCs/>
              </w:rPr>
            </w:pPr>
            <w:r w:rsidRPr="00600360">
              <w:rPr>
                <w:rFonts w:ascii="Arial" w:hAnsi="Arial" w:cs="Arial"/>
                <w:b/>
                <w:bCs/>
              </w:rPr>
              <w:lastRenderedPageBreak/>
              <w:t>II.</w:t>
            </w:r>
          </w:p>
        </w:tc>
        <w:tc>
          <w:tcPr>
            <w:tcW w:w="6422" w:type="dxa"/>
            <w:gridSpan w:val="4"/>
            <w:tcBorders>
              <w:top w:val="nil"/>
              <w:left w:val="nil"/>
              <w:bottom w:val="nil"/>
              <w:right w:val="nil"/>
            </w:tcBorders>
            <w:shd w:val="clear" w:color="auto" w:fill="auto"/>
            <w:noWrap/>
            <w:hideMark/>
          </w:tcPr>
          <w:p w:rsidR="00600360" w:rsidRPr="00600360" w:rsidRDefault="00600360" w:rsidP="00FB59A3">
            <w:pPr>
              <w:spacing w:after="0" w:line="240" w:lineRule="auto"/>
              <w:rPr>
                <w:rFonts w:ascii="Arial" w:hAnsi="Arial" w:cs="Arial"/>
                <w:b/>
                <w:bCs/>
              </w:rPr>
            </w:pPr>
            <w:r w:rsidRPr="00600360">
              <w:rPr>
                <w:rFonts w:ascii="Arial" w:hAnsi="Arial" w:cs="Arial"/>
                <w:b/>
                <w:bCs/>
              </w:rPr>
              <w:t>Endeudamiento externo.</w:t>
            </w:r>
          </w:p>
        </w:tc>
        <w:tc>
          <w:tcPr>
            <w:tcW w:w="263" w:type="dxa"/>
            <w:tcBorders>
              <w:top w:val="nil"/>
              <w:left w:val="nil"/>
              <w:bottom w:val="nil"/>
              <w:right w:val="nil"/>
            </w:tcBorders>
            <w:shd w:val="clear" w:color="auto" w:fill="auto"/>
            <w:noWrap/>
            <w:hideMark/>
          </w:tcPr>
          <w:p w:rsidR="00600360" w:rsidRPr="00600360" w:rsidRDefault="00600360" w:rsidP="00FB59A3">
            <w:pPr>
              <w:spacing w:after="0" w:line="240" w:lineRule="auto"/>
              <w:rPr>
                <w:rFonts w:ascii="Arial" w:hAnsi="Arial" w:cs="Arial"/>
                <w:b/>
                <w:bCs/>
              </w:rPr>
            </w:pPr>
            <w:r w:rsidRPr="00600360">
              <w:rPr>
                <w:rFonts w:ascii="Arial" w:hAnsi="Arial" w:cs="Arial"/>
                <w:b/>
                <w:bCs/>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600360">
              <w:rPr>
                <w:rFonts w:ascii="Arial" w:hAnsi="Arial" w:cs="Arial"/>
                <w:b/>
                <w:bCs/>
              </w:rPr>
              <w:t>0</w:t>
            </w: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Total de Ingresos autorizados en Ley antes de</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91,323,419,804</w:t>
            </w: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c>
          <w:tcPr>
            <w:tcW w:w="8446" w:type="dxa"/>
            <w:gridSpan w:val="6"/>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Excedentes de Ejercicios Fiscales Anteriores (EDEFAS).</w:t>
            </w: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D.</w:t>
            </w: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EDEFAS.</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4,332,442,171</w:t>
            </w: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c>
          <w:tcPr>
            <w:tcW w:w="146"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324"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360"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5592"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r>
      <w:tr w:rsidR="00600360" w:rsidRPr="00F520CE" w:rsidTr="00EA1B2C">
        <w:trPr>
          <w:trHeight w:val="315"/>
        </w:trPr>
        <w:tc>
          <w:tcPr>
            <w:tcW w:w="47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p>
        </w:tc>
        <w:tc>
          <w:tcPr>
            <w:tcW w:w="6422" w:type="dxa"/>
            <w:gridSpan w:val="4"/>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TOTAL GENERAL</w:t>
            </w:r>
          </w:p>
        </w:tc>
        <w:tc>
          <w:tcPr>
            <w:tcW w:w="263" w:type="dxa"/>
            <w:tcBorders>
              <w:top w:val="nil"/>
              <w:left w:val="nil"/>
              <w:bottom w:val="nil"/>
              <w:right w:val="nil"/>
            </w:tcBorders>
            <w:shd w:val="clear" w:color="auto" w:fill="auto"/>
            <w:noWrap/>
            <w:hideMark/>
          </w:tcPr>
          <w:p w:rsidR="00600360" w:rsidRPr="00F520CE" w:rsidRDefault="00600360" w:rsidP="00FB59A3">
            <w:pPr>
              <w:spacing w:after="0" w:line="240" w:lineRule="auto"/>
              <w:rPr>
                <w:rFonts w:ascii="Arial" w:hAnsi="Arial" w:cs="Arial"/>
                <w:b/>
                <w:bCs/>
              </w:rPr>
            </w:pPr>
            <w:r w:rsidRPr="00F520CE">
              <w:rPr>
                <w:rFonts w:ascii="Arial" w:hAnsi="Arial" w:cs="Arial"/>
                <w:b/>
                <w:bCs/>
              </w:rPr>
              <w:t>$</w:t>
            </w:r>
          </w:p>
        </w:tc>
        <w:tc>
          <w:tcPr>
            <w:tcW w:w="1761" w:type="dxa"/>
            <w:tcBorders>
              <w:top w:val="nil"/>
              <w:left w:val="nil"/>
              <w:bottom w:val="nil"/>
              <w:right w:val="nil"/>
            </w:tcBorders>
            <w:shd w:val="clear" w:color="auto" w:fill="auto"/>
            <w:noWrap/>
            <w:hideMark/>
          </w:tcPr>
          <w:p w:rsidR="00600360" w:rsidRPr="00F520CE" w:rsidRDefault="00600360" w:rsidP="00FB59A3">
            <w:pPr>
              <w:spacing w:after="0" w:line="240" w:lineRule="auto"/>
              <w:jc w:val="right"/>
              <w:rPr>
                <w:rFonts w:ascii="Arial" w:hAnsi="Arial" w:cs="Arial"/>
                <w:b/>
                <w:bCs/>
              </w:rPr>
            </w:pPr>
            <w:r w:rsidRPr="00F520CE">
              <w:rPr>
                <w:rFonts w:ascii="Arial" w:hAnsi="Arial" w:cs="Arial"/>
                <w:b/>
                <w:bCs/>
              </w:rPr>
              <w:t>95,655,861,975</w:t>
            </w:r>
          </w:p>
        </w:tc>
      </w:tr>
    </w:tbl>
    <w:p w:rsidR="00600360" w:rsidRPr="006F2DA7" w:rsidRDefault="00600360" w:rsidP="00600360">
      <w:pPr>
        <w:spacing w:before="240" w:after="240"/>
        <w:jc w:val="both"/>
        <w:rPr>
          <w:rFonts w:ascii="Arial" w:hAnsi="Arial" w:cs="Arial"/>
          <w:lang w:val="es-ES" w:eastAsia="es-ES"/>
        </w:rPr>
      </w:pPr>
      <w:r w:rsidRPr="006F2DA7">
        <w:rPr>
          <w:rFonts w:ascii="Arial" w:hAnsi="Arial" w:cs="Arial"/>
          <w:b/>
          <w:lang w:val="es-ES" w:eastAsia="es-ES"/>
        </w:rPr>
        <w:t>Artículo 2.-</w:t>
      </w:r>
      <w:r w:rsidRPr="006F2DA7">
        <w:rPr>
          <w:rFonts w:ascii="Arial" w:hAnsi="Arial" w:cs="Arial"/>
          <w:lang w:val="es-ES" w:eastAsia="es-ES"/>
        </w:rPr>
        <w:t xml:space="preserve"> Una vez realizado el análisis de la capacidad de pago del Estado y del destino de los recursos a obtenerse, se autoriza al Ejecutivo del Estado para que por conducto de la Secretaría de Finanzas y Tesorería General obtenga mediante una o más operaciones de financiamiento un monto de </w:t>
      </w:r>
      <w:r w:rsidRPr="0009080E">
        <w:rPr>
          <w:rFonts w:ascii="Arial" w:hAnsi="Arial" w:cs="Arial"/>
          <w:lang w:val="es-ES" w:eastAsia="es-ES"/>
        </w:rPr>
        <w:t>hasta 2</w:t>
      </w:r>
      <w:r>
        <w:rPr>
          <w:rFonts w:ascii="Arial" w:hAnsi="Arial" w:cs="Arial"/>
          <w:lang w:val="es-ES" w:eastAsia="es-ES"/>
        </w:rPr>
        <w:t>,</w:t>
      </w:r>
      <w:r w:rsidRPr="0009080E">
        <w:rPr>
          <w:rFonts w:ascii="Arial" w:hAnsi="Arial" w:cs="Arial"/>
          <w:lang w:val="es-ES" w:eastAsia="es-ES"/>
        </w:rPr>
        <w:t>550</w:t>
      </w:r>
      <w:r>
        <w:rPr>
          <w:rFonts w:ascii="Arial" w:hAnsi="Arial" w:cs="Arial"/>
          <w:lang w:val="es-ES" w:eastAsia="es-ES"/>
        </w:rPr>
        <w:t xml:space="preserve">,000,000.00 (Dos mil quinientos cincuenta </w:t>
      </w:r>
      <w:r w:rsidRPr="0009080E">
        <w:rPr>
          <w:rFonts w:ascii="Arial" w:hAnsi="Arial" w:cs="Arial"/>
          <w:lang w:val="es-ES" w:eastAsia="es-ES"/>
        </w:rPr>
        <w:t>millones de pesos</w:t>
      </w:r>
      <w:r>
        <w:rPr>
          <w:rFonts w:ascii="Arial" w:hAnsi="Arial" w:cs="Arial"/>
          <w:lang w:val="es-ES" w:eastAsia="es-ES"/>
        </w:rPr>
        <w:t xml:space="preserve"> 00/100 M.N.)</w:t>
      </w:r>
      <w:r w:rsidRPr="006F2DA7">
        <w:rPr>
          <w:rFonts w:ascii="Arial" w:hAnsi="Arial" w:cs="Arial"/>
          <w:lang w:val="es-ES" w:eastAsia="es-ES"/>
        </w:rPr>
        <w:t xml:space="preserve">, más los gastos o accesorios financieros correspondientes a comisiones, primas por contratación de operaciones de cobertura o derivados, constitución de reservas, gastos, accesorios financieros y demás relativos a la  celebración, obtención y disposición de los financiamientos, destinado a  las obras y acciones de inversión pública productiva que en seguida se señalan, y previstos en el Presupuesto de Egresos del Estado de Nuevo León para el Ejercicio Fiscal 2018. </w:t>
      </w:r>
    </w:p>
    <w:p w:rsidR="00600360" w:rsidRPr="006F2DA7" w:rsidRDefault="00600360" w:rsidP="00600360">
      <w:pPr>
        <w:pStyle w:val="Prrafodelista"/>
        <w:ind w:left="0"/>
        <w:jc w:val="both"/>
        <w:rPr>
          <w:rFonts w:ascii="Arial" w:hAnsi="Arial" w:cs="Arial"/>
          <w:lang w:val="es-ES" w:eastAsia="es-ES"/>
        </w:rPr>
      </w:pPr>
      <w:r w:rsidRPr="006A194E">
        <w:rPr>
          <w:noProof/>
          <w:lang w:eastAsia="es-MX"/>
        </w:rPr>
        <w:lastRenderedPageBreak/>
        <w:drawing>
          <wp:inline distT="0" distB="0" distL="0" distR="0">
            <wp:extent cx="5613400" cy="315595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3155950"/>
                    </a:xfrm>
                    <a:prstGeom prst="rect">
                      <a:avLst/>
                    </a:prstGeom>
                    <a:noFill/>
                    <a:ln>
                      <a:noFill/>
                    </a:ln>
                  </pic:spPr>
                </pic:pic>
              </a:graphicData>
            </a:graphic>
          </wp:inline>
        </w:drawing>
      </w:r>
    </w:p>
    <w:p w:rsidR="00600360" w:rsidRPr="006F2DA7" w:rsidRDefault="00600360" w:rsidP="00600360">
      <w:pPr>
        <w:pStyle w:val="Prrafodelista"/>
        <w:spacing w:before="240" w:after="240"/>
        <w:ind w:left="0"/>
        <w:jc w:val="both"/>
        <w:rPr>
          <w:rFonts w:ascii="Arial" w:hAnsi="Arial" w:cs="Arial"/>
          <w:lang w:val="es-ES" w:eastAsia="es-ES"/>
        </w:rPr>
      </w:pPr>
      <w:r w:rsidRPr="00152A38">
        <w:rPr>
          <w:rFonts w:ascii="Arial" w:hAnsi="Arial" w:cs="Arial"/>
          <w:lang w:val="es-ES" w:eastAsia="es-ES"/>
        </w:rPr>
        <w:t>El plazo para cubrir las operaciones de crédito autorizadas no excederá de 25 (veinticinco) años contados a partir de su formalización.</w:t>
      </w:r>
    </w:p>
    <w:p w:rsidR="00600360" w:rsidRPr="006F2DA7" w:rsidRDefault="00600360" w:rsidP="00600360">
      <w:pPr>
        <w:pStyle w:val="Prrafodelista"/>
        <w:spacing w:before="240" w:after="240"/>
        <w:ind w:left="0"/>
        <w:jc w:val="both"/>
        <w:rPr>
          <w:rFonts w:ascii="Arial" w:hAnsi="Arial" w:cs="Arial"/>
          <w:lang w:val="es-ES" w:eastAsia="es-ES"/>
        </w:rPr>
      </w:pPr>
      <w:r w:rsidRPr="006F2DA7">
        <w:rPr>
          <w:rFonts w:ascii="Arial" w:hAnsi="Arial" w:cs="Arial"/>
          <w:lang w:val="es-ES" w:eastAsia="es-ES"/>
        </w:rPr>
        <w:t xml:space="preserve">Así mismo, como fuente de pago y/o garantía del cumplimiento de todas y cada una de las obligaciones que asuma directamente el Estado, se autoriza la afectación del porcentaje necesario y suficiente de las participaciones presentes y futuras que en ingresos federales le correspondan del Fondo General de Participaciones, de los ingresos a que se refiere el artículo 4º-A, fracción I, de la Ley de Coordinación Fiscal, de las aportaciones federales susceptibles de afectación, los ingresos propios del Estado y/o de los remanentes de la normal operación de mecanismos de fuente de pago o garantía de la deuda pública, al fideicomiso irrevocable de administración </w:t>
      </w:r>
      <w:r>
        <w:rPr>
          <w:rFonts w:ascii="Arial" w:hAnsi="Arial" w:cs="Arial"/>
          <w:lang w:val="es-ES" w:eastAsia="es-ES"/>
        </w:rPr>
        <w:t>o</w:t>
      </w:r>
      <w:r w:rsidRPr="006F2DA7">
        <w:rPr>
          <w:rFonts w:ascii="Arial" w:hAnsi="Arial" w:cs="Arial"/>
          <w:lang w:val="es-ES" w:eastAsia="es-ES"/>
        </w:rPr>
        <w:t xml:space="preserve"> fuente de pago que, como mecanismo de fuente de pago se constituya o bien, mediante la inscripción de las operaciones autorizadas a los fideicomisos irrevocables de administración </w:t>
      </w:r>
      <w:r>
        <w:rPr>
          <w:rFonts w:ascii="Arial" w:hAnsi="Arial" w:cs="Arial"/>
          <w:lang w:val="es-ES" w:eastAsia="es-ES"/>
        </w:rPr>
        <w:t xml:space="preserve">o </w:t>
      </w:r>
      <w:r w:rsidRPr="006F2DA7">
        <w:rPr>
          <w:rFonts w:ascii="Arial" w:hAnsi="Arial" w:cs="Arial"/>
          <w:lang w:val="es-ES" w:eastAsia="es-ES"/>
        </w:rPr>
        <w:t>fuente de pago previamente constituidos, autorizándose las adecuaciones jurídicas y financieras que se requieran para ejercer la presente autorización.</w:t>
      </w:r>
    </w:p>
    <w:p w:rsidR="00600360" w:rsidRPr="006F2DA7" w:rsidRDefault="00600360" w:rsidP="00600360">
      <w:pPr>
        <w:pStyle w:val="Prrafodelista"/>
        <w:spacing w:before="240" w:after="240"/>
        <w:ind w:left="0"/>
        <w:jc w:val="both"/>
        <w:rPr>
          <w:rFonts w:ascii="Arial" w:hAnsi="Arial" w:cs="Arial"/>
          <w:lang w:val="es-ES" w:eastAsia="es-ES"/>
        </w:rPr>
      </w:pPr>
      <w:r w:rsidRPr="006F2DA7">
        <w:rPr>
          <w:rFonts w:ascii="Arial" w:hAnsi="Arial" w:cs="Arial"/>
          <w:lang w:val="es-ES" w:eastAsia="es-ES"/>
        </w:rPr>
        <w:t xml:space="preserve">Al servicio de los créditos que se contraigan con base en la presente autorización, el Gobierno del Estado por conducto de la Secretaría de Finanzas y Tesorería General del Estado podrá contraer una o más garantías de pago oportuno, instrumentos de </w:t>
      </w:r>
      <w:r w:rsidRPr="006F2DA7">
        <w:rPr>
          <w:rFonts w:ascii="Arial" w:hAnsi="Arial" w:cs="Arial"/>
          <w:lang w:val="es-ES" w:eastAsia="es-ES"/>
        </w:rPr>
        <w:lastRenderedPageBreak/>
        <w:t xml:space="preserve">coberturas y/o adherirse al esquema de deuda estatal garantizada que instrumente el Gobierno Federal, siempre que se acredite la mejora en las condiciones crediticias o de sostenibilidad financiera del financiamiento, operaciones de garantía o cobertura a la cual se podrán afectar como fuente de pago los ingresos previstos en el párrafo anterior. </w:t>
      </w:r>
    </w:p>
    <w:p w:rsidR="00600360" w:rsidRPr="006F2DA7" w:rsidRDefault="00600360" w:rsidP="00600360">
      <w:pPr>
        <w:pStyle w:val="Prrafodelista"/>
        <w:spacing w:before="240" w:after="240"/>
        <w:ind w:left="0"/>
        <w:jc w:val="both"/>
        <w:rPr>
          <w:rFonts w:ascii="Arial" w:hAnsi="Arial" w:cs="Arial"/>
          <w:lang w:val="es-ES" w:eastAsia="es-ES"/>
        </w:rPr>
      </w:pPr>
      <w:r w:rsidRPr="006F2DA7">
        <w:rPr>
          <w:rFonts w:ascii="Arial" w:hAnsi="Arial" w:cs="Arial"/>
          <w:lang w:val="es-ES" w:eastAsia="es-ES"/>
        </w:rPr>
        <w:t>Se autoriza la celebración de las adecuaciones jurídicas, financieras y convenios a las operaciones de crédito y mecanismos de fuente de pago previamente celebrados, que resulten necesarios para la adquisición y disposición del monto de financiamiento autorizado, así como en su caso, la celebración del convenio a que se refiere el artículo 34 de la Ley de Disciplina Financiera para las Entidades Federativas y los Municipios con la Secretaría de Hacienda y Crédito Público.</w:t>
      </w:r>
    </w:p>
    <w:p w:rsidR="00600360" w:rsidRPr="006F2DA7" w:rsidRDefault="00600360" w:rsidP="00600360">
      <w:pPr>
        <w:pStyle w:val="Prrafodelista"/>
        <w:spacing w:before="240" w:after="240"/>
        <w:ind w:left="0"/>
        <w:jc w:val="both"/>
        <w:rPr>
          <w:rFonts w:ascii="Arial" w:hAnsi="Arial" w:cs="Arial"/>
          <w:lang w:val="es-ES" w:eastAsia="es-ES"/>
        </w:rPr>
      </w:pPr>
      <w:r>
        <w:rPr>
          <w:rFonts w:ascii="Arial" w:hAnsi="Arial" w:cs="Arial"/>
          <w:lang w:val="es-ES" w:eastAsia="es-ES"/>
        </w:rPr>
        <w:t xml:space="preserve">Los gastos y costos, incluyendo instrumentos derivados y garantía de pago no podrán exceder de lo previsto por el artículo </w:t>
      </w:r>
      <w:r w:rsidRPr="006F2DA7">
        <w:rPr>
          <w:rFonts w:ascii="Arial" w:hAnsi="Arial" w:cs="Arial"/>
          <w:lang w:val="es-ES" w:eastAsia="es-ES"/>
        </w:rPr>
        <w:t>27 del Reglamento del Registro Público Único de Financiamientos y Obligaciones de Entidades Federativas y Municipios.</w:t>
      </w:r>
    </w:p>
    <w:p w:rsidR="00600360" w:rsidRDefault="00600360" w:rsidP="00600360">
      <w:pPr>
        <w:pStyle w:val="Prrafodelista"/>
        <w:spacing w:before="240" w:after="240"/>
        <w:ind w:left="0"/>
        <w:jc w:val="both"/>
        <w:rPr>
          <w:rFonts w:ascii="Arial" w:hAnsi="Arial" w:cs="Arial"/>
          <w:lang w:val="es-ES" w:eastAsia="es-ES"/>
        </w:rPr>
      </w:pPr>
      <w:r w:rsidRPr="006F0F2F">
        <w:rPr>
          <w:rFonts w:ascii="Arial" w:hAnsi="Arial" w:cs="Arial"/>
          <w:lang w:val="es-ES" w:eastAsia="es-ES"/>
        </w:rPr>
        <w:t>El Ejecutivo del Estado está facultado para realizar los ajustes y las modificaciones que estime necesarias, en las obras y acciones de inversión pública productiva, hasta por un 3</w:t>
      </w:r>
      <w:r w:rsidR="006F0F2F" w:rsidRPr="006F0F2F">
        <w:rPr>
          <w:rFonts w:ascii="Arial" w:hAnsi="Arial" w:cs="Arial"/>
          <w:lang w:val="es-ES" w:eastAsia="es-ES"/>
        </w:rPr>
        <w:t>0</w:t>
      </w:r>
      <w:r w:rsidRPr="006F0F2F">
        <w:rPr>
          <w:rFonts w:ascii="Arial" w:hAnsi="Arial" w:cs="Arial"/>
          <w:lang w:val="es-ES" w:eastAsia="es-ES"/>
        </w:rPr>
        <w:t>% del importe señalado en este artículo, siempre que estén previstos en el Presupuesto de Egresos del Estado de Nuevo León para el Ejercicio Fiscal 2018 y que sean destinados estrictamente a proyectos de inversión pública productiva, debiendo el Ejecutivo informar al Congreso del Estado, sobre los ajustes efectuados conforme a esta Ley, al presentar los Informes trimestrales de Avance de Gestión Financiera, relativos a la Cuenta Pública 2018.</w:t>
      </w:r>
    </w:p>
    <w:p w:rsidR="00600360" w:rsidRPr="006F2DA7" w:rsidRDefault="00600360" w:rsidP="00600360">
      <w:pPr>
        <w:pStyle w:val="Prrafodelista"/>
        <w:spacing w:before="240" w:after="240"/>
        <w:ind w:left="0"/>
        <w:jc w:val="both"/>
        <w:rPr>
          <w:rFonts w:ascii="Arial" w:hAnsi="Arial" w:cs="Arial"/>
          <w:lang w:val="es-ES" w:eastAsia="es-ES"/>
        </w:rPr>
      </w:pPr>
      <w:r w:rsidRPr="006F2DA7">
        <w:rPr>
          <w:rFonts w:ascii="Arial" w:hAnsi="Arial" w:cs="Arial"/>
          <w:b/>
          <w:lang w:val="es-ES" w:eastAsia="es-ES"/>
        </w:rPr>
        <w:t>Artículo 3.-</w:t>
      </w:r>
      <w:r w:rsidRPr="006F2DA7">
        <w:rPr>
          <w:rFonts w:ascii="Arial" w:hAnsi="Arial" w:cs="Arial"/>
          <w:lang w:val="es-ES" w:eastAsia="es-ES"/>
        </w:rPr>
        <w:t xml:space="preserve"> Una vez analizada la capacidad de pago del Estado de Nuevo León, se autoriza al Poder Ejecutivo del Estado para que, en caso de contraer obligaciones de corto plazo en los límites y montos establecidos en el artículo 30 de la Ley de Disciplina Financiera de las Entidades Federativas y los Municipios, equivalente al </w:t>
      </w:r>
      <w:r w:rsidRPr="00B93010">
        <w:rPr>
          <w:rFonts w:ascii="Arial" w:hAnsi="Arial" w:cs="Arial"/>
          <w:lang w:val="es-ES" w:eastAsia="es-ES"/>
        </w:rPr>
        <w:t>6 por ciento</w:t>
      </w:r>
      <w:r w:rsidRPr="006F2DA7">
        <w:rPr>
          <w:rFonts w:ascii="Arial" w:hAnsi="Arial" w:cs="Arial"/>
          <w:lang w:val="es-ES" w:eastAsia="es-ES"/>
        </w:rPr>
        <w:t xml:space="preserve"> de los ingresos totales autorizados para el ejercicio fiscal 2017, a efecto de garantizar su pago oportuno, así como obtener una mejora en las condiciones de tasa o costo financiero, se autoriza la afectación como fuente de pago de dichas obligaciones el porcentaje necesario y suficiente de sus ingresos y derechos por concepto de (a) participaciones en ingresos federales y/o (b) remanentes o ingresos percibidos de la normal operación de mecanismos de fuente de pago o garantía constituidos para el servicio de la deuda pública, y/o (c) ingresos derivados de contribuciones, productos y aprovechamientos estatales, a través de la afectación o aportación de dichos derechos e ingresos al patrimonio de los fideicomisos irrevocables de administración </w:t>
      </w:r>
      <w:r w:rsidRPr="006F2DA7">
        <w:rPr>
          <w:rFonts w:ascii="Arial" w:hAnsi="Arial" w:cs="Arial"/>
          <w:lang w:val="es-ES" w:eastAsia="es-ES"/>
        </w:rPr>
        <w:lastRenderedPageBreak/>
        <w:t>y fuente de pago previamente constituidos para el servicio de la deuda pública o bien, de aquellos fideicomisos que para el efecto se constituyan.</w:t>
      </w:r>
    </w:p>
    <w:p w:rsidR="00600360" w:rsidRPr="006F2DA7" w:rsidRDefault="00600360" w:rsidP="00600360">
      <w:pPr>
        <w:pStyle w:val="Prrafodelista"/>
        <w:spacing w:before="240" w:after="240"/>
        <w:ind w:left="0"/>
        <w:jc w:val="both"/>
        <w:rPr>
          <w:rFonts w:ascii="Arial" w:hAnsi="Arial" w:cs="Arial"/>
          <w:lang w:val="es-ES" w:eastAsia="es-ES"/>
        </w:rPr>
      </w:pPr>
      <w:r w:rsidRPr="006F2DA7">
        <w:rPr>
          <w:rFonts w:ascii="Arial" w:hAnsi="Arial" w:cs="Arial"/>
          <w:lang w:val="es-ES" w:eastAsia="es-ES"/>
        </w:rPr>
        <w:t xml:space="preserve">En el supuesto de que requiera adquirir obligaciones de corto plazo, las mismas se adquirirán hasta por el monto equivalente al </w:t>
      </w:r>
      <w:r w:rsidRPr="00B93010">
        <w:rPr>
          <w:rFonts w:ascii="Arial" w:hAnsi="Arial" w:cs="Arial"/>
          <w:lang w:val="es-ES" w:eastAsia="es-ES"/>
        </w:rPr>
        <w:t>6 por ciento</w:t>
      </w:r>
      <w:r w:rsidRPr="006F2DA7">
        <w:rPr>
          <w:rFonts w:ascii="Arial" w:hAnsi="Arial" w:cs="Arial"/>
          <w:lang w:val="es-ES" w:eastAsia="es-ES"/>
        </w:rPr>
        <w:t xml:space="preserve"> del total de los ingresos previstos en la presente Ley de Ingresos, sin incluir financiamiento, y se autoriza que dichos ingresos se destinen a cubrir necesidades urgentes de liquidez del Estado y/o a financiar las obras o acciones de inversión pública productiva incluidas en el programa estatal de obras o adquisiciones autorizado en el Presupuesto de Egresos del presente ejercicio fiscal o para proyectos de inversión pública productiva convenidos con el Gobierno Fede</w:t>
      </w:r>
      <w:r>
        <w:rPr>
          <w:rFonts w:ascii="Arial" w:hAnsi="Arial" w:cs="Arial"/>
          <w:lang w:val="es-ES" w:eastAsia="es-ES"/>
        </w:rPr>
        <w:t>ral o con Gobiernos Municipales y/o prepagos de otros financiamientos que sean necesarios para el adecuado desarrollo de las finanzas públicas.</w:t>
      </w:r>
    </w:p>
    <w:p w:rsidR="00600360" w:rsidRPr="006F2DA7" w:rsidRDefault="00600360" w:rsidP="00600360">
      <w:pPr>
        <w:pStyle w:val="Prrafodelista"/>
        <w:spacing w:before="240" w:after="240"/>
        <w:ind w:left="0"/>
        <w:jc w:val="both"/>
        <w:rPr>
          <w:rFonts w:ascii="Arial" w:hAnsi="Arial" w:cs="Arial"/>
          <w:lang w:val="es-ES" w:eastAsia="es-ES"/>
        </w:rPr>
      </w:pPr>
      <w:r w:rsidRPr="006F2DA7">
        <w:rPr>
          <w:rFonts w:ascii="Arial" w:hAnsi="Arial" w:cs="Arial"/>
          <w:b/>
          <w:lang w:val="es-ES" w:eastAsia="es-ES"/>
        </w:rPr>
        <w:t>Artículo 4.-</w:t>
      </w:r>
      <w:r w:rsidRPr="006F2DA7">
        <w:rPr>
          <w:rFonts w:ascii="Arial" w:hAnsi="Arial" w:cs="Arial"/>
          <w:lang w:val="es-ES" w:eastAsia="es-ES"/>
        </w:rPr>
        <w:t xml:space="preserve"> Se autoriza a que durante el ejercicio fiscal 2018, el Poder Ejecutivo del Estado, por conducto de la Secretaría de Finanzas y Tesorería General del Estado ejerza el total de las autorizaciones a que se refiere el Decreto No. 129 publicado en el Periódico Oficial el 1º de julio de 2016, a efecto de concluir con la reestructura o refinanciamiento integral de la deuda directa del Estado en mejores condiciones financieras a las originalmente pactadas.</w:t>
      </w:r>
    </w:p>
    <w:p w:rsidR="00600360" w:rsidRPr="006F2DA7" w:rsidRDefault="00600360" w:rsidP="00600360">
      <w:pPr>
        <w:pStyle w:val="Textoindependiente"/>
        <w:tabs>
          <w:tab w:val="left" w:pos="6840"/>
        </w:tabs>
        <w:spacing w:before="240" w:after="240" w:line="276" w:lineRule="auto"/>
        <w:rPr>
          <w:bCs/>
          <w:sz w:val="22"/>
          <w:szCs w:val="22"/>
        </w:rPr>
      </w:pPr>
      <w:r w:rsidRPr="006F2DA7">
        <w:rPr>
          <w:b/>
          <w:bCs/>
          <w:sz w:val="22"/>
          <w:szCs w:val="22"/>
        </w:rPr>
        <w:t>Artículo 5.-</w:t>
      </w:r>
      <w:r w:rsidRPr="006F2DA7">
        <w:rPr>
          <w:bCs/>
          <w:sz w:val="22"/>
          <w:szCs w:val="22"/>
        </w:rPr>
        <w:t xml:space="preserve"> La falta de pago puntual de cualquiera de los impuestos, derechos, contribuciones diversas o aprovechamientos, dará lugar a la imposición de un recargo del </w:t>
      </w:r>
      <w:r w:rsidRPr="0009080E">
        <w:rPr>
          <w:bCs/>
          <w:sz w:val="22"/>
          <w:szCs w:val="22"/>
        </w:rPr>
        <w:t>1.2 por ciento por cada mes o fracción que se retarde el pago, independientemente de la sanción a que haya lugar. Si el pago se efectúa en forma espontánea, el recargo será del 1 por ciento</w:t>
      </w:r>
      <w:r w:rsidRPr="006F2DA7">
        <w:rPr>
          <w:bCs/>
          <w:sz w:val="22"/>
          <w:szCs w:val="22"/>
        </w:rPr>
        <w:t xml:space="preserve"> por cada mes o fracción.</w:t>
      </w:r>
    </w:p>
    <w:p w:rsidR="00600360" w:rsidRDefault="00600360" w:rsidP="00600360">
      <w:pPr>
        <w:pStyle w:val="Textoindependiente"/>
        <w:tabs>
          <w:tab w:val="left" w:pos="6840"/>
        </w:tabs>
        <w:spacing w:before="240" w:after="240" w:line="276" w:lineRule="auto"/>
        <w:rPr>
          <w:bCs/>
          <w:sz w:val="22"/>
          <w:szCs w:val="22"/>
        </w:rPr>
      </w:pPr>
      <w:r w:rsidRPr="006F2DA7">
        <w:rPr>
          <w:b/>
          <w:bCs/>
          <w:sz w:val="22"/>
          <w:szCs w:val="22"/>
        </w:rPr>
        <w:t>Artículo 6.-</w:t>
      </w:r>
      <w:r w:rsidRPr="006F2DA7">
        <w:rPr>
          <w:bCs/>
          <w:sz w:val="22"/>
          <w:szCs w:val="22"/>
        </w:rPr>
        <w:t xml:space="preserve"> </w:t>
      </w:r>
      <w:r>
        <w:rPr>
          <w:bCs/>
          <w:sz w:val="22"/>
          <w:szCs w:val="22"/>
        </w:rPr>
        <w:t>Los ingresos excedentes de libre disposición se destinarán a los fines que establece la Ley de Disciplina Financiera de las Entidades Federativas y los Municipios.</w:t>
      </w:r>
    </w:p>
    <w:p w:rsidR="00600360" w:rsidRPr="006F2DA7" w:rsidRDefault="00600360" w:rsidP="00600360">
      <w:pPr>
        <w:pStyle w:val="Textoindependiente"/>
        <w:tabs>
          <w:tab w:val="left" w:pos="6840"/>
        </w:tabs>
        <w:spacing w:before="240" w:after="240" w:line="276" w:lineRule="auto"/>
        <w:rPr>
          <w:bCs/>
          <w:sz w:val="22"/>
          <w:szCs w:val="22"/>
        </w:rPr>
      </w:pPr>
      <w:r w:rsidRPr="006F2DA7">
        <w:rPr>
          <w:b/>
          <w:bCs/>
          <w:sz w:val="22"/>
          <w:szCs w:val="22"/>
        </w:rPr>
        <w:t xml:space="preserve">Artículo </w:t>
      </w:r>
      <w:r>
        <w:rPr>
          <w:b/>
          <w:bCs/>
          <w:sz w:val="22"/>
          <w:szCs w:val="22"/>
        </w:rPr>
        <w:t>7</w:t>
      </w:r>
      <w:r w:rsidRPr="006F2DA7">
        <w:rPr>
          <w:b/>
          <w:bCs/>
          <w:sz w:val="22"/>
          <w:szCs w:val="22"/>
        </w:rPr>
        <w:t>.-</w:t>
      </w:r>
      <w:r w:rsidRPr="006F2DA7">
        <w:rPr>
          <w:bCs/>
          <w:sz w:val="22"/>
          <w:szCs w:val="22"/>
        </w:rPr>
        <w:t xml:space="preserve"> Cuando se otorgue prórroga en los términos del Código Fiscal del Estado, se causarán intereses a razón del </w:t>
      </w:r>
      <w:r w:rsidRPr="0009080E">
        <w:rPr>
          <w:bCs/>
          <w:sz w:val="22"/>
          <w:szCs w:val="22"/>
        </w:rPr>
        <w:t>0.8 por ciento</w:t>
      </w:r>
      <w:r w:rsidRPr="006F2DA7">
        <w:rPr>
          <w:bCs/>
          <w:sz w:val="22"/>
          <w:szCs w:val="22"/>
        </w:rPr>
        <w:t xml:space="preserve"> mensual sobre saldos insolutos, del monto total de los créditos fiscales por los cuales se haya otorgado la prórroga y durante el tiempo que opere la  misma.</w:t>
      </w:r>
    </w:p>
    <w:p w:rsidR="00600360" w:rsidRPr="006F2DA7" w:rsidRDefault="00600360" w:rsidP="00600360">
      <w:pPr>
        <w:pStyle w:val="Textoindependiente"/>
        <w:tabs>
          <w:tab w:val="left" w:pos="6840"/>
        </w:tabs>
        <w:spacing w:before="240" w:after="240" w:line="276" w:lineRule="auto"/>
        <w:rPr>
          <w:bCs/>
          <w:sz w:val="22"/>
          <w:szCs w:val="22"/>
        </w:rPr>
      </w:pPr>
      <w:r w:rsidRPr="006F2DA7">
        <w:rPr>
          <w:b/>
          <w:bCs/>
          <w:sz w:val="22"/>
          <w:szCs w:val="22"/>
        </w:rPr>
        <w:lastRenderedPageBreak/>
        <w:t xml:space="preserve">Artículo </w:t>
      </w:r>
      <w:r>
        <w:rPr>
          <w:b/>
          <w:bCs/>
          <w:sz w:val="22"/>
          <w:szCs w:val="22"/>
        </w:rPr>
        <w:t>8</w:t>
      </w:r>
      <w:r w:rsidRPr="006F2DA7">
        <w:rPr>
          <w:b/>
          <w:bCs/>
          <w:sz w:val="22"/>
          <w:szCs w:val="22"/>
        </w:rPr>
        <w:t xml:space="preserve">.- </w:t>
      </w:r>
      <w:r w:rsidRPr="006F2DA7">
        <w:rPr>
          <w:bCs/>
          <w:sz w:val="22"/>
          <w:szCs w:val="22"/>
        </w:rPr>
        <w:t>La liquidación de créditos fiscales que arroje fracción en décimas o centésimas de peso, se ajustará elevando o disminuyendo los centavos, a la unidad, dependiendo si la fracción excede o no de cincuenta centavos.</w:t>
      </w:r>
    </w:p>
    <w:p w:rsidR="00600360" w:rsidRPr="006F2DA7" w:rsidRDefault="00600360" w:rsidP="00600360">
      <w:pPr>
        <w:pStyle w:val="Textoindependiente"/>
        <w:tabs>
          <w:tab w:val="left" w:pos="6840"/>
        </w:tabs>
        <w:spacing w:before="240" w:after="240" w:line="276" w:lineRule="auto"/>
        <w:rPr>
          <w:bCs/>
          <w:sz w:val="22"/>
          <w:szCs w:val="22"/>
        </w:rPr>
      </w:pPr>
      <w:r w:rsidRPr="006F2DA7">
        <w:rPr>
          <w:b/>
          <w:bCs/>
          <w:sz w:val="22"/>
          <w:szCs w:val="22"/>
        </w:rPr>
        <w:t xml:space="preserve">Artículo </w:t>
      </w:r>
      <w:r>
        <w:rPr>
          <w:b/>
          <w:bCs/>
          <w:sz w:val="22"/>
          <w:szCs w:val="22"/>
        </w:rPr>
        <w:t>9</w:t>
      </w:r>
      <w:r w:rsidRPr="006F2DA7">
        <w:rPr>
          <w:b/>
          <w:bCs/>
          <w:sz w:val="22"/>
          <w:szCs w:val="22"/>
        </w:rPr>
        <w:t>.-</w:t>
      </w:r>
      <w:r w:rsidRPr="006F2DA7">
        <w:rPr>
          <w:bCs/>
          <w:sz w:val="22"/>
          <w:szCs w:val="22"/>
        </w:rPr>
        <w:t xml:space="preserve"> Se faculta al Titular del Ejecutivo Estatal por conducto de la Secretaría de Finanzas y Tesorería General del Estado, para que celebre los convenios necesarios, para la recaudación, fiscalización y administración de ingresos federales, estatales o municipales.</w:t>
      </w:r>
    </w:p>
    <w:p w:rsidR="00600360" w:rsidRPr="006F2DA7" w:rsidRDefault="00600360" w:rsidP="00600360">
      <w:pPr>
        <w:pStyle w:val="Prrafodelista"/>
        <w:spacing w:before="240" w:after="240"/>
        <w:ind w:left="0"/>
        <w:jc w:val="both"/>
        <w:rPr>
          <w:rFonts w:ascii="Arial" w:hAnsi="Arial" w:cs="Arial"/>
          <w:lang w:val="es-ES" w:eastAsia="es-ES"/>
        </w:rPr>
      </w:pPr>
      <w:r w:rsidRPr="006F2DA7">
        <w:rPr>
          <w:rFonts w:ascii="Arial" w:hAnsi="Arial" w:cs="Arial"/>
          <w:b/>
          <w:bCs/>
          <w:lang w:eastAsia="es-ES"/>
        </w:rPr>
        <w:t xml:space="preserve">Artículo </w:t>
      </w:r>
      <w:r>
        <w:rPr>
          <w:rFonts w:ascii="Arial" w:hAnsi="Arial" w:cs="Arial"/>
          <w:b/>
          <w:bCs/>
          <w:lang w:eastAsia="es-ES"/>
        </w:rPr>
        <w:t>10</w:t>
      </w:r>
      <w:r w:rsidRPr="006F2DA7">
        <w:rPr>
          <w:rFonts w:ascii="Arial" w:hAnsi="Arial" w:cs="Arial"/>
          <w:b/>
          <w:bCs/>
          <w:lang w:eastAsia="es-ES"/>
        </w:rPr>
        <w:t>.-</w:t>
      </w:r>
      <w:r w:rsidRPr="006F2DA7">
        <w:rPr>
          <w:rFonts w:ascii="Arial" w:hAnsi="Arial" w:cs="Arial"/>
          <w:bCs/>
        </w:rPr>
        <w:t xml:space="preserve"> </w:t>
      </w:r>
      <w:r w:rsidRPr="006F2DA7">
        <w:rPr>
          <w:rFonts w:ascii="Arial" w:hAnsi="Arial" w:cs="Arial"/>
          <w:lang w:val="es-ES" w:eastAsia="es-ES"/>
        </w:rPr>
        <w:t>Se faculta a la Secretaría de Finanzas y Tesorería General del Estado, para que celebre con las autoridades federales, estatales, municipales o con personas físicas o morales de naturaleza privada, en los términos de las disposiciones legales respectivas, los convenios que considere necesarios para la recaudación, fiscalización y administración de ingresos federales, estatales o municipales.</w:t>
      </w:r>
    </w:p>
    <w:p w:rsidR="00600360" w:rsidRPr="006F2DA7" w:rsidRDefault="00600360" w:rsidP="00600360">
      <w:pPr>
        <w:pStyle w:val="Prrafodelista"/>
        <w:spacing w:before="240" w:after="240"/>
        <w:ind w:left="0"/>
        <w:jc w:val="both"/>
        <w:rPr>
          <w:rFonts w:ascii="Arial" w:hAnsi="Arial" w:cs="Arial"/>
          <w:lang w:val="es-ES" w:eastAsia="es-ES"/>
        </w:rPr>
      </w:pPr>
      <w:r w:rsidRPr="006F2DA7">
        <w:rPr>
          <w:rFonts w:ascii="Arial" w:hAnsi="Arial" w:cs="Arial"/>
          <w:b/>
          <w:bCs/>
          <w:lang w:eastAsia="es-ES"/>
        </w:rPr>
        <w:t>Artículo 1</w:t>
      </w:r>
      <w:r>
        <w:rPr>
          <w:rFonts w:ascii="Arial" w:hAnsi="Arial" w:cs="Arial"/>
          <w:b/>
          <w:bCs/>
          <w:lang w:eastAsia="es-ES"/>
        </w:rPr>
        <w:t>1</w:t>
      </w:r>
      <w:r w:rsidRPr="006F2DA7">
        <w:rPr>
          <w:rFonts w:ascii="Arial" w:hAnsi="Arial" w:cs="Arial"/>
          <w:b/>
          <w:bCs/>
          <w:lang w:eastAsia="es-ES"/>
        </w:rPr>
        <w:t>.-</w:t>
      </w:r>
      <w:r w:rsidRPr="006F2DA7">
        <w:rPr>
          <w:rFonts w:ascii="Arial" w:hAnsi="Arial" w:cs="Arial"/>
          <w:bCs/>
        </w:rPr>
        <w:t xml:space="preserve"> </w:t>
      </w:r>
      <w:r w:rsidRPr="006F2DA7">
        <w:rPr>
          <w:rFonts w:ascii="Arial" w:hAnsi="Arial" w:cs="Arial"/>
          <w:lang w:val="es-ES" w:eastAsia="es-ES"/>
        </w:rPr>
        <w:t>Se autoriza al Ejecutivo del Estado a afectar los ingresos propios o los ingresos por concepto de participaciones o aportaciones federales como garantía o fuente de pago de las obligaciones contraídas.</w:t>
      </w:r>
    </w:p>
    <w:p w:rsidR="00600360" w:rsidRPr="006F2DA7" w:rsidRDefault="00600360" w:rsidP="00600360">
      <w:pPr>
        <w:pStyle w:val="Prrafodelista"/>
        <w:spacing w:before="240" w:after="240"/>
        <w:ind w:left="0"/>
        <w:jc w:val="both"/>
        <w:rPr>
          <w:rFonts w:ascii="Arial" w:hAnsi="Arial" w:cs="Arial"/>
          <w:bCs/>
        </w:rPr>
      </w:pPr>
      <w:r w:rsidRPr="006F2DA7">
        <w:rPr>
          <w:rFonts w:ascii="Arial" w:hAnsi="Arial" w:cs="Arial"/>
          <w:b/>
          <w:bCs/>
          <w:lang w:eastAsia="es-ES"/>
        </w:rPr>
        <w:t>Artículo 1</w:t>
      </w:r>
      <w:r>
        <w:rPr>
          <w:rFonts w:ascii="Arial" w:hAnsi="Arial" w:cs="Arial"/>
          <w:b/>
          <w:bCs/>
          <w:lang w:eastAsia="es-ES"/>
        </w:rPr>
        <w:t>2</w:t>
      </w:r>
      <w:r w:rsidRPr="006F2DA7">
        <w:rPr>
          <w:rFonts w:ascii="Arial" w:hAnsi="Arial" w:cs="Arial"/>
          <w:b/>
          <w:bCs/>
          <w:lang w:eastAsia="es-ES"/>
        </w:rPr>
        <w:t xml:space="preserve">.- </w:t>
      </w:r>
      <w:r w:rsidRPr="006F2DA7">
        <w:rPr>
          <w:rFonts w:ascii="Arial" w:hAnsi="Arial" w:cs="Arial"/>
          <w:lang w:val="es-ES" w:eastAsia="es-ES"/>
        </w:rPr>
        <w:t>Los ingresos previstos en esta Ley se causarán, liquidarán y recaudarán, en los términos de la Ley de Hacienda del Estado de Nuevo León y conforme a las disposiciones de las demás leyes, reglamentos, acuerdos y circulares aplicables</w:t>
      </w:r>
      <w:r w:rsidRPr="006F2DA7">
        <w:rPr>
          <w:rFonts w:ascii="Arial" w:hAnsi="Arial" w:cs="Arial"/>
          <w:bCs/>
        </w:rPr>
        <w:t>.</w:t>
      </w:r>
    </w:p>
    <w:p w:rsidR="00600360" w:rsidRPr="006F2DA7" w:rsidRDefault="00600360" w:rsidP="00600360">
      <w:pPr>
        <w:spacing w:before="240" w:after="240"/>
        <w:jc w:val="both"/>
        <w:rPr>
          <w:rFonts w:ascii="Arial" w:hAnsi="Arial" w:cs="Arial"/>
          <w:color w:val="000000"/>
        </w:rPr>
      </w:pPr>
      <w:r w:rsidRPr="006F2DA7">
        <w:rPr>
          <w:rFonts w:ascii="Arial" w:hAnsi="Arial" w:cs="Arial"/>
          <w:b/>
          <w:bCs/>
          <w:lang w:eastAsia="es-ES"/>
        </w:rPr>
        <w:t>Artículo 1</w:t>
      </w:r>
      <w:r>
        <w:rPr>
          <w:rFonts w:ascii="Arial" w:hAnsi="Arial" w:cs="Arial"/>
          <w:b/>
          <w:bCs/>
          <w:lang w:eastAsia="es-ES"/>
        </w:rPr>
        <w:t>3</w:t>
      </w:r>
      <w:r w:rsidRPr="006F2DA7">
        <w:rPr>
          <w:rFonts w:ascii="Arial" w:hAnsi="Arial" w:cs="Arial"/>
          <w:b/>
          <w:bCs/>
          <w:lang w:eastAsia="es-ES"/>
        </w:rPr>
        <w:t xml:space="preserve">.- </w:t>
      </w:r>
      <w:r w:rsidRPr="006F2DA7">
        <w:rPr>
          <w:rFonts w:ascii="Arial" w:hAnsi="Arial" w:cs="Arial"/>
          <w:bCs/>
        </w:rPr>
        <w:t xml:space="preserve">Dentro de los </w:t>
      </w:r>
      <w:r w:rsidRPr="006F2DA7">
        <w:rPr>
          <w:rFonts w:ascii="Arial" w:hAnsi="Arial" w:cs="Arial"/>
          <w:color w:val="000000"/>
        </w:rPr>
        <w:t>15 días hábiles posteriores a la publicación de esta Ley, se publicará en el Periódico Oficial del Estado el calendario mensual de ingresos derivado de esta Ley. El Ejecutivo del Estado a través de la Secretaría de Finanzas y Tesorería General del Estado, deberá entregar al Congreso del Estado, la metodología y criterios que hubiese utilizado para la estimación de los ingresos, misma que deberá ser incluida en la citada publicación.</w:t>
      </w:r>
    </w:p>
    <w:p w:rsidR="00600360" w:rsidRPr="00556774" w:rsidRDefault="00600360" w:rsidP="00600360">
      <w:pPr>
        <w:pStyle w:val="Textoindependiente"/>
        <w:tabs>
          <w:tab w:val="left" w:pos="6840"/>
        </w:tabs>
        <w:spacing w:before="240" w:after="240" w:line="276" w:lineRule="auto"/>
        <w:jc w:val="center"/>
        <w:rPr>
          <w:b/>
          <w:bCs/>
          <w:sz w:val="22"/>
          <w:szCs w:val="22"/>
          <w:lang w:val="en-US"/>
        </w:rPr>
      </w:pPr>
      <w:r w:rsidRPr="00556774">
        <w:rPr>
          <w:b/>
          <w:bCs/>
          <w:sz w:val="22"/>
          <w:szCs w:val="22"/>
          <w:lang w:val="en-US"/>
        </w:rPr>
        <w:t>T R A N S I T O R I O S</w:t>
      </w:r>
    </w:p>
    <w:p w:rsidR="00600360" w:rsidRPr="00556774" w:rsidRDefault="00600360" w:rsidP="00600360">
      <w:pPr>
        <w:pStyle w:val="Textoindependiente"/>
        <w:tabs>
          <w:tab w:val="left" w:pos="6840"/>
        </w:tabs>
        <w:spacing w:before="240" w:after="240" w:line="276" w:lineRule="auto"/>
        <w:rPr>
          <w:b/>
          <w:bCs/>
          <w:sz w:val="22"/>
          <w:szCs w:val="22"/>
          <w:lang w:val="en-US"/>
        </w:rPr>
      </w:pPr>
    </w:p>
    <w:p w:rsidR="00600360" w:rsidRPr="006F2DA7" w:rsidRDefault="00600360" w:rsidP="00600360">
      <w:pPr>
        <w:pStyle w:val="Textoindependiente"/>
        <w:tabs>
          <w:tab w:val="left" w:pos="6840"/>
        </w:tabs>
        <w:spacing w:before="240" w:after="240" w:line="276" w:lineRule="auto"/>
        <w:rPr>
          <w:bCs/>
          <w:sz w:val="22"/>
          <w:szCs w:val="22"/>
        </w:rPr>
      </w:pPr>
      <w:r w:rsidRPr="006F2DA7">
        <w:rPr>
          <w:b/>
          <w:bCs/>
          <w:sz w:val="22"/>
          <w:szCs w:val="22"/>
        </w:rPr>
        <w:t>ARTÍCULO PRIMERO.-</w:t>
      </w:r>
      <w:r w:rsidRPr="006F2DA7">
        <w:rPr>
          <w:bCs/>
          <w:sz w:val="22"/>
          <w:szCs w:val="22"/>
        </w:rPr>
        <w:t xml:space="preserve"> Esta Ley entrará en vigor el 1° de enero del año 2018.</w:t>
      </w:r>
    </w:p>
    <w:p w:rsidR="00600360" w:rsidRDefault="00600360" w:rsidP="00600360">
      <w:pPr>
        <w:pStyle w:val="Textoindependiente"/>
        <w:tabs>
          <w:tab w:val="left" w:pos="6840"/>
        </w:tabs>
        <w:spacing w:before="240" w:after="240" w:line="276" w:lineRule="auto"/>
        <w:rPr>
          <w:b/>
          <w:bCs/>
          <w:sz w:val="22"/>
          <w:szCs w:val="22"/>
        </w:rPr>
      </w:pPr>
    </w:p>
    <w:p w:rsidR="00600360" w:rsidRPr="006F2DA7" w:rsidRDefault="00600360" w:rsidP="00600360">
      <w:pPr>
        <w:pStyle w:val="Textoindependiente"/>
        <w:tabs>
          <w:tab w:val="left" w:pos="6840"/>
        </w:tabs>
        <w:spacing w:before="240" w:after="240" w:line="276" w:lineRule="auto"/>
        <w:rPr>
          <w:bCs/>
          <w:sz w:val="22"/>
          <w:szCs w:val="22"/>
        </w:rPr>
      </w:pPr>
      <w:r w:rsidRPr="006F2DA7">
        <w:rPr>
          <w:b/>
          <w:bCs/>
          <w:sz w:val="22"/>
          <w:szCs w:val="22"/>
        </w:rPr>
        <w:lastRenderedPageBreak/>
        <w:t>ARTÍCULO SEGUNDO.-</w:t>
      </w:r>
      <w:r w:rsidRPr="006F2DA7">
        <w:rPr>
          <w:bCs/>
          <w:sz w:val="22"/>
          <w:szCs w:val="22"/>
        </w:rPr>
        <w:t xml:space="preserve"> Durante el año 2018, y mientras permanezca en vigor la Adhesión del Estado de Nuevo León al Sistema Nacional de Coordinación Fiscal a que se contrae el Convenio de Adhesión al Sistema Nacional de Coordinación Fiscal, publicado en el Diario Oficial de la Federación el 28 de diciembre de 1979, se suspende la vigencia de los impuestos sobre ingresos mercantiles, sobre expendio de bebidas alcohólicas, sobre compraventa o permuta de ganado, sobre venta de gasolina y demás derivados del petróleo y sobre ganado y aves que se sacrifiquen. </w:t>
      </w:r>
    </w:p>
    <w:p w:rsidR="00600360" w:rsidRDefault="00600360" w:rsidP="00600360">
      <w:pPr>
        <w:pStyle w:val="Textoindependiente"/>
        <w:tabs>
          <w:tab w:val="left" w:pos="6840"/>
        </w:tabs>
        <w:spacing w:before="240" w:after="240" w:line="276" w:lineRule="auto"/>
        <w:rPr>
          <w:b/>
          <w:bCs/>
          <w:sz w:val="22"/>
          <w:szCs w:val="22"/>
        </w:rPr>
      </w:pPr>
    </w:p>
    <w:p w:rsidR="00600360" w:rsidRPr="006F2DA7" w:rsidRDefault="00600360" w:rsidP="00600360">
      <w:pPr>
        <w:pStyle w:val="Textoindependiente"/>
        <w:tabs>
          <w:tab w:val="left" w:pos="6840"/>
        </w:tabs>
        <w:spacing w:before="240" w:after="240" w:line="276" w:lineRule="auto"/>
        <w:rPr>
          <w:bCs/>
          <w:sz w:val="22"/>
          <w:szCs w:val="22"/>
        </w:rPr>
      </w:pPr>
      <w:r w:rsidRPr="006F2DA7">
        <w:rPr>
          <w:b/>
          <w:bCs/>
          <w:sz w:val="22"/>
          <w:szCs w:val="22"/>
        </w:rPr>
        <w:t>ARTÍCULO TERCERO.-</w:t>
      </w:r>
      <w:r w:rsidRPr="006F2DA7">
        <w:rPr>
          <w:bCs/>
          <w:sz w:val="22"/>
          <w:szCs w:val="22"/>
        </w:rPr>
        <w:t xml:space="preserve"> Si se da por terminado el Convenio de Adhesión al Sistema Nacional de Coordinación Fiscal mencionado en el artículo que antecede, entrarán en vigor nuevamente desde el día siguiente al en que surta sus efectos la terminación de dicho Convenio, los impuestos sobre ingresos mercantiles, sobre expendio de bebidas alcohólicas, sobre compraventa o permuta de ganado, sobre venta de gasolina y demás derivados del petróleo y sobre ganado y aves que se sacrifiquen.</w:t>
      </w:r>
    </w:p>
    <w:p w:rsidR="00600360" w:rsidRDefault="00600360" w:rsidP="00600360">
      <w:pPr>
        <w:pStyle w:val="Textoindependiente"/>
        <w:tabs>
          <w:tab w:val="left" w:pos="6840"/>
        </w:tabs>
        <w:spacing w:before="240" w:after="240" w:line="276" w:lineRule="auto"/>
        <w:rPr>
          <w:b/>
          <w:bCs/>
          <w:sz w:val="22"/>
          <w:szCs w:val="22"/>
        </w:rPr>
      </w:pPr>
    </w:p>
    <w:p w:rsidR="00600360" w:rsidRPr="006F2DA7" w:rsidRDefault="00600360" w:rsidP="00600360">
      <w:pPr>
        <w:pStyle w:val="Textoindependiente"/>
        <w:tabs>
          <w:tab w:val="left" w:pos="6840"/>
        </w:tabs>
        <w:spacing w:before="240" w:after="240" w:line="276" w:lineRule="auto"/>
        <w:rPr>
          <w:bCs/>
          <w:sz w:val="22"/>
          <w:szCs w:val="22"/>
        </w:rPr>
      </w:pPr>
      <w:r w:rsidRPr="006F2DA7">
        <w:rPr>
          <w:b/>
          <w:bCs/>
          <w:sz w:val="22"/>
          <w:szCs w:val="22"/>
        </w:rPr>
        <w:t>ARTÍCULO CUARTO.-</w:t>
      </w:r>
      <w:r w:rsidRPr="006F2DA7">
        <w:rPr>
          <w:bCs/>
          <w:sz w:val="22"/>
          <w:szCs w:val="22"/>
        </w:rPr>
        <w:t xml:space="preserve"> Durante el año 2018, y mientras permanezca en vigor la Coordinación en Materia Federal de Derechos entre la Federación y el Estado de Nuevo León a que se contrae la Declaratoria emitida por el Secretario de Hacienda y Crédito Público, publicada en el Diario Oficial de la Federación en fecha 04 de octubre de 1994, en los términos previstos en la Ley de Coordinación Fiscal, se suspende la vigencia de los derechos contenidos en los Artículos 267; 268; 275 bis, fracción II y 277, fracciones III, IV, VIII y IX de la Ley de Hacienda del Estado. </w:t>
      </w:r>
    </w:p>
    <w:p w:rsidR="00600360" w:rsidRDefault="00600360" w:rsidP="00600360">
      <w:pPr>
        <w:pStyle w:val="Textoindependiente"/>
        <w:tabs>
          <w:tab w:val="left" w:pos="6840"/>
        </w:tabs>
        <w:spacing w:before="240" w:after="240" w:line="276" w:lineRule="auto"/>
        <w:rPr>
          <w:b/>
          <w:bCs/>
          <w:sz w:val="22"/>
          <w:szCs w:val="22"/>
        </w:rPr>
      </w:pPr>
    </w:p>
    <w:p w:rsidR="00600360" w:rsidRDefault="00600360" w:rsidP="00600360">
      <w:pPr>
        <w:pStyle w:val="Textoindependiente"/>
        <w:tabs>
          <w:tab w:val="left" w:pos="6840"/>
        </w:tabs>
        <w:spacing w:before="240" w:after="240" w:line="276" w:lineRule="auto"/>
        <w:rPr>
          <w:bCs/>
          <w:sz w:val="22"/>
          <w:szCs w:val="22"/>
        </w:rPr>
      </w:pPr>
      <w:r w:rsidRPr="006F2DA7">
        <w:rPr>
          <w:b/>
          <w:bCs/>
          <w:sz w:val="22"/>
          <w:szCs w:val="22"/>
        </w:rPr>
        <w:t>ARTÍCULO QUINTO.-</w:t>
      </w:r>
      <w:r w:rsidRPr="006F2DA7">
        <w:rPr>
          <w:bCs/>
          <w:sz w:val="22"/>
          <w:szCs w:val="22"/>
        </w:rPr>
        <w:t xml:space="preserve"> Si se da por terminada la Coordinación en Materia Federal de Derechos, entre la Federación y el Estado de Nuevo León a que se refiere el transitorio que antecede, entrarán en vigor nuevamente desde el día siguiente al en que surta sus efectos la terminación de la citada Coordinación, los derechos contenidos en los Artículos 267; 268; 275 bis, fracción II, y 277, fracciones III, IV, VIII y IX de la Ley de Hacienda del Estado.</w:t>
      </w:r>
    </w:p>
    <w:p w:rsidR="00600360" w:rsidRDefault="00600360" w:rsidP="00600360">
      <w:pPr>
        <w:pStyle w:val="Textoindependiente"/>
        <w:tabs>
          <w:tab w:val="left" w:pos="6840"/>
        </w:tabs>
        <w:spacing w:before="240" w:after="240" w:line="276" w:lineRule="auto"/>
        <w:rPr>
          <w:bCs/>
          <w:sz w:val="22"/>
          <w:szCs w:val="22"/>
        </w:rPr>
      </w:pPr>
    </w:p>
    <w:p w:rsidR="00DA1F22" w:rsidRDefault="00FD2571" w:rsidP="003B484C">
      <w:pPr>
        <w:spacing w:line="360" w:lineRule="auto"/>
        <w:jc w:val="center"/>
        <w:rPr>
          <w:rFonts w:ascii="Arial" w:hAnsi="Arial" w:cs="Arial"/>
          <w:b/>
          <w:sz w:val="24"/>
          <w:szCs w:val="24"/>
        </w:rPr>
      </w:pPr>
      <w:r w:rsidRPr="003B484C">
        <w:rPr>
          <w:rFonts w:ascii="Arial" w:hAnsi="Arial" w:cs="Arial"/>
          <w:b/>
          <w:bCs/>
          <w:sz w:val="24"/>
          <w:szCs w:val="24"/>
        </w:rPr>
        <w:lastRenderedPageBreak/>
        <w:t>MONTERREY, NUEVO LEÓN</w:t>
      </w:r>
      <w:r w:rsidR="00DA1F22">
        <w:rPr>
          <w:rFonts w:ascii="Arial" w:hAnsi="Arial" w:cs="Arial"/>
          <w:b/>
          <w:sz w:val="24"/>
          <w:szCs w:val="24"/>
        </w:rPr>
        <w:t xml:space="preserve"> A</w:t>
      </w:r>
      <w:r w:rsidR="00E516DF">
        <w:rPr>
          <w:rFonts w:ascii="Arial" w:hAnsi="Arial" w:cs="Arial"/>
          <w:b/>
          <w:sz w:val="24"/>
          <w:szCs w:val="24"/>
        </w:rPr>
        <w:t xml:space="preserve">  </w:t>
      </w:r>
      <w:bookmarkStart w:id="0" w:name="_GoBack"/>
      <w:bookmarkEnd w:id="0"/>
    </w:p>
    <w:p w:rsidR="00FD2571" w:rsidRPr="00DA1F22" w:rsidRDefault="00FD2571" w:rsidP="003B484C">
      <w:pPr>
        <w:spacing w:line="360" w:lineRule="auto"/>
        <w:jc w:val="center"/>
        <w:rPr>
          <w:rFonts w:ascii="Arial" w:hAnsi="Arial" w:cs="Arial"/>
          <w:b/>
          <w:sz w:val="24"/>
          <w:szCs w:val="24"/>
        </w:rPr>
      </w:pPr>
      <w:r w:rsidRPr="00DA1F22">
        <w:rPr>
          <w:rFonts w:ascii="Arial" w:hAnsi="Arial" w:cs="Arial"/>
          <w:b/>
          <w:bCs/>
          <w:sz w:val="24"/>
          <w:szCs w:val="24"/>
        </w:rPr>
        <w:t>COMISIÓN DE PRESUPUESTO</w:t>
      </w:r>
    </w:p>
    <w:p w:rsidR="00FD2571" w:rsidRPr="00DA1F22" w:rsidRDefault="00DA1F22" w:rsidP="003B484C">
      <w:pPr>
        <w:pStyle w:val="Body1"/>
        <w:widowControl w:val="0"/>
        <w:tabs>
          <w:tab w:val="left" w:pos="3828"/>
        </w:tabs>
        <w:suppressAutoHyphens/>
        <w:spacing w:after="120" w:line="360" w:lineRule="auto"/>
        <w:jc w:val="center"/>
        <w:rPr>
          <w:rFonts w:ascii="Arial" w:hAnsi="Arial" w:cs="Arial"/>
          <w:b/>
          <w:szCs w:val="24"/>
          <w:lang w:val="es-ES_tradnl"/>
        </w:rPr>
      </w:pPr>
      <w:r w:rsidRPr="00DA1F22">
        <w:rPr>
          <w:rFonts w:ascii="Arial" w:hAnsi="Arial" w:cs="Arial"/>
          <w:b/>
          <w:szCs w:val="24"/>
          <w:lang w:val="es-ES_tradnl"/>
        </w:rPr>
        <w:t>PRESIDENTA</w:t>
      </w:r>
      <w:r w:rsidR="00FD2571" w:rsidRPr="00DA1F22">
        <w:rPr>
          <w:rFonts w:ascii="Arial" w:hAnsi="Arial" w:cs="Arial"/>
          <w:b/>
          <w:szCs w:val="24"/>
          <w:lang w:val="es-ES_tradnl"/>
        </w:rPr>
        <w:t>:</w:t>
      </w:r>
    </w:p>
    <w:p w:rsidR="00FD2571" w:rsidRPr="00DA1F22" w:rsidRDefault="00FD2571" w:rsidP="003B484C">
      <w:pPr>
        <w:spacing w:line="360" w:lineRule="auto"/>
        <w:jc w:val="center"/>
        <w:outlineLvl w:val="0"/>
        <w:rPr>
          <w:rFonts w:ascii="Arial" w:eastAsia="Arial Unicode MS" w:hAnsi="Arial" w:cs="Arial"/>
          <w:smallCaps/>
          <w:sz w:val="24"/>
          <w:szCs w:val="24"/>
        </w:rPr>
      </w:pPr>
      <w:r w:rsidRPr="00DA1F22">
        <w:rPr>
          <w:rFonts w:ascii="Arial" w:eastAsia="Arial Unicode MS" w:hAnsi="Arial" w:cs="Arial"/>
          <w:smallCaps/>
          <w:sz w:val="24"/>
          <w:szCs w:val="24"/>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FD2571" w:rsidRPr="00DA1F22" w:rsidTr="00DD49B1">
        <w:trPr>
          <w:cantSplit/>
          <w:trHeight w:val="340"/>
          <w:jc w:val="center"/>
        </w:trPr>
        <w:tc>
          <w:tcPr>
            <w:tcW w:w="4427" w:type="dxa"/>
            <w:tcMar>
              <w:top w:w="80" w:type="dxa"/>
              <w:left w:w="0" w:type="dxa"/>
              <w:bottom w:w="80" w:type="dxa"/>
              <w:right w:w="0" w:type="dxa"/>
            </w:tcMar>
          </w:tcPr>
          <w:p w:rsidR="00FD2571" w:rsidRPr="00DA1F22" w:rsidRDefault="00FD2571" w:rsidP="00DD49B1">
            <w:pPr>
              <w:jc w:val="center"/>
              <w:outlineLvl w:val="0"/>
              <w:rPr>
                <w:rFonts w:ascii="Arial" w:eastAsia="Arial Unicode MS" w:hAnsi="Arial" w:cs="Arial"/>
                <w:b/>
                <w:sz w:val="24"/>
                <w:szCs w:val="24"/>
              </w:rPr>
            </w:pPr>
            <w:r w:rsidRPr="00DA1F22">
              <w:rPr>
                <w:rFonts w:ascii="Arial" w:eastAsia="Arial Unicode MS" w:hAnsi="Arial" w:cs="Arial"/>
                <w:b/>
                <w:sz w:val="24"/>
                <w:szCs w:val="24"/>
              </w:rPr>
              <w:t>VICEPRESIDENTE:</w:t>
            </w:r>
          </w:p>
          <w:p w:rsidR="00FD2571" w:rsidRPr="00DA1F22" w:rsidRDefault="00FD2571" w:rsidP="00DD49B1">
            <w:pPr>
              <w:jc w:val="center"/>
              <w:outlineLvl w:val="0"/>
              <w:rPr>
                <w:rFonts w:ascii="Arial" w:eastAsia="Arial Unicode MS" w:hAnsi="Arial" w:cs="Arial"/>
                <w:sz w:val="24"/>
                <w:szCs w:val="24"/>
              </w:rPr>
            </w:pPr>
            <w:r w:rsidRPr="00DA1F22">
              <w:rPr>
                <w:rFonts w:ascii="Arial" w:eastAsia="Arial Unicode MS" w:hAnsi="Arial" w:cs="Arial"/>
                <w:sz w:val="24"/>
                <w:szCs w:val="24"/>
              </w:rPr>
              <w:t xml:space="preserve">DIP. </w:t>
            </w:r>
            <w:r w:rsidRPr="00DA1F22">
              <w:rPr>
                <w:rFonts w:ascii="Arial" w:eastAsia="Arial Unicode MS" w:hAnsi="Arial" w:cs="Arial"/>
                <w:smallCaps/>
                <w:sz w:val="24"/>
                <w:szCs w:val="24"/>
              </w:rPr>
              <w:t>MARCO ANTONIO GONZÁLEZ VALDEZ</w:t>
            </w:r>
          </w:p>
        </w:tc>
        <w:tc>
          <w:tcPr>
            <w:tcW w:w="4524" w:type="dxa"/>
            <w:tcMar>
              <w:top w:w="80" w:type="dxa"/>
              <w:left w:w="0" w:type="dxa"/>
              <w:bottom w:w="80" w:type="dxa"/>
              <w:right w:w="0" w:type="dxa"/>
            </w:tcMar>
          </w:tcPr>
          <w:p w:rsidR="00FD2571" w:rsidRPr="00DA1F22" w:rsidRDefault="00FD2571" w:rsidP="00DD49B1">
            <w:pPr>
              <w:jc w:val="center"/>
              <w:outlineLvl w:val="0"/>
              <w:rPr>
                <w:rFonts w:ascii="Arial" w:eastAsia="Arial Unicode MS" w:hAnsi="Arial" w:cs="Arial"/>
                <w:b/>
                <w:sz w:val="24"/>
                <w:szCs w:val="24"/>
              </w:rPr>
            </w:pPr>
            <w:r w:rsidRPr="00DA1F22">
              <w:rPr>
                <w:rFonts w:ascii="Arial" w:eastAsia="Arial Unicode MS" w:hAnsi="Arial" w:cs="Arial"/>
                <w:b/>
                <w:sz w:val="24"/>
                <w:szCs w:val="24"/>
              </w:rPr>
              <w:t>SECRETARIO:</w:t>
            </w:r>
          </w:p>
          <w:p w:rsidR="00FD2571" w:rsidRPr="00DA1F22" w:rsidRDefault="00FD2571" w:rsidP="00DD49B1">
            <w:pPr>
              <w:jc w:val="center"/>
              <w:outlineLvl w:val="0"/>
              <w:rPr>
                <w:rFonts w:ascii="Arial" w:eastAsia="Arial Unicode MS" w:hAnsi="Arial" w:cs="Arial"/>
                <w:sz w:val="24"/>
                <w:szCs w:val="24"/>
              </w:rPr>
            </w:pPr>
            <w:r w:rsidRPr="00DA1F22">
              <w:rPr>
                <w:rFonts w:ascii="Arial" w:eastAsia="Arial Unicode MS" w:hAnsi="Arial" w:cs="Arial"/>
                <w:sz w:val="24"/>
                <w:szCs w:val="24"/>
              </w:rPr>
              <w:t>DIP. JOSÉ ARTURO SALINAS GARZA</w:t>
            </w:r>
          </w:p>
        </w:tc>
      </w:tr>
      <w:tr w:rsidR="00FD2571" w:rsidRPr="00DA1F22" w:rsidTr="00DD49B1">
        <w:trPr>
          <w:cantSplit/>
          <w:trHeight w:val="340"/>
          <w:jc w:val="center"/>
        </w:trPr>
        <w:tc>
          <w:tcPr>
            <w:tcW w:w="4427" w:type="dxa"/>
            <w:tcMar>
              <w:top w:w="80" w:type="dxa"/>
              <w:left w:w="0" w:type="dxa"/>
              <w:bottom w:w="80" w:type="dxa"/>
              <w:right w:w="0" w:type="dxa"/>
            </w:tcMar>
          </w:tcPr>
          <w:p w:rsidR="00FD2571" w:rsidRPr="00DA1F22" w:rsidRDefault="00FD2571" w:rsidP="00DD49B1">
            <w:pPr>
              <w:jc w:val="center"/>
              <w:outlineLvl w:val="0"/>
              <w:rPr>
                <w:rFonts w:ascii="Arial" w:eastAsia="Arial Unicode MS" w:hAnsi="Arial" w:cs="Arial"/>
                <w:b/>
                <w:sz w:val="24"/>
                <w:szCs w:val="24"/>
              </w:rPr>
            </w:pPr>
            <w:r w:rsidRPr="00DA1F22">
              <w:rPr>
                <w:rFonts w:ascii="Arial" w:eastAsia="Arial Unicode MS" w:hAnsi="Arial" w:cs="Arial"/>
                <w:b/>
                <w:sz w:val="24"/>
                <w:szCs w:val="24"/>
              </w:rPr>
              <w:t>VOCAL:</w:t>
            </w:r>
          </w:p>
          <w:p w:rsidR="00FD2571" w:rsidRPr="00DA1F22" w:rsidRDefault="00FD2571" w:rsidP="00DD49B1">
            <w:pPr>
              <w:jc w:val="center"/>
              <w:outlineLvl w:val="0"/>
              <w:rPr>
                <w:rFonts w:ascii="Arial" w:eastAsia="Arial Unicode MS" w:hAnsi="Arial" w:cs="Arial"/>
                <w:sz w:val="24"/>
                <w:szCs w:val="24"/>
              </w:rPr>
            </w:pPr>
            <w:r w:rsidRPr="00DA1F22">
              <w:rPr>
                <w:rFonts w:ascii="Arial" w:eastAsia="Arial Unicode MS" w:hAnsi="Arial" w:cs="Arial"/>
                <w:sz w:val="24"/>
                <w:szCs w:val="24"/>
              </w:rPr>
              <w:t>DIP. HERNÁN SALINAS WOLBERG</w:t>
            </w:r>
          </w:p>
        </w:tc>
        <w:tc>
          <w:tcPr>
            <w:tcW w:w="4524" w:type="dxa"/>
            <w:tcMar>
              <w:top w:w="80" w:type="dxa"/>
              <w:left w:w="0" w:type="dxa"/>
              <w:bottom w:w="80" w:type="dxa"/>
              <w:right w:w="0" w:type="dxa"/>
            </w:tcMar>
          </w:tcPr>
          <w:p w:rsidR="00FD2571" w:rsidRPr="00DA1F22" w:rsidRDefault="00FD2571" w:rsidP="00DD49B1">
            <w:pPr>
              <w:jc w:val="center"/>
              <w:outlineLvl w:val="0"/>
              <w:rPr>
                <w:rFonts w:ascii="Arial" w:eastAsia="Arial Unicode MS" w:hAnsi="Arial" w:cs="Arial"/>
                <w:b/>
                <w:sz w:val="24"/>
                <w:szCs w:val="24"/>
              </w:rPr>
            </w:pPr>
            <w:r w:rsidRPr="00DA1F22">
              <w:rPr>
                <w:rFonts w:ascii="Arial" w:eastAsia="Arial Unicode MS" w:hAnsi="Arial" w:cs="Arial"/>
                <w:b/>
                <w:sz w:val="24"/>
                <w:szCs w:val="24"/>
              </w:rPr>
              <w:t>VOCAL:</w:t>
            </w:r>
          </w:p>
          <w:p w:rsidR="00FD2571" w:rsidRPr="00DA1F22" w:rsidRDefault="00FD2571" w:rsidP="00DD49B1">
            <w:pPr>
              <w:jc w:val="center"/>
              <w:outlineLvl w:val="0"/>
              <w:rPr>
                <w:rFonts w:ascii="Arial" w:eastAsia="Arial Unicode MS" w:hAnsi="Arial" w:cs="Arial"/>
                <w:sz w:val="24"/>
                <w:szCs w:val="24"/>
              </w:rPr>
            </w:pPr>
            <w:r w:rsidRPr="00DA1F22">
              <w:rPr>
                <w:rFonts w:ascii="Arial" w:eastAsia="Arial Unicode MS" w:hAnsi="Arial" w:cs="Arial"/>
                <w:sz w:val="24"/>
                <w:szCs w:val="24"/>
              </w:rPr>
              <w:t>DIP. DANIEL CARRILLO MARTÍNEZ</w:t>
            </w:r>
          </w:p>
        </w:tc>
      </w:tr>
      <w:tr w:rsidR="00FD2571" w:rsidRPr="00DA1F22" w:rsidTr="00DD49B1">
        <w:trPr>
          <w:cantSplit/>
          <w:trHeight w:val="340"/>
          <w:jc w:val="center"/>
        </w:trPr>
        <w:tc>
          <w:tcPr>
            <w:tcW w:w="4427" w:type="dxa"/>
            <w:tcMar>
              <w:top w:w="80" w:type="dxa"/>
              <w:left w:w="0" w:type="dxa"/>
              <w:bottom w:w="80" w:type="dxa"/>
              <w:right w:w="0" w:type="dxa"/>
            </w:tcMar>
          </w:tcPr>
          <w:p w:rsidR="00FD2571" w:rsidRPr="00DA1F22" w:rsidRDefault="00FD2571" w:rsidP="00DD49B1">
            <w:pPr>
              <w:jc w:val="center"/>
              <w:outlineLvl w:val="0"/>
              <w:rPr>
                <w:rFonts w:ascii="Arial" w:eastAsia="Arial Unicode MS" w:hAnsi="Arial" w:cs="Arial"/>
                <w:b/>
                <w:sz w:val="24"/>
                <w:szCs w:val="24"/>
              </w:rPr>
            </w:pPr>
            <w:r w:rsidRPr="00DA1F22">
              <w:rPr>
                <w:rFonts w:ascii="Arial" w:eastAsia="Arial Unicode MS" w:hAnsi="Arial" w:cs="Arial"/>
                <w:b/>
                <w:sz w:val="24"/>
                <w:szCs w:val="24"/>
              </w:rPr>
              <w:t>VOCAL:</w:t>
            </w:r>
          </w:p>
          <w:p w:rsidR="00FD2571" w:rsidRPr="00DA1F22" w:rsidRDefault="00FD2571" w:rsidP="00DD49B1">
            <w:pPr>
              <w:jc w:val="center"/>
              <w:outlineLvl w:val="0"/>
              <w:rPr>
                <w:rFonts w:ascii="Arial" w:eastAsia="Arial Unicode MS" w:hAnsi="Arial" w:cs="Arial"/>
                <w:sz w:val="24"/>
                <w:szCs w:val="24"/>
                <w:lang w:val="it-IT"/>
              </w:rPr>
            </w:pPr>
            <w:r w:rsidRPr="00DA1F22">
              <w:rPr>
                <w:rFonts w:ascii="Arial" w:eastAsia="Arial Unicode MS" w:hAnsi="Arial" w:cs="Arial"/>
                <w:sz w:val="24"/>
                <w:szCs w:val="24"/>
                <w:lang w:val="it-IT"/>
              </w:rPr>
              <w:t>DIP. JOSÉ LUIS SANTOS MARTÍNEZ</w:t>
            </w:r>
          </w:p>
        </w:tc>
        <w:tc>
          <w:tcPr>
            <w:tcW w:w="4524" w:type="dxa"/>
            <w:tcMar>
              <w:top w:w="80" w:type="dxa"/>
              <w:left w:w="0" w:type="dxa"/>
              <w:bottom w:w="80" w:type="dxa"/>
              <w:right w:w="0" w:type="dxa"/>
            </w:tcMar>
          </w:tcPr>
          <w:p w:rsidR="00FD2571" w:rsidRPr="00DA1F22" w:rsidRDefault="00FD2571" w:rsidP="00DD49B1">
            <w:pPr>
              <w:jc w:val="center"/>
              <w:outlineLvl w:val="0"/>
              <w:rPr>
                <w:rFonts w:ascii="Arial" w:eastAsia="Arial Unicode MS" w:hAnsi="Arial" w:cs="Arial"/>
                <w:b/>
                <w:sz w:val="24"/>
                <w:szCs w:val="24"/>
              </w:rPr>
            </w:pPr>
            <w:r w:rsidRPr="00DA1F22">
              <w:rPr>
                <w:rFonts w:ascii="Arial" w:eastAsia="Arial Unicode MS" w:hAnsi="Arial" w:cs="Arial"/>
                <w:b/>
                <w:sz w:val="24"/>
                <w:szCs w:val="24"/>
              </w:rPr>
              <w:t>VOCAL:</w:t>
            </w:r>
          </w:p>
          <w:p w:rsidR="00FD2571" w:rsidRPr="00DA1F22" w:rsidRDefault="00FD2571" w:rsidP="00DD49B1">
            <w:pPr>
              <w:jc w:val="center"/>
              <w:outlineLvl w:val="0"/>
              <w:rPr>
                <w:rFonts w:ascii="Arial" w:eastAsia="Arial Unicode MS" w:hAnsi="Arial" w:cs="Arial"/>
                <w:sz w:val="24"/>
                <w:szCs w:val="24"/>
              </w:rPr>
            </w:pPr>
            <w:r w:rsidRPr="00DA1F22">
              <w:rPr>
                <w:rFonts w:ascii="Arial" w:eastAsia="Arial Unicode MS" w:hAnsi="Arial" w:cs="Arial"/>
                <w:sz w:val="24"/>
                <w:szCs w:val="24"/>
              </w:rPr>
              <w:t>DIP. ANDRES MAURICIO CANTÚ RAMÍREZ</w:t>
            </w:r>
          </w:p>
        </w:tc>
      </w:tr>
      <w:tr w:rsidR="00FD2571" w:rsidRPr="00DA1F22" w:rsidTr="00DD49B1">
        <w:trPr>
          <w:cantSplit/>
          <w:trHeight w:val="340"/>
          <w:jc w:val="center"/>
        </w:trPr>
        <w:tc>
          <w:tcPr>
            <w:tcW w:w="4427" w:type="dxa"/>
            <w:tcMar>
              <w:top w:w="80" w:type="dxa"/>
              <w:left w:w="0" w:type="dxa"/>
              <w:bottom w:w="80" w:type="dxa"/>
              <w:right w:w="0" w:type="dxa"/>
            </w:tcMar>
          </w:tcPr>
          <w:p w:rsidR="00FD2571" w:rsidRPr="00DA1F22" w:rsidRDefault="00FD2571" w:rsidP="00DD49B1">
            <w:pPr>
              <w:jc w:val="center"/>
              <w:outlineLvl w:val="0"/>
              <w:rPr>
                <w:rFonts w:ascii="Arial" w:eastAsia="Arial Unicode MS" w:hAnsi="Arial" w:cs="Arial"/>
                <w:b/>
                <w:sz w:val="24"/>
                <w:szCs w:val="24"/>
              </w:rPr>
            </w:pPr>
            <w:r w:rsidRPr="00DA1F22">
              <w:rPr>
                <w:rFonts w:ascii="Arial" w:eastAsia="Arial Unicode MS" w:hAnsi="Arial" w:cs="Arial"/>
                <w:b/>
                <w:sz w:val="24"/>
                <w:szCs w:val="24"/>
              </w:rPr>
              <w:t>VOCAL:</w:t>
            </w:r>
          </w:p>
          <w:p w:rsidR="00FD2571" w:rsidRPr="00DA1F22" w:rsidRDefault="00FD2571" w:rsidP="00DD49B1">
            <w:pPr>
              <w:jc w:val="center"/>
              <w:outlineLvl w:val="0"/>
              <w:rPr>
                <w:rFonts w:ascii="Arial" w:eastAsia="Arial Unicode MS" w:hAnsi="Arial" w:cs="Arial"/>
                <w:sz w:val="24"/>
                <w:szCs w:val="24"/>
              </w:rPr>
            </w:pPr>
            <w:r w:rsidRPr="00DA1F22">
              <w:rPr>
                <w:rFonts w:ascii="Arial" w:eastAsia="Arial Unicode MS" w:hAnsi="Arial" w:cs="Arial"/>
                <w:sz w:val="24"/>
                <w:szCs w:val="24"/>
              </w:rPr>
              <w:t>DIP. JUAN FRANCISCO ESPINOZA EGUÍA</w:t>
            </w:r>
          </w:p>
        </w:tc>
        <w:tc>
          <w:tcPr>
            <w:tcW w:w="4524" w:type="dxa"/>
            <w:tcMar>
              <w:top w:w="80" w:type="dxa"/>
              <w:left w:w="0" w:type="dxa"/>
              <w:bottom w:w="80" w:type="dxa"/>
              <w:right w:w="0" w:type="dxa"/>
            </w:tcMar>
          </w:tcPr>
          <w:p w:rsidR="00FD2571" w:rsidRPr="00DA1F22" w:rsidRDefault="00FD2571" w:rsidP="00DD49B1">
            <w:pPr>
              <w:jc w:val="center"/>
              <w:outlineLvl w:val="0"/>
              <w:rPr>
                <w:rFonts w:ascii="Arial" w:eastAsia="Arial Unicode MS" w:hAnsi="Arial" w:cs="Arial"/>
                <w:b/>
                <w:sz w:val="24"/>
                <w:szCs w:val="24"/>
                <w:lang w:val="it-IT"/>
              </w:rPr>
            </w:pPr>
            <w:r w:rsidRPr="00DA1F22">
              <w:rPr>
                <w:rFonts w:ascii="Arial" w:eastAsia="Arial Unicode MS" w:hAnsi="Arial" w:cs="Arial"/>
                <w:b/>
                <w:sz w:val="24"/>
                <w:szCs w:val="24"/>
                <w:lang w:val="it-IT"/>
              </w:rPr>
              <w:t>VOCAL:</w:t>
            </w:r>
          </w:p>
          <w:p w:rsidR="00FD2571" w:rsidRPr="00DA1F22" w:rsidRDefault="00FD2571" w:rsidP="00DD49B1">
            <w:pPr>
              <w:jc w:val="center"/>
              <w:outlineLvl w:val="0"/>
              <w:rPr>
                <w:rFonts w:ascii="Arial" w:eastAsia="Arial Unicode MS" w:hAnsi="Arial" w:cs="Arial"/>
                <w:sz w:val="24"/>
                <w:szCs w:val="24"/>
                <w:lang w:val="it-IT"/>
              </w:rPr>
            </w:pPr>
            <w:r w:rsidRPr="00DA1F22">
              <w:rPr>
                <w:rFonts w:ascii="Arial" w:eastAsia="Arial Unicode MS" w:hAnsi="Arial" w:cs="Arial"/>
                <w:sz w:val="24"/>
                <w:szCs w:val="24"/>
                <w:lang w:val="it-IT"/>
              </w:rPr>
              <w:t>DIP. ADRIÁN DE LA GARZA TIJERINA</w:t>
            </w:r>
          </w:p>
        </w:tc>
      </w:tr>
      <w:tr w:rsidR="00FD2571" w:rsidRPr="00DA1F22" w:rsidTr="00DD49B1">
        <w:trPr>
          <w:cantSplit/>
          <w:trHeight w:val="340"/>
          <w:jc w:val="center"/>
        </w:trPr>
        <w:tc>
          <w:tcPr>
            <w:tcW w:w="4427" w:type="dxa"/>
            <w:tcMar>
              <w:top w:w="80" w:type="dxa"/>
              <w:left w:w="0" w:type="dxa"/>
              <w:bottom w:w="80" w:type="dxa"/>
              <w:right w:w="0" w:type="dxa"/>
            </w:tcMar>
          </w:tcPr>
          <w:p w:rsidR="00FD2571" w:rsidRPr="00DA1F22" w:rsidRDefault="00FD2571" w:rsidP="00DD49B1">
            <w:pPr>
              <w:jc w:val="center"/>
              <w:outlineLvl w:val="0"/>
              <w:rPr>
                <w:rFonts w:ascii="Arial" w:eastAsia="Arial Unicode MS" w:hAnsi="Arial" w:cs="Arial"/>
                <w:b/>
                <w:sz w:val="24"/>
                <w:szCs w:val="24"/>
              </w:rPr>
            </w:pPr>
            <w:r w:rsidRPr="00DA1F22">
              <w:rPr>
                <w:rFonts w:ascii="Arial" w:eastAsia="Arial Unicode MS" w:hAnsi="Arial" w:cs="Arial"/>
                <w:b/>
                <w:sz w:val="24"/>
                <w:szCs w:val="24"/>
              </w:rPr>
              <w:t>VOCAL:</w:t>
            </w:r>
          </w:p>
          <w:p w:rsidR="00FD2571" w:rsidRPr="00DA1F22" w:rsidRDefault="00FD2571" w:rsidP="00DD49B1">
            <w:pPr>
              <w:jc w:val="center"/>
              <w:outlineLvl w:val="0"/>
              <w:rPr>
                <w:rFonts w:ascii="Arial" w:eastAsia="Arial Unicode MS" w:hAnsi="Arial" w:cs="Arial"/>
                <w:b/>
                <w:sz w:val="24"/>
                <w:szCs w:val="24"/>
              </w:rPr>
            </w:pPr>
            <w:r w:rsidRPr="00DA1F22">
              <w:rPr>
                <w:rFonts w:ascii="Arial" w:eastAsia="Arial Unicode MS" w:hAnsi="Arial" w:cs="Arial"/>
                <w:sz w:val="24"/>
                <w:szCs w:val="24"/>
              </w:rPr>
              <w:t>DIP. KARINA MARLEN BARRÓN PERALES</w:t>
            </w:r>
          </w:p>
        </w:tc>
        <w:tc>
          <w:tcPr>
            <w:tcW w:w="4524" w:type="dxa"/>
            <w:tcMar>
              <w:top w:w="80" w:type="dxa"/>
              <w:left w:w="0" w:type="dxa"/>
              <w:bottom w:w="80" w:type="dxa"/>
              <w:right w:w="0" w:type="dxa"/>
            </w:tcMar>
          </w:tcPr>
          <w:p w:rsidR="00FD2571" w:rsidRPr="00DA1F22" w:rsidRDefault="00FD2571" w:rsidP="00DD49B1">
            <w:pPr>
              <w:jc w:val="center"/>
              <w:outlineLvl w:val="0"/>
              <w:rPr>
                <w:rFonts w:ascii="Arial" w:eastAsia="Arial Unicode MS" w:hAnsi="Arial" w:cs="Arial"/>
                <w:b/>
                <w:sz w:val="24"/>
                <w:szCs w:val="24"/>
              </w:rPr>
            </w:pPr>
            <w:r w:rsidRPr="00DA1F22">
              <w:rPr>
                <w:rFonts w:ascii="Arial" w:eastAsia="Arial Unicode MS" w:hAnsi="Arial" w:cs="Arial"/>
                <w:b/>
                <w:sz w:val="24"/>
                <w:szCs w:val="24"/>
              </w:rPr>
              <w:t>VOCAL:</w:t>
            </w:r>
          </w:p>
          <w:p w:rsidR="00FD2571" w:rsidRPr="00DA1F22" w:rsidRDefault="00FD2571" w:rsidP="00DD49B1">
            <w:pPr>
              <w:jc w:val="center"/>
              <w:outlineLvl w:val="0"/>
              <w:rPr>
                <w:rFonts w:ascii="Arial" w:eastAsia="Arial Unicode MS" w:hAnsi="Arial" w:cs="Arial"/>
                <w:sz w:val="24"/>
                <w:szCs w:val="24"/>
                <w:lang w:val="en-US"/>
              </w:rPr>
            </w:pPr>
            <w:r w:rsidRPr="00DA1F22">
              <w:rPr>
                <w:rFonts w:ascii="Arial" w:eastAsia="Arial Unicode MS" w:hAnsi="Arial" w:cs="Arial"/>
                <w:sz w:val="24"/>
                <w:szCs w:val="24"/>
              </w:rPr>
              <w:t>DIP. FELIPE DE JESÚS HERNÁNDEZ MARROQUÍN</w:t>
            </w:r>
          </w:p>
        </w:tc>
      </w:tr>
    </w:tbl>
    <w:p w:rsidR="000F389A" w:rsidRPr="00A80737" w:rsidRDefault="000F389A" w:rsidP="00A80737">
      <w:pPr>
        <w:spacing w:before="86" w:after="0" w:line="360" w:lineRule="auto"/>
        <w:ind w:left="567" w:right="-1"/>
        <w:jc w:val="both"/>
        <w:rPr>
          <w:rFonts w:ascii="Arial" w:hAnsi="Arial" w:cs="Arial"/>
          <w:sz w:val="24"/>
          <w:szCs w:val="24"/>
        </w:rPr>
      </w:pPr>
    </w:p>
    <w:sectPr w:rsidR="000F389A" w:rsidRPr="00A80737" w:rsidSect="00E516DF">
      <w:footerReference w:type="default" r:id="rId9"/>
      <w:pgSz w:w="12242" w:h="15842" w:code="1"/>
      <w:pgMar w:top="3799" w:right="851" w:bottom="1418" w:left="3062" w:header="0" w:footer="1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4DD" w:rsidRDefault="002544DD" w:rsidP="00765B7C">
      <w:pPr>
        <w:spacing w:after="0" w:line="240" w:lineRule="auto"/>
      </w:pPr>
      <w:r>
        <w:separator/>
      </w:r>
    </w:p>
  </w:endnote>
  <w:endnote w:type="continuationSeparator" w:id="0">
    <w:p w:rsidR="002544DD" w:rsidRDefault="002544DD" w:rsidP="0076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626441"/>
      <w:docPartObj>
        <w:docPartGallery w:val="Page Numbers (Bottom of Page)"/>
        <w:docPartUnique/>
      </w:docPartObj>
    </w:sdtPr>
    <w:sdtEndPr/>
    <w:sdtContent>
      <w:p w:rsidR="00FB0C19" w:rsidRPr="00FA62C7" w:rsidRDefault="00FB0C19" w:rsidP="00040930">
        <w:pPr>
          <w:pStyle w:val="Piedepgina"/>
          <w:ind w:right="141"/>
          <w:jc w:val="right"/>
          <w:rPr>
            <w:b/>
            <w:sz w:val="20"/>
          </w:rPr>
        </w:pPr>
        <w:r w:rsidRPr="00FA62C7">
          <w:rPr>
            <w:b/>
            <w:sz w:val="20"/>
          </w:rPr>
          <w:fldChar w:fldCharType="begin"/>
        </w:r>
        <w:r w:rsidRPr="00FA62C7">
          <w:rPr>
            <w:b/>
            <w:sz w:val="20"/>
          </w:rPr>
          <w:instrText>PAGE   \* MERGEFORMAT</w:instrText>
        </w:r>
        <w:r w:rsidRPr="00FA62C7">
          <w:rPr>
            <w:b/>
            <w:sz w:val="20"/>
          </w:rPr>
          <w:fldChar w:fldCharType="separate"/>
        </w:r>
        <w:r w:rsidR="00E516DF" w:rsidRPr="00E516DF">
          <w:rPr>
            <w:b/>
            <w:noProof/>
            <w:sz w:val="20"/>
            <w:lang w:val="es-ES"/>
          </w:rPr>
          <w:t>34</w:t>
        </w:r>
        <w:r w:rsidRPr="00FA62C7">
          <w:rPr>
            <w:b/>
            <w:sz w:val="20"/>
          </w:rPr>
          <w:fldChar w:fldCharType="end"/>
        </w:r>
      </w:p>
      <w:p w:rsidR="00FB0C19" w:rsidRPr="00FA62C7" w:rsidRDefault="00FB0C19" w:rsidP="001660A6">
        <w:pPr>
          <w:pStyle w:val="Piedepgina"/>
          <w:jc w:val="center"/>
          <w:rPr>
            <w:b/>
            <w:sz w:val="18"/>
          </w:rPr>
        </w:pPr>
        <w:r w:rsidRPr="00FA62C7">
          <w:rPr>
            <w:b/>
            <w:sz w:val="18"/>
          </w:rPr>
          <w:t>H. Congreso del Estado de Nuevo León LXXIV Legislatura</w:t>
        </w:r>
        <w:r w:rsidRPr="00FA62C7">
          <w:rPr>
            <w:b/>
            <w:sz w:val="18"/>
          </w:rPr>
          <w:br/>
          <w:t>Comisión de Presupuesto</w:t>
        </w:r>
        <w:r w:rsidRPr="00FA62C7">
          <w:rPr>
            <w:b/>
            <w:sz w:val="18"/>
          </w:rPr>
          <w:br/>
          <w:t>Dictamen del Expediente 1</w:t>
        </w:r>
        <w:r>
          <w:rPr>
            <w:b/>
            <w:sz w:val="18"/>
          </w:rPr>
          <w:t>1278</w:t>
        </w:r>
        <w:r w:rsidRPr="00FA62C7">
          <w:rPr>
            <w:b/>
            <w:sz w:val="18"/>
          </w:rPr>
          <w:t xml:space="preserve"> / LXXIV</w:t>
        </w:r>
        <w:r>
          <w:rPr>
            <w:b/>
            <w:sz w:val="18"/>
          </w:rPr>
          <w:t xml:space="preserve">- </w:t>
        </w:r>
        <w:r w:rsidRPr="005D4227">
          <w:rPr>
            <w:b/>
            <w:sz w:val="18"/>
          </w:rPr>
          <w:t xml:space="preserve">Ley de Ingresos del Estado </w:t>
        </w:r>
        <w:r>
          <w:rPr>
            <w:b/>
            <w:sz w:val="18"/>
          </w:rPr>
          <w:t>de Nuevo León para el Ejercicio Fiscal 2018</w:t>
        </w:r>
      </w:p>
      <w:p w:rsidR="00FB0C19" w:rsidRDefault="002544DD" w:rsidP="00790E0F">
        <w:pPr>
          <w:pStyle w:val="Piedepgina"/>
          <w:ind w:right="1345"/>
          <w:jc w:val="right"/>
        </w:pPr>
      </w:p>
    </w:sdtContent>
  </w:sdt>
  <w:p w:rsidR="00FB0C19" w:rsidRDefault="00FB0C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4DD" w:rsidRDefault="002544DD" w:rsidP="00765B7C">
      <w:pPr>
        <w:spacing w:after="0" w:line="240" w:lineRule="auto"/>
      </w:pPr>
      <w:r>
        <w:separator/>
      </w:r>
    </w:p>
  </w:footnote>
  <w:footnote w:type="continuationSeparator" w:id="0">
    <w:p w:rsidR="002544DD" w:rsidRDefault="002544DD" w:rsidP="00765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A03"/>
    <w:multiLevelType w:val="hybridMultilevel"/>
    <w:tmpl w:val="9474CBD0"/>
    <w:lvl w:ilvl="0" w:tplc="0B0C2C16">
      <w:start w:val="1"/>
      <w:numFmt w:val="decimal"/>
      <w:lvlText w:val="%1."/>
      <w:lvlJc w:val="left"/>
      <w:pPr>
        <w:ind w:left="4458" w:hanging="360"/>
      </w:pPr>
      <w:rPr>
        <w:rFonts w:hint="default"/>
        <w:color w:val="000000"/>
        <w:w w:val="112"/>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1" w15:restartNumberingAfterBreak="0">
    <w:nsid w:val="0A5342F6"/>
    <w:multiLevelType w:val="hybridMultilevel"/>
    <w:tmpl w:val="FDC04C2A"/>
    <w:lvl w:ilvl="0" w:tplc="D370211E">
      <w:start w:val="1"/>
      <w:numFmt w:val="decimal"/>
      <w:lvlText w:val="%1."/>
      <w:lvlJc w:val="left"/>
      <w:pPr>
        <w:ind w:left="4458" w:hanging="360"/>
      </w:pPr>
      <w:rPr>
        <w:rFonts w:hint="default"/>
      </w:rPr>
    </w:lvl>
    <w:lvl w:ilvl="1" w:tplc="080A0019">
      <w:start w:val="1"/>
      <w:numFmt w:val="lowerLetter"/>
      <w:lvlText w:val="%2."/>
      <w:lvlJc w:val="left"/>
      <w:pPr>
        <w:ind w:left="5178" w:hanging="360"/>
      </w:pPr>
    </w:lvl>
    <w:lvl w:ilvl="2" w:tplc="080A001B">
      <w:start w:val="1"/>
      <w:numFmt w:val="lowerRoman"/>
      <w:lvlText w:val="%3."/>
      <w:lvlJc w:val="right"/>
      <w:pPr>
        <w:ind w:left="5898" w:hanging="180"/>
      </w:pPr>
    </w:lvl>
    <w:lvl w:ilvl="3" w:tplc="080A000F">
      <w:start w:val="1"/>
      <w:numFmt w:val="decimal"/>
      <w:lvlText w:val="%4."/>
      <w:lvlJc w:val="left"/>
      <w:pPr>
        <w:ind w:left="6618" w:hanging="360"/>
      </w:pPr>
    </w:lvl>
    <w:lvl w:ilvl="4" w:tplc="080A0019">
      <w:start w:val="1"/>
      <w:numFmt w:val="lowerLetter"/>
      <w:lvlText w:val="%5."/>
      <w:lvlJc w:val="left"/>
      <w:pPr>
        <w:ind w:left="7338" w:hanging="360"/>
      </w:pPr>
    </w:lvl>
    <w:lvl w:ilvl="5" w:tplc="080A001B">
      <w:start w:val="1"/>
      <w:numFmt w:val="lowerRoman"/>
      <w:lvlText w:val="%6."/>
      <w:lvlJc w:val="right"/>
      <w:pPr>
        <w:ind w:left="8058" w:hanging="180"/>
      </w:pPr>
    </w:lvl>
    <w:lvl w:ilvl="6" w:tplc="080A000F">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2" w15:restartNumberingAfterBreak="0">
    <w:nsid w:val="1E4F0592"/>
    <w:multiLevelType w:val="hybridMultilevel"/>
    <w:tmpl w:val="7F60F59C"/>
    <w:lvl w:ilvl="0" w:tplc="A23A0008">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3" w15:restartNumberingAfterBreak="0">
    <w:nsid w:val="2733140D"/>
    <w:multiLevelType w:val="hybridMultilevel"/>
    <w:tmpl w:val="F3CA0CF8"/>
    <w:lvl w:ilvl="0" w:tplc="B4D02E84">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4" w15:restartNumberingAfterBreak="0">
    <w:nsid w:val="33335EBE"/>
    <w:multiLevelType w:val="hybridMultilevel"/>
    <w:tmpl w:val="20C8FB78"/>
    <w:lvl w:ilvl="0" w:tplc="4E46333E">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5" w15:restartNumberingAfterBreak="0">
    <w:nsid w:val="4AAB4DFE"/>
    <w:multiLevelType w:val="hybridMultilevel"/>
    <w:tmpl w:val="FFC831D8"/>
    <w:lvl w:ilvl="0" w:tplc="AC222E1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FA3E0C"/>
    <w:multiLevelType w:val="hybridMultilevel"/>
    <w:tmpl w:val="8EA6ED1E"/>
    <w:lvl w:ilvl="0" w:tplc="DEE80914">
      <w:start w:val="1"/>
      <w:numFmt w:val="decimal"/>
      <w:lvlText w:val="%1."/>
      <w:lvlJc w:val="left"/>
      <w:pPr>
        <w:ind w:left="4760" w:hanging="360"/>
      </w:pPr>
      <w:rPr>
        <w:rFonts w:hint="default"/>
      </w:rPr>
    </w:lvl>
    <w:lvl w:ilvl="1" w:tplc="080A0019" w:tentative="1">
      <w:start w:val="1"/>
      <w:numFmt w:val="lowerLetter"/>
      <w:lvlText w:val="%2."/>
      <w:lvlJc w:val="left"/>
      <w:pPr>
        <w:ind w:left="5480" w:hanging="360"/>
      </w:pPr>
    </w:lvl>
    <w:lvl w:ilvl="2" w:tplc="080A001B" w:tentative="1">
      <w:start w:val="1"/>
      <w:numFmt w:val="lowerRoman"/>
      <w:lvlText w:val="%3."/>
      <w:lvlJc w:val="right"/>
      <w:pPr>
        <w:ind w:left="6200" w:hanging="180"/>
      </w:pPr>
    </w:lvl>
    <w:lvl w:ilvl="3" w:tplc="080A000F" w:tentative="1">
      <w:start w:val="1"/>
      <w:numFmt w:val="decimal"/>
      <w:lvlText w:val="%4."/>
      <w:lvlJc w:val="left"/>
      <w:pPr>
        <w:ind w:left="6920" w:hanging="360"/>
      </w:pPr>
    </w:lvl>
    <w:lvl w:ilvl="4" w:tplc="080A0019" w:tentative="1">
      <w:start w:val="1"/>
      <w:numFmt w:val="lowerLetter"/>
      <w:lvlText w:val="%5."/>
      <w:lvlJc w:val="left"/>
      <w:pPr>
        <w:ind w:left="7640" w:hanging="360"/>
      </w:pPr>
    </w:lvl>
    <w:lvl w:ilvl="5" w:tplc="080A001B" w:tentative="1">
      <w:start w:val="1"/>
      <w:numFmt w:val="lowerRoman"/>
      <w:lvlText w:val="%6."/>
      <w:lvlJc w:val="right"/>
      <w:pPr>
        <w:ind w:left="8360" w:hanging="180"/>
      </w:pPr>
    </w:lvl>
    <w:lvl w:ilvl="6" w:tplc="080A000F" w:tentative="1">
      <w:start w:val="1"/>
      <w:numFmt w:val="decimal"/>
      <w:lvlText w:val="%7."/>
      <w:lvlJc w:val="left"/>
      <w:pPr>
        <w:ind w:left="9080" w:hanging="360"/>
      </w:pPr>
    </w:lvl>
    <w:lvl w:ilvl="7" w:tplc="080A0019" w:tentative="1">
      <w:start w:val="1"/>
      <w:numFmt w:val="lowerLetter"/>
      <w:lvlText w:val="%8."/>
      <w:lvlJc w:val="left"/>
      <w:pPr>
        <w:ind w:left="9800" w:hanging="360"/>
      </w:pPr>
    </w:lvl>
    <w:lvl w:ilvl="8" w:tplc="080A001B" w:tentative="1">
      <w:start w:val="1"/>
      <w:numFmt w:val="lowerRoman"/>
      <w:lvlText w:val="%9."/>
      <w:lvlJc w:val="right"/>
      <w:pPr>
        <w:ind w:left="10520" w:hanging="180"/>
      </w:pPr>
    </w:lvl>
  </w:abstractNum>
  <w:abstractNum w:abstractNumId="7" w15:restartNumberingAfterBreak="0">
    <w:nsid w:val="675155DE"/>
    <w:multiLevelType w:val="hybridMultilevel"/>
    <w:tmpl w:val="84DEA57E"/>
    <w:lvl w:ilvl="0" w:tplc="ADD68004">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8" w15:restartNumberingAfterBreak="0">
    <w:nsid w:val="68585674"/>
    <w:multiLevelType w:val="hybridMultilevel"/>
    <w:tmpl w:val="887683CE"/>
    <w:lvl w:ilvl="0" w:tplc="A4AA9B34">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9" w15:restartNumberingAfterBreak="0">
    <w:nsid w:val="6B267154"/>
    <w:multiLevelType w:val="hybridMultilevel"/>
    <w:tmpl w:val="F02EB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19662C"/>
    <w:multiLevelType w:val="hybridMultilevel"/>
    <w:tmpl w:val="04E4F61C"/>
    <w:lvl w:ilvl="0" w:tplc="7A5A53F2">
      <w:start w:val="1"/>
      <w:numFmt w:val="decimal"/>
      <w:lvlText w:val="%1."/>
      <w:lvlJc w:val="left"/>
      <w:pPr>
        <w:ind w:left="4458" w:hanging="360"/>
      </w:pPr>
      <w:rPr>
        <w:rFonts w:hint="default"/>
      </w:rPr>
    </w:lvl>
    <w:lvl w:ilvl="1" w:tplc="080A0019" w:tentative="1">
      <w:start w:val="1"/>
      <w:numFmt w:val="lowerLetter"/>
      <w:lvlText w:val="%2."/>
      <w:lvlJc w:val="left"/>
      <w:pPr>
        <w:ind w:left="5178" w:hanging="360"/>
      </w:pPr>
    </w:lvl>
    <w:lvl w:ilvl="2" w:tplc="080A001B" w:tentative="1">
      <w:start w:val="1"/>
      <w:numFmt w:val="lowerRoman"/>
      <w:lvlText w:val="%3."/>
      <w:lvlJc w:val="right"/>
      <w:pPr>
        <w:ind w:left="5898" w:hanging="180"/>
      </w:pPr>
    </w:lvl>
    <w:lvl w:ilvl="3" w:tplc="080A000F" w:tentative="1">
      <w:start w:val="1"/>
      <w:numFmt w:val="decimal"/>
      <w:lvlText w:val="%4."/>
      <w:lvlJc w:val="left"/>
      <w:pPr>
        <w:ind w:left="6618" w:hanging="360"/>
      </w:pPr>
    </w:lvl>
    <w:lvl w:ilvl="4" w:tplc="080A0019" w:tentative="1">
      <w:start w:val="1"/>
      <w:numFmt w:val="lowerLetter"/>
      <w:lvlText w:val="%5."/>
      <w:lvlJc w:val="left"/>
      <w:pPr>
        <w:ind w:left="7338" w:hanging="360"/>
      </w:pPr>
    </w:lvl>
    <w:lvl w:ilvl="5" w:tplc="080A001B" w:tentative="1">
      <w:start w:val="1"/>
      <w:numFmt w:val="lowerRoman"/>
      <w:lvlText w:val="%6."/>
      <w:lvlJc w:val="right"/>
      <w:pPr>
        <w:ind w:left="8058" w:hanging="180"/>
      </w:pPr>
    </w:lvl>
    <w:lvl w:ilvl="6" w:tplc="080A000F" w:tentative="1">
      <w:start w:val="1"/>
      <w:numFmt w:val="decimal"/>
      <w:lvlText w:val="%7."/>
      <w:lvlJc w:val="left"/>
      <w:pPr>
        <w:ind w:left="8778" w:hanging="360"/>
      </w:pPr>
    </w:lvl>
    <w:lvl w:ilvl="7" w:tplc="080A0019" w:tentative="1">
      <w:start w:val="1"/>
      <w:numFmt w:val="lowerLetter"/>
      <w:lvlText w:val="%8."/>
      <w:lvlJc w:val="left"/>
      <w:pPr>
        <w:ind w:left="9498" w:hanging="360"/>
      </w:pPr>
    </w:lvl>
    <w:lvl w:ilvl="8" w:tplc="080A001B" w:tentative="1">
      <w:start w:val="1"/>
      <w:numFmt w:val="lowerRoman"/>
      <w:lvlText w:val="%9."/>
      <w:lvlJc w:val="right"/>
      <w:pPr>
        <w:ind w:left="10218" w:hanging="180"/>
      </w:pPr>
    </w:lvl>
  </w:abstractNum>
  <w:abstractNum w:abstractNumId="11" w15:restartNumberingAfterBreak="0">
    <w:nsid w:val="72C12933"/>
    <w:multiLevelType w:val="hybridMultilevel"/>
    <w:tmpl w:val="0E5E7CC2"/>
    <w:lvl w:ilvl="0" w:tplc="40F69EF8">
      <w:start w:val="1"/>
      <w:numFmt w:val="upperRoman"/>
      <w:lvlText w:val="%1."/>
      <w:lvlJc w:val="left"/>
      <w:pPr>
        <w:ind w:left="2280" w:hanging="720"/>
      </w:pPr>
      <w:rPr>
        <w:rFonts w:hint="default"/>
        <w:color w:val="000000"/>
        <w:w w:val="112"/>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7D3F2913"/>
    <w:multiLevelType w:val="hybridMultilevel"/>
    <w:tmpl w:val="1566475E"/>
    <w:lvl w:ilvl="0" w:tplc="E550E580">
      <w:start w:val="1"/>
      <w:numFmt w:val="upperRoman"/>
      <w:lvlText w:val="%1."/>
      <w:lvlJc w:val="left"/>
      <w:pPr>
        <w:ind w:left="4098" w:hanging="720"/>
      </w:pPr>
      <w:rPr>
        <w:rFonts w:hint="default"/>
        <w:color w:val="000000"/>
      </w:rPr>
    </w:lvl>
    <w:lvl w:ilvl="1" w:tplc="080A0019" w:tentative="1">
      <w:start w:val="1"/>
      <w:numFmt w:val="lowerLetter"/>
      <w:lvlText w:val="%2."/>
      <w:lvlJc w:val="left"/>
      <w:pPr>
        <w:ind w:left="4458" w:hanging="360"/>
      </w:pPr>
    </w:lvl>
    <w:lvl w:ilvl="2" w:tplc="080A001B" w:tentative="1">
      <w:start w:val="1"/>
      <w:numFmt w:val="lowerRoman"/>
      <w:lvlText w:val="%3."/>
      <w:lvlJc w:val="right"/>
      <w:pPr>
        <w:ind w:left="5178" w:hanging="180"/>
      </w:pPr>
    </w:lvl>
    <w:lvl w:ilvl="3" w:tplc="080A000F" w:tentative="1">
      <w:start w:val="1"/>
      <w:numFmt w:val="decimal"/>
      <w:lvlText w:val="%4."/>
      <w:lvlJc w:val="left"/>
      <w:pPr>
        <w:ind w:left="5898" w:hanging="360"/>
      </w:pPr>
    </w:lvl>
    <w:lvl w:ilvl="4" w:tplc="080A0019" w:tentative="1">
      <w:start w:val="1"/>
      <w:numFmt w:val="lowerLetter"/>
      <w:lvlText w:val="%5."/>
      <w:lvlJc w:val="left"/>
      <w:pPr>
        <w:ind w:left="6618" w:hanging="360"/>
      </w:pPr>
    </w:lvl>
    <w:lvl w:ilvl="5" w:tplc="080A001B" w:tentative="1">
      <w:start w:val="1"/>
      <w:numFmt w:val="lowerRoman"/>
      <w:lvlText w:val="%6."/>
      <w:lvlJc w:val="right"/>
      <w:pPr>
        <w:ind w:left="7338" w:hanging="180"/>
      </w:pPr>
    </w:lvl>
    <w:lvl w:ilvl="6" w:tplc="080A000F" w:tentative="1">
      <w:start w:val="1"/>
      <w:numFmt w:val="decimal"/>
      <w:lvlText w:val="%7."/>
      <w:lvlJc w:val="left"/>
      <w:pPr>
        <w:ind w:left="8058" w:hanging="360"/>
      </w:pPr>
    </w:lvl>
    <w:lvl w:ilvl="7" w:tplc="080A0019" w:tentative="1">
      <w:start w:val="1"/>
      <w:numFmt w:val="lowerLetter"/>
      <w:lvlText w:val="%8."/>
      <w:lvlJc w:val="left"/>
      <w:pPr>
        <w:ind w:left="8778" w:hanging="360"/>
      </w:pPr>
    </w:lvl>
    <w:lvl w:ilvl="8" w:tplc="080A001B" w:tentative="1">
      <w:start w:val="1"/>
      <w:numFmt w:val="lowerRoman"/>
      <w:lvlText w:val="%9."/>
      <w:lvlJc w:val="right"/>
      <w:pPr>
        <w:ind w:left="9498" w:hanging="180"/>
      </w:pPr>
    </w:lvl>
  </w:abstractNum>
  <w:num w:numId="1">
    <w:abstractNumId w:val="12"/>
  </w:num>
  <w:num w:numId="2">
    <w:abstractNumId w:val="6"/>
  </w:num>
  <w:num w:numId="3">
    <w:abstractNumId w:val="0"/>
  </w:num>
  <w:num w:numId="4">
    <w:abstractNumId w:val="1"/>
  </w:num>
  <w:num w:numId="5">
    <w:abstractNumId w:val="7"/>
  </w:num>
  <w:num w:numId="6">
    <w:abstractNumId w:val="2"/>
  </w:num>
  <w:num w:numId="7">
    <w:abstractNumId w:val="11"/>
  </w:num>
  <w:num w:numId="8">
    <w:abstractNumId w:val="3"/>
  </w:num>
  <w:num w:numId="9">
    <w:abstractNumId w:val="8"/>
  </w:num>
  <w:num w:numId="10">
    <w:abstractNumId w:val="10"/>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3"/>
    <w:rsid w:val="000138B6"/>
    <w:rsid w:val="00040930"/>
    <w:rsid w:val="00052082"/>
    <w:rsid w:val="00053EC0"/>
    <w:rsid w:val="00062180"/>
    <w:rsid w:val="00067739"/>
    <w:rsid w:val="00080308"/>
    <w:rsid w:val="00087D19"/>
    <w:rsid w:val="000C26AD"/>
    <w:rsid w:val="000D1B3B"/>
    <w:rsid w:val="000D4168"/>
    <w:rsid w:val="000E2DE6"/>
    <w:rsid w:val="000F389A"/>
    <w:rsid w:val="00136526"/>
    <w:rsid w:val="00142FC2"/>
    <w:rsid w:val="00147A7D"/>
    <w:rsid w:val="0015519A"/>
    <w:rsid w:val="001660A6"/>
    <w:rsid w:val="001C1F91"/>
    <w:rsid w:val="001C72EA"/>
    <w:rsid w:val="001F0833"/>
    <w:rsid w:val="00206EA7"/>
    <w:rsid w:val="0023410E"/>
    <w:rsid w:val="002515DB"/>
    <w:rsid w:val="002544DD"/>
    <w:rsid w:val="00260BBA"/>
    <w:rsid w:val="00260E16"/>
    <w:rsid w:val="00267019"/>
    <w:rsid w:val="00277451"/>
    <w:rsid w:val="00281C58"/>
    <w:rsid w:val="002D16F1"/>
    <w:rsid w:val="002D2C89"/>
    <w:rsid w:val="002D6A1D"/>
    <w:rsid w:val="002F345E"/>
    <w:rsid w:val="003065B1"/>
    <w:rsid w:val="003306DE"/>
    <w:rsid w:val="003312E8"/>
    <w:rsid w:val="00341F21"/>
    <w:rsid w:val="003447C9"/>
    <w:rsid w:val="00345F6D"/>
    <w:rsid w:val="00353377"/>
    <w:rsid w:val="00370275"/>
    <w:rsid w:val="00392A9B"/>
    <w:rsid w:val="003B30A2"/>
    <w:rsid w:val="003B484C"/>
    <w:rsid w:val="003B5CA4"/>
    <w:rsid w:val="003D1448"/>
    <w:rsid w:val="004059A8"/>
    <w:rsid w:val="00430885"/>
    <w:rsid w:val="00432D3A"/>
    <w:rsid w:val="00453778"/>
    <w:rsid w:val="0046598E"/>
    <w:rsid w:val="00471164"/>
    <w:rsid w:val="00475249"/>
    <w:rsid w:val="00490530"/>
    <w:rsid w:val="00494B5A"/>
    <w:rsid w:val="00495418"/>
    <w:rsid w:val="004B41EE"/>
    <w:rsid w:val="00575F31"/>
    <w:rsid w:val="00586332"/>
    <w:rsid w:val="005B3E73"/>
    <w:rsid w:val="005B7F83"/>
    <w:rsid w:val="005D4227"/>
    <w:rsid w:val="00600360"/>
    <w:rsid w:val="00614BA3"/>
    <w:rsid w:val="00641148"/>
    <w:rsid w:val="00672720"/>
    <w:rsid w:val="006A1D3C"/>
    <w:rsid w:val="006C3230"/>
    <w:rsid w:val="006E3022"/>
    <w:rsid w:val="006F0F2F"/>
    <w:rsid w:val="006F48FB"/>
    <w:rsid w:val="00715050"/>
    <w:rsid w:val="00765B7C"/>
    <w:rsid w:val="00790E0F"/>
    <w:rsid w:val="007B4BDF"/>
    <w:rsid w:val="007D3571"/>
    <w:rsid w:val="007E4A70"/>
    <w:rsid w:val="007F3C1F"/>
    <w:rsid w:val="007F4297"/>
    <w:rsid w:val="00810571"/>
    <w:rsid w:val="008202E3"/>
    <w:rsid w:val="0083447A"/>
    <w:rsid w:val="00840B26"/>
    <w:rsid w:val="00844BBE"/>
    <w:rsid w:val="008519A0"/>
    <w:rsid w:val="00874E8A"/>
    <w:rsid w:val="00877BAD"/>
    <w:rsid w:val="0089182C"/>
    <w:rsid w:val="008955BD"/>
    <w:rsid w:val="008A514A"/>
    <w:rsid w:val="008E40A2"/>
    <w:rsid w:val="008F08EC"/>
    <w:rsid w:val="00910FBB"/>
    <w:rsid w:val="00912336"/>
    <w:rsid w:val="00936461"/>
    <w:rsid w:val="00945547"/>
    <w:rsid w:val="00947F87"/>
    <w:rsid w:val="00970FBD"/>
    <w:rsid w:val="009A283B"/>
    <w:rsid w:val="009B2A7F"/>
    <w:rsid w:val="009C0649"/>
    <w:rsid w:val="00A42BF9"/>
    <w:rsid w:val="00A53CC8"/>
    <w:rsid w:val="00A657F5"/>
    <w:rsid w:val="00A80737"/>
    <w:rsid w:val="00AB1E32"/>
    <w:rsid w:val="00B006EE"/>
    <w:rsid w:val="00B06463"/>
    <w:rsid w:val="00B131AA"/>
    <w:rsid w:val="00B36E79"/>
    <w:rsid w:val="00B375B6"/>
    <w:rsid w:val="00B468E3"/>
    <w:rsid w:val="00B5465B"/>
    <w:rsid w:val="00BC1594"/>
    <w:rsid w:val="00BC355A"/>
    <w:rsid w:val="00C46B11"/>
    <w:rsid w:val="00C524D0"/>
    <w:rsid w:val="00C734C9"/>
    <w:rsid w:val="00C967D3"/>
    <w:rsid w:val="00CB5DD6"/>
    <w:rsid w:val="00CD08A7"/>
    <w:rsid w:val="00CD1A87"/>
    <w:rsid w:val="00D22472"/>
    <w:rsid w:val="00D82712"/>
    <w:rsid w:val="00D83CC6"/>
    <w:rsid w:val="00DA1F22"/>
    <w:rsid w:val="00DA384A"/>
    <w:rsid w:val="00DB3653"/>
    <w:rsid w:val="00DC6D17"/>
    <w:rsid w:val="00DD49B1"/>
    <w:rsid w:val="00E15CAA"/>
    <w:rsid w:val="00E516DF"/>
    <w:rsid w:val="00E97DE4"/>
    <w:rsid w:val="00EA1B2C"/>
    <w:rsid w:val="00EB05D3"/>
    <w:rsid w:val="00EC40A3"/>
    <w:rsid w:val="00EF2954"/>
    <w:rsid w:val="00EF652E"/>
    <w:rsid w:val="00EF73DB"/>
    <w:rsid w:val="00F06A68"/>
    <w:rsid w:val="00F225F5"/>
    <w:rsid w:val="00F3085E"/>
    <w:rsid w:val="00F35633"/>
    <w:rsid w:val="00F41E8D"/>
    <w:rsid w:val="00F43225"/>
    <w:rsid w:val="00F44628"/>
    <w:rsid w:val="00F52D36"/>
    <w:rsid w:val="00F5644F"/>
    <w:rsid w:val="00FA62C7"/>
    <w:rsid w:val="00FA7FD6"/>
    <w:rsid w:val="00FB0C19"/>
    <w:rsid w:val="00FC6465"/>
    <w:rsid w:val="00FD25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3A4728-3B99-462A-945D-2C835845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4">
    <w:name w:val="heading 4"/>
    <w:basedOn w:val="Normal"/>
    <w:next w:val="Normal"/>
    <w:link w:val="Ttulo4Car"/>
    <w:qFormat/>
    <w:rsid w:val="003B484C"/>
    <w:pPr>
      <w:keepNext/>
      <w:spacing w:after="0" w:line="240" w:lineRule="auto"/>
      <w:ind w:firstLine="708"/>
      <w:jc w:val="both"/>
      <w:outlineLvl w:val="3"/>
    </w:pPr>
    <w:rPr>
      <w:rFonts w:ascii="Arial" w:eastAsia="Times New Roman" w:hAnsi="Arial" w:cs="Arial"/>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7F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link w:val="PrrafodelistaCar"/>
    <w:uiPriority w:val="34"/>
    <w:qFormat/>
    <w:rsid w:val="002D6A1D"/>
    <w:pPr>
      <w:ind w:left="720"/>
      <w:contextualSpacing/>
    </w:pPr>
  </w:style>
  <w:style w:type="paragraph" w:styleId="Encabezado">
    <w:name w:val="header"/>
    <w:basedOn w:val="Normal"/>
    <w:link w:val="EncabezadoCar"/>
    <w:uiPriority w:val="99"/>
    <w:unhideWhenUsed/>
    <w:rsid w:val="00765B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B7C"/>
    <w:rPr>
      <w:lang w:val="es-MX"/>
    </w:rPr>
  </w:style>
  <w:style w:type="paragraph" w:styleId="Piedepgina">
    <w:name w:val="footer"/>
    <w:basedOn w:val="Normal"/>
    <w:link w:val="PiedepginaCar"/>
    <w:uiPriority w:val="99"/>
    <w:unhideWhenUsed/>
    <w:rsid w:val="00765B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B7C"/>
    <w:rPr>
      <w:lang w:val="es-MX"/>
    </w:rPr>
  </w:style>
  <w:style w:type="paragraph" w:customStyle="1" w:styleId="Body1">
    <w:name w:val="Body 1"/>
    <w:rsid w:val="00B375B6"/>
    <w:pPr>
      <w:spacing w:after="0" w:line="240" w:lineRule="auto"/>
      <w:outlineLvl w:val="0"/>
    </w:pPr>
    <w:rPr>
      <w:rFonts w:ascii="Times New Roman" w:eastAsia="Arial Unicode MS" w:hAnsi="Times New Roman" w:cs="Times New Roman"/>
      <w:color w:val="000000"/>
      <w:sz w:val="24"/>
      <w:szCs w:val="20"/>
      <w:u w:color="000000"/>
      <w:lang w:val="es-MX" w:eastAsia="es-MX"/>
    </w:rPr>
  </w:style>
  <w:style w:type="paragraph" w:customStyle="1" w:styleId="Texto">
    <w:name w:val="Texto"/>
    <w:basedOn w:val="Normal"/>
    <w:link w:val="TextoCar"/>
    <w:qFormat/>
    <w:rsid w:val="00A8073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0737"/>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345F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F6D"/>
    <w:rPr>
      <w:rFonts w:ascii="Segoe UI" w:hAnsi="Segoe UI" w:cs="Segoe UI"/>
      <w:sz w:val="18"/>
      <w:szCs w:val="18"/>
      <w:lang w:val="es-MX"/>
    </w:rPr>
  </w:style>
  <w:style w:type="character" w:customStyle="1" w:styleId="Ttulo4Car">
    <w:name w:val="Título 4 Car"/>
    <w:basedOn w:val="Fuentedeprrafopredeter"/>
    <w:link w:val="Ttulo4"/>
    <w:rsid w:val="003B484C"/>
    <w:rPr>
      <w:rFonts w:ascii="Arial" w:eastAsia="Times New Roman" w:hAnsi="Arial" w:cs="Arial"/>
      <w:b/>
      <w:bCs/>
      <w:szCs w:val="24"/>
      <w:lang w:val="es-MX" w:eastAsia="es-ES"/>
    </w:rPr>
  </w:style>
  <w:style w:type="paragraph" w:styleId="Textoindependiente">
    <w:name w:val="Body Text"/>
    <w:basedOn w:val="Normal"/>
    <w:link w:val="TextoindependienteCar"/>
    <w:rsid w:val="003B484C"/>
    <w:pPr>
      <w:spacing w:after="0" w:line="24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3B484C"/>
    <w:rPr>
      <w:rFonts w:ascii="Arial" w:eastAsia="Times New Roman" w:hAnsi="Arial" w:cs="Arial"/>
      <w:sz w:val="24"/>
      <w:szCs w:val="24"/>
      <w:lang w:val="es-MX" w:eastAsia="es-ES"/>
    </w:rPr>
  </w:style>
  <w:style w:type="paragraph" w:customStyle="1" w:styleId="Default">
    <w:name w:val="Default"/>
    <w:rsid w:val="006C3230"/>
    <w:pPr>
      <w:autoSpaceDE w:val="0"/>
      <w:autoSpaceDN w:val="0"/>
      <w:adjustRightInd w:val="0"/>
      <w:spacing w:before="120" w:after="0" w:line="240" w:lineRule="auto"/>
    </w:pPr>
    <w:rPr>
      <w:rFonts w:ascii="Arial" w:eastAsiaTheme="minorHAnsi" w:hAnsi="Arial" w:cs="Arial"/>
      <w:color w:val="000000"/>
      <w:sz w:val="24"/>
      <w:szCs w:val="24"/>
      <w:lang w:val="es-MX" w:eastAsia="en-US"/>
    </w:rPr>
  </w:style>
  <w:style w:type="paragraph" w:customStyle="1" w:styleId="Text">
    <w:name w:val="Text"/>
    <w:basedOn w:val="Normal"/>
    <w:rsid w:val="00147A7D"/>
    <w:pPr>
      <w:spacing w:after="240" w:line="240" w:lineRule="auto"/>
    </w:pPr>
    <w:rPr>
      <w:rFonts w:ascii="Times New Roman" w:eastAsia="Times New Roman" w:hAnsi="Times New Roman" w:cs="Times New Roman"/>
      <w:sz w:val="24"/>
      <w:szCs w:val="20"/>
      <w:lang w:val="es-ES_tradnl" w:eastAsia="en-US"/>
    </w:rPr>
  </w:style>
  <w:style w:type="character" w:customStyle="1" w:styleId="PrrafodelistaCar">
    <w:name w:val="Párrafo de lista Car"/>
    <w:link w:val="Prrafodelista"/>
    <w:uiPriority w:val="34"/>
    <w:locked/>
    <w:rsid w:val="00147A7D"/>
    <w:rPr>
      <w:lang w:val="es-MX"/>
    </w:rPr>
  </w:style>
  <w:style w:type="paragraph" w:styleId="Textosinformato">
    <w:name w:val="Plain Text"/>
    <w:basedOn w:val="Normal"/>
    <w:link w:val="TextosinformatoCar"/>
    <w:rsid w:val="00DD49B1"/>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DD49B1"/>
    <w:rPr>
      <w:rFonts w:ascii="Courier New" w:eastAsia="Times New Roman" w:hAnsi="Courier New" w:cs="Times New Roman"/>
      <w:sz w:val="20"/>
      <w:szCs w:val="20"/>
      <w:lang w:val="x-none" w:eastAsia="es-ES"/>
    </w:rPr>
  </w:style>
  <w:style w:type="paragraph" w:customStyle="1" w:styleId="ANOTACION">
    <w:name w:val="ANOTACION"/>
    <w:basedOn w:val="Normal"/>
    <w:link w:val="ANOTACIONCar"/>
    <w:rsid w:val="00DD49B1"/>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DD49B1"/>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3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0297E-D6DF-4E25-9B84-FDB17D79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7502</Words>
  <Characters>41267</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operador_pc</cp:lastModifiedBy>
  <cp:revision>3</cp:revision>
  <cp:lastPrinted>2016-12-13T22:58:00Z</cp:lastPrinted>
  <dcterms:created xsi:type="dcterms:W3CDTF">2017-12-12T05:05:00Z</dcterms:created>
  <dcterms:modified xsi:type="dcterms:W3CDTF">2017-12-12T05:07:00Z</dcterms:modified>
</cp:coreProperties>
</file>