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E5CBE" w:rsidRDefault="00DE0B9F" w:rsidP="004C2F21">
      <w:pPr>
        <w:rPr>
          <w:rFonts w:ascii="Arial" w:hAnsi="Arial" w:cs="Arial"/>
          <w:b/>
          <w:bCs/>
        </w:rPr>
      </w:pPr>
      <w:r w:rsidRPr="008E5CBE">
        <w:rPr>
          <w:rFonts w:ascii="Arial" w:hAnsi="Arial" w:cs="Arial"/>
          <w:b/>
          <w:bCs/>
        </w:rPr>
        <w:t>HONORABLE ASAMBLEA:</w:t>
      </w:r>
    </w:p>
    <w:p w:rsidR="00A267EC" w:rsidRPr="008E5CBE" w:rsidRDefault="00A267EC" w:rsidP="008B2380">
      <w:pPr>
        <w:spacing w:line="360" w:lineRule="auto"/>
        <w:ind w:firstLine="709"/>
        <w:jc w:val="both"/>
        <w:rPr>
          <w:rFonts w:ascii="Arial" w:hAnsi="Arial" w:cs="Arial"/>
        </w:rPr>
      </w:pPr>
    </w:p>
    <w:p w:rsidR="00DE0B9F" w:rsidRPr="008E5CBE" w:rsidRDefault="00DE0B9F" w:rsidP="008B2380">
      <w:pPr>
        <w:spacing w:line="360" w:lineRule="auto"/>
        <w:ind w:firstLine="709"/>
        <w:jc w:val="both"/>
        <w:rPr>
          <w:rFonts w:ascii="Arial" w:hAnsi="Arial" w:cs="Arial"/>
          <w:b/>
          <w:bCs/>
        </w:rPr>
      </w:pPr>
      <w:r w:rsidRPr="008E5CBE">
        <w:rPr>
          <w:rFonts w:ascii="Arial" w:hAnsi="Arial" w:cs="Arial"/>
        </w:rPr>
        <w:t xml:space="preserve">A la </w:t>
      </w:r>
      <w:r w:rsidRPr="008E5CBE">
        <w:rPr>
          <w:rFonts w:ascii="Arial" w:hAnsi="Arial" w:cs="Arial"/>
          <w:b/>
          <w:bCs/>
        </w:rPr>
        <w:t>Comisión Segunda de Hacienda y Desarrollo Municipal,</w:t>
      </w:r>
      <w:r w:rsidRPr="008E5CBE">
        <w:rPr>
          <w:rFonts w:ascii="Arial" w:hAnsi="Arial" w:cs="Arial"/>
        </w:rPr>
        <w:t xml:space="preserve"> le fue turnado, para su estudio y dictamen, en fecha</w:t>
      </w:r>
      <w:r w:rsidR="008848BC" w:rsidRPr="008E5CBE">
        <w:rPr>
          <w:rFonts w:ascii="Arial" w:hAnsi="Arial" w:cs="Arial"/>
        </w:rPr>
        <w:t xml:space="preserve"> </w:t>
      </w:r>
      <w:r w:rsidRPr="008E5CBE">
        <w:rPr>
          <w:rFonts w:ascii="Arial" w:hAnsi="Arial" w:cs="Arial"/>
        </w:rPr>
        <w:t xml:space="preserve"> </w:t>
      </w:r>
      <w:r w:rsidR="00775146" w:rsidRPr="008E5CBE">
        <w:rPr>
          <w:rFonts w:ascii="Arial" w:hAnsi="Arial" w:cs="Arial"/>
        </w:rPr>
        <w:t xml:space="preserve">31 de Octubre </w:t>
      </w:r>
      <w:r w:rsidR="008848BC" w:rsidRPr="008E5CBE">
        <w:rPr>
          <w:rFonts w:ascii="Arial" w:hAnsi="Arial" w:cs="Arial"/>
        </w:rPr>
        <w:t xml:space="preserve">del 2011, </w:t>
      </w:r>
      <w:r w:rsidRPr="008E5CBE">
        <w:rPr>
          <w:rFonts w:ascii="Arial" w:hAnsi="Arial" w:cs="Arial"/>
        </w:rPr>
        <w:t xml:space="preserve"> escrito que contiene el Informe de Resultados de la revisión practicada por la Auditoría Superior del Estado de Nuevo León, a la </w:t>
      </w:r>
      <w:r w:rsidRPr="008E5CBE">
        <w:rPr>
          <w:rFonts w:ascii="Arial" w:hAnsi="Arial" w:cs="Arial"/>
          <w:b/>
          <w:bCs/>
        </w:rPr>
        <w:t>Cuenta Pública</w:t>
      </w:r>
      <w:r w:rsidRPr="008E5CBE">
        <w:rPr>
          <w:rFonts w:ascii="Arial" w:hAnsi="Arial" w:cs="Arial"/>
        </w:rPr>
        <w:t xml:space="preserve"> del Municipio de</w:t>
      </w:r>
      <w:r w:rsidR="00175ACC" w:rsidRPr="008E5CBE">
        <w:rPr>
          <w:rFonts w:ascii="Arial" w:hAnsi="Arial" w:cs="Arial"/>
        </w:rPr>
        <w:t xml:space="preserve"> </w:t>
      </w:r>
      <w:r w:rsidR="00175ACC" w:rsidRPr="008E5CBE">
        <w:rPr>
          <w:rFonts w:ascii="Arial" w:hAnsi="Arial" w:cs="Arial"/>
          <w:b/>
          <w:bCs/>
        </w:rPr>
        <w:t>Montemorelos</w:t>
      </w:r>
      <w:r w:rsidRPr="008E5CBE">
        <w:rPr>
          <w:rFonts w:ascii="Arial" w:hAnsi="Arial" w:cs="Arial"/>
          <w:b/>
          <w:bCs/>
        </w:rPr>
        <w:t>,</w:t>
      </w:r>
      <w:r w:rsidRPr="008E5CBE">
        <w:rPr>
          <w:rFonts w:ascii="Arial" w:hAnsi="Arial" w:cs="Arial"/>
        </w:rPr>
        <w:t xml:space="preserve"> Nuevo León, correspondiente a su Ejercicio Fiscal </w:t>
      </w:r>
      <w:r w:rsidRPr="008E5CBE">
        <w:rPr>
          <w:rFonts w:ascii="Arial" w:hAnsi="Arial" w:cs="Arial"/>
          <w:b/>
          <w:bCs/>
        </w:rPr>
        <w:t>20</w:t>
      </w:r>
      <w:r w:rsidR="005D3EF4" w:rsidRPr="008E5CBE">
        <w:rPr>
          <w:rFonts w:ascii="Arial" w:hAnsi="Arial" w:cs="Arial"/>
          <w:b/>
          <w:bCs/>
        </w:rPr>
        <w:t>10</w:t>
      </w:r>
      <w:r w:rsidRPr="008E5CBE">
        <w:rPr>
          <w:rFonts w:ascii="Arial" w:hAnsi="Arial" w:cs="Arial"/>
        </w:rPr>
        <w:t xml:space="preserve">, bajo el expediente </w:t>
      </w:r>
      <w:r w:rsidR="00175ACC" w:rsidRPr="008E5CBE">
        <w:rPr>
          <w:rFonts w:ascii="Arial" w:hAnsi="Arial" w:cs="Arial"/>
          <w:b/>
          <w:bCs/>
        </w:rPr>
        <w:t>7096</w:t>
      </w:r>
      <w:r w:rsidR="00F47640" w:rsidRPr="008E5CBE">
        <w:rPr>
          <w:rFonts w:ascii="Arial" w:hAnsi="Arial" w:cs="Arial"/>
          <w:b/>
          <w:bCs/>
        </w:rPr>
        <w:t>/LXXII.</w:t>
      </w:r>
    </w:p>
    <w:p w:rsidR="003059DB" w:rsidRPr="008E5CBE" w:rsidRDefault="003059DB" w:rsidP="003059DB">
      <w:pPr>
        <w:pStyle w:val="ecxmsonormal"/>
        <w:shd w:val="clear" w:color="auto" w:fill="FFFFFF"/>
        <w:spacing w:line="360" w:lineRule="auto"/>
        <w:ind w:firstLine="709"/>
        <w:jc w:val="both"/>
        <w:rPr>
          <w:rFonts w:ascii="Tahoma" w:hAnsi="Tahoma" w:cs="Tahoma"/>
          <w:color w:val="2A2A2A"/>
          <w:sz w:val="22"/>
          <w:szCs w:val="22"/>
        </w:rPr>
      </w:pPr>
      <w:r w:rsidRPr="008E5CBE">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DE0B9F" w:rsidRPr="008E5CBE" w:rsidRDefault="00DE0B9F" w:rsidP="004C2F21">
      <w:pPr>
        <w:jc w:val="both"/>
        <w:rPr>
          <w:rFonts w:ascii="Arial" w:hAnsi="Arial" w:cs="Arial"/>
          <w:b/>
          <w:bCs/>
        </w:rPr>
      </w:pPr>
      <w:r w:rsidRPr="008E5CBE">
        <w:rPr>
          <w:rFonts w:ascii="Arial" w:hAnsi="Arial" w:cs="Arial"/>
          <w:b/>
          <w:bCs/>
        </w:rPr>
        <w:t>ANTECEDENTES:</w:t>
      </w:r>
    </w:p>
    <w:p w:rsidR="00DE0B9F" w:rsidRPr="008E5CBE" w:rsidRDefault="00DE0B9F" w:rsidP="009B10A9">
      <w:pPr>
        <w:spacing w:line="360" w:lineRule="auto"/>
        <w:ind w:firstLine="709"/>
        <w:jc w:val="both"/>
        <w:rPr>
          <w:rFonts w:ascii="Arial" w:hAnsi="Arial" w:cs="Arial"/>
        </w:rPr>
      </w:pPr>
      <w:r w:rsidRPr="008E5CBE">
        <w:rPr>
          <w:rFonts w:ascii="Arial" w:hAnsi="Arial" w:cs="Arial"/>
          <w:b/>
          <w:bCs/>
        </w:rPr>
        <w:t xml:space="preserve">PRIMERO: </w:t>
      </w:r>
      <w:r w:rsidRPr="008E5CBE">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E5CBE" w:rsidRDefault="00DE0B9F" w:rsidP="009B10A9">
      <w:pPr>
        <w:spacing w:line="360" w:lineRule="auto"/>
        <w:ind w:firstLine="709"/>
        <w:jc w:val="both"/>
        <w:rPr>
          <w:rFonts w:ascii="Arial" w:hAnsi="Arial" w:cs="Arial"/>
        </w:rPr>
      </w:pPr>
      <w:r w:rsidRPr="008E5CBE">
        <w:rPr>
          <w:rFonts w:ascii="Arial" w:hAnsi="Arial" w:cs="Arial"/>
        </w:rPr>
        <w:t>El Municipio de</w:t>
      </w:r>
      <w:r w:rsidR="00175ACC" w:rsidRPr="008E5CBE">
        <w:rPr>
          <w:rFonts w:ascii="Arial" w:hAnsi="Arial" w:cs="Arial"/>
          <w:b/>
          <w:bCs/>
        </w:rPr>
        <w:t xml:space="preserve"> Montemorelos</w:t>
      </w:r>
      <w:r w:rsidRPr="008E5CBE">
        <w:rPr>
          <w:rFonts w:ascii="Arial" w:hAnsi="Arial" w:cs="Arial"/>
        </w:rPr>
        <w:t xml:space="preserve">, Nuevo León, </w:t>
      </w:r>
      <w:r w:rsidR="005D3EF4" w:rsidRPr="008E5CBE">
        <w:rPr>
          <w:rFonts w:ascii="Arial" w:hAnsi="Arial" w:cs="Arial"/>
        </w:rPr>
        <w:t xml:space="preserve">presentó el </w:t>
      </w:r>
      <w:r w:rsidR="00175ACC" w:rsidRPr="008E5CBE">
        <w:rPr>
          <w:rFonts w:ascii="Arial" w:hAnsi="Arial" w:cs="Arial"/>
        </w:rPr>
        <w:t xml:space="preserve">29 </w:t>
      </w:r>
      <w:r w:rsidR="008848BC" w:rsidRPr="008E5CBE">
        <w:rPr>
          <w:rFonts w:ascii="Arial" w:hAnsi="Arial" w:cs="Arial"/>
        </w:rPr>
        <w:t xml:space="preserve">de marzo de 2011 </w:t>
      </w:r>
      <w:r w:rsidRPr="008E5CBE">
        <w:rPr>
          <w:rFonts w:ascii="Arial" w:hAnsi="Arial" w:cs="Arial"/>
        </w:rPr>
        <w:t>su Cuenta Pública correspo</w:t>
      </w:r>
      <w:r w:rsidR="005D3EF4" w:rsidRPr="008E5CBE">
        <w:rPr>
          <w:rFonts w:ascii="Arial" w:hAnsi="Arial" w:cs="Arial"/>
        </w:rPr>
        <w:t>ndiente al Ejercicio Fiscal 2010</w:t>
      </w:r>
      <w:r w:rsidRPr="008E5CBE">
        <w:rPr>
          <w:rFonts w:ascii="Arial" w:hAnsi="Arial" w:cs="Arial"/>
        </w:rPr>
        <w:t xml:space="preserve">.         </w:t>
      </w:r>
    </w:p>
    <w:p w:rsidR="00A267EC" w:rsidRPr="008E5CBE" w:rsidRDefault="00A267EC" w:rsidP="009B10A9">
      <w:pPr>
        <w:spacing w:line="360" w:lineRule="auto"/>
        <w:ind w:firstLine="709"/>
        <w:jc w:val="both"/>
        <w:rPr>
          <w:rFonts w:ascii="Arial" w:hAnsi="Arial" w:cs="Arial"/>
        </w:rPr>
      </w:pPr>
    </w:p>
    <w:p w:rsidR="00A267EC" w:rsidRPr="008E5CBE" w:rsidRDefault="00A267EC" w:rsidP="009B10A9">
      <w:pPr>
        <w:spacing w:line="360" w:lineRule="auto"/>
        <w:ind w:firstLine="709"/>
        <w:jc w:val="both"/>
        <w:rPr>
          <w:rFonts w:ascii="Arial" w:hAnsi="Arial" w:cs="Arial"/>
        </w:rPr>
      </w:pPr>
    </w:p>
    <w:p w:rsidR="00DE0B9F" w:rsidRPr="008E5CBE" w:rsidRDefault="00DE0B9F" w:rsidP="009B10A9">
      <w:pPr>
        <w:spacing w:line="360" w:lineRule="auto"/>
        <w:ind w:firstLine="709"/>
        <w:jc w:val="both"/>
        <w:rPr>
          <w:rFonts w:ascii="Arial" w:hAnsi="Arial" w:cs="Arial"/>
        </w:rPr>
      </w:pPr>
      <w:r w:rsidRPr="008E5CBE">
        <w:rPr>
          <w:rFonts w:ascii="Arial" w:hAnsi="Arial" w:cs="Arial"/>
        </w:rPr>
        <w:lastRenderedPageBreak/>
        <w:t>En la revisión a la Cuenta Pública de referencia, y a efecto de estar en aptitud de que se cumplan con los objetivos definidos en el Artículo 43 de la Ley del Órgano de Fiscalización Superior del Estado de Nuevo León, se verificó el cumplimiento de lo establecido en el Artículo 44 de la referida Ley.</w:t>
      </w:r>
    </w:p>
    <w:p w:rsidR="00DE0B9F" w:rsidRPr="008E5CBE" w:rsidRDefault="00DE0B9F" w:rsidP="009B10A9">
      <w:pPr>
        <w:spacing w:line="360" w:lineRule="auto"/>
        <w:ind w:firstLine="709"/>
        <w:jc w:val="both"/>
        <w:rPr>
          <w:rFonts w:ascii="Arial" w:hAnsi="Arial" w:cs="Arial"/>
        </w:rPr>
      </w:pPr>
      <w:r w:rsidRPr="008E5CBE">
        <w:rPr>
          <w:rFonts w:ascii="Arial" w:hAnsi="Arial" w:cs="Arial"/>
        </w:rPr>
        <w:t>Como resultado de lo anterior y con la finalidad de dar cumplimiento a lo dispuesto en los Artículos 7, Fracción XXVI, 11, Fracción XIII, y 35, Fracción I, de la Ley del Órgano de Fiscalización Sup</w:t>
      </w:r>
      <w:r w:rsidR="000F2EBE" w:rsidRPr="008E5CBE">
        <w:rPr>
          <w:rFonts w:ascii="Arial" w:hAnsi="Arial" w:cs="Arial"/>
        </w:rPr>
        <w:t xml:space="preserve">erior del Estado de Nuevo León, la Auditoría Superior del Estado tuvo </w:t>
      </w:r>
      <w:r w:rsidRPr="008E5CBE">
        <w:rPr>
          <w:rFonts w:ascii="Arial" w:hAnsi="Arial" w:cs="Arial"/>
        </w:rPr>
        <w:t>a bien emitir el Informe de Resultados de la revisión a la Cuenta Pública</w:t>
      </w:r>
      <w:r w:rsidR="0027331D" w:rsidRPr="008E5CBE">
        <w:rPr>
          <w:rFonts w:ascii="Arial" w:hAnsi="Arial" w:cs="Arial"/>
        </w:rPr>
        <w:t xml:space="preserve"> 2010</w:t>
      </w:r>
      <w:r w:rsidRPr="008E5CBE">
        <w:rPr>
          <w:rFonts w:ascii="Arial" w:hAnsi="Arial" w:cs="Arial"/>
        </w:rPr>
        <w:t xml:space="preserve"> del Municipio en mención.</w:t>
      </w:r>
    </w:p>
    <w:p w:rsidR="00DE0B9F" w:rsidRPr="008E5CBE" w:rsidRDefault="00DE0B9F" w:rsidP="009B10A9">
      <w:pPr>
        <w:spacing w:line="360" w:lineRule="auto"/>
        <w:ind w:firstLine="709"/>
        <w:jc w:val="both"/>
        <w:rPr>
          <w:rFonts w:ascii="Arial" w:hAnsi="Arial" w:cs="Arial"/>
        </w:rPr>
      </w:pPr>
      <w:r w:rsidRPr="008E5CBE">
        <w:rPr>
          <w:rFonts w:ascii="Arial" w:hAnsi="Arial" w:cs="Arial"/>
        </w:rPr>
        <w:t>Dicho informe fue presentado en concordancia con lo estipulado en la Ley del Órgano de Fiscalización Superior del Estado, en su artículo 50, pues contiene dictamen de la revisión, la evaluación de la gestión financiera y del gasto público, así como del avance o cumplimiento de los programas aplicables.</w:t>
      </w:r>
    </w:p>
    <w:p w:rsidR="00DE0B9F" w:rsidRPr="008E5CBE" w:rsidRDefault="00DE0B9F" w:rsidP="009B10A9">
      <w:pPr>
        <w:spacing w:line="360" w:lineRule="auto"/>
        <w:ind w:firstLine="709"/>
        <w:jc w:val="both"/>
        <w:rPr>
          <w:rFonts w:ascii="Arial" w:hAnsi="Arial" w:cs="Arial"/>
        </w:rPr>
      </w:pPr>
      <w:r w:rsidRPr="008E5CBE">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E5CBE" w:rsidRDefault="00DE0B9F" w:rsidP="002A7822">
      <w:pPr>
        <w:jc w:val="both"/>
        <w:rPr>
          <w:rFonts w:ascii="Arial" w:hAnsi="Arial" w:cs="Arial"/>
        </w:rPr>
      </w:pPr>
      <w:r w:rsidRPr="008E5CBE">
        <w:rPr>
          <w:rFonts w:ascii="Arial" w:hAnsi="Arial" w:cs="Arial"/>
          <w:b/>
          <w:bCs/>
        </w:rPr>
        <w:t xml:space="preserve">SEGUNDO: </w:t>
      </w:r>
      <w:r w:rsidRPr="008E5CBE">
        <w:rPr>
          <w:rFonts w:ascii="Arial" w:hAnsi="Arial" w:cs="Arial"/>
        </w:rPr>
        <w:t>El Estado de Ingresos y Egresos se presentan de la manera siguiente:</w:t>
      </w:r>
    </w:p>
    <w:p w:rsidR="00DE0B9F" w:rsidRPr="008E5CBE" w:rsidRDefault="00DE0B9F" w:rsidP="003D4168">
      <w:pPr>
        <w:ind w:firstLine="900"/>
        <w:rPr>
          <w:rFonts w:ascii="Arial" w:hAnsi="Arial" w:cs="Arial"/>
        </w:rPr>
      </w:pPr>
      <w:r w:rsidRPr="008E5CBE">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8E5CBE">
        <w:trPr>
          <w:trHeight w:val="284"/>
        </w:trPr>
        <w:tc>
          <w:tcPr>
            <w:tcW w:w="4618" w:type="dxa"/>
          </w:tcPr>
          <w:p w:rsidR="00DE0B9F" w:rsidRPr="008E5CBE" w:rsidRDefault="00DE0B9F" w:rsidP="00C56C49">
            <w:pPr>
              <w:spacing w:after="0" w:line="240" w:lineRule="auto"/>
              <w:jc w:val="center"/>
              <w:rPr>
                <w:rFonts w:ascii="Arial" w:hAnsi="Arial" w:cs="Arial"/>
                <w:u w:val="single"/>
              </w:rPr>
            </w:pPr>
            <w:r w:rsidRPr="008E5CBE">
              <w:rPr>
                <w:rFonts w:ascii="Arial" w:hAnsi="Arial" w:cs="Arial"/>
                <w:u w:val="single"/>
              </w:rPr>
              <w:t>Ingresos</w:t>
            </w:r>
          </w:p>
        </w:tc>
        <w:tc>
          <w:tcPr>
            <w:tcW w:w="3080" w:type="dxa"/>
          </w:tcPr>
          <w:p w:rsidR="00DE0B9F" w:rsidRPr="008E5CBE" w:rsidRDefault="00DE0B9F" w:rsidP="00C56C49">
            <w:pPr>
              <w:spacing w:after="0" w:line="240" w:lineRule="auto"/>
              <w:jc w:val="center"/>
              <w:rPr>
                <w:rFonts w:ascii="Arial" w:hAnsi="Arial" w:cs="Arial"/>
                <w:u w:val="single"/>
              </w:rPr>
            </w:pPr>
            <w:r w:rsidRPr="008E5CBE">
              <w:rPr>
                <w:rFonts w:ascii="Arial" w:hAnsi="Arial" w:cs="Arial"/>
                <w:u w:val="single"/>
              </w:rPr>
              <w:t>Importe</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Impuestos</w:t>
            </w:r>
          </w:p>
        </w:tc>
        <w:tc>
          <w:tcPr>
            <w:tcW w:w="3080" w:type="dxa"/>
          </w:tcPr>
          <w:p w:rsidR="00DE0B9F" w:rsidRPr="008E5CBE" w:rsidRDefault="00DE0B9F" w:rsidP="00C56C49">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22,084,068</w:t>
            </w:r>
            <w:r w:rsidR="00966E8A"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Derechos</w:t>
            </w:r>
          </w:p>
          <w:p w:rsidR="006E5188" w:rsidRPr="008E5CBE" w:rsidRDefault="006E5188" w:rsidP="00C56C49">
            <w:pPr>
              <w:spacing w:after="0" w:line="240" w:lineRule="auto"/>
              <w:jc w:val="both"/>
              <w:rPr>
                <w:rFonts w:ascii="Arial" w:hAnsi="Arial" w:cs="Arial"/>
              </w:rPr>
            </w:pPr>
            <w:r w:rsidRPr="008E5CBE">
              <w:rPr>
                <w:rFonts w:ascii="Arial" w:hAnsi="Arial" w:cs="Arial"/>
              </w:rPr>
              <w:t xml:space="preserve">Contribución por Nuevos Fraccionamientos                                          </w:t>
            </w:r>
          </w:p>
        </w:tc>
        <w:tc>
          <w:tcPr>
            <w:tcW w:w="3080" w:type="dxa"/>
          </w:tcPr>
          <w:p w:rsidR="00DE0B9F" w:rsidRPr="008E5CBE" w:rsidRDefault="00DE0B9F" w:rsidP="00C56C49">
            <w:pPr>
              <w:spacing w:after="0" w:line="240" w:lineRule="auto"/>
              <w:jc w:val="right"/>
              <w:rPr>
                <w:rFonts w:ascii="Arial" w:hAnsi="Arial" w:cs="Arial"/>
                <w:lang w:val="es-MX" w:eastAsia="es-ES"/>
              </w:rPr>
            </w:pPr>
            <w:r w:rsidRPr="008E5CBE">
              <w:rPr>
                <w:rFonts w:ascii="Arial" w:hAnsi="Arial" w:cs="Arial"/>
              </w:rPr>
              <w:t>$</w:t>
            </w:r>
            <w:r w:rsidR="001F6974" w:rsidRPr="008E5CBE">
              <w:rPr>
                <w:rFonts w:ascii="Arial" w:hAnsi="Arial" w:cs="Arial"/>
                <w:lang w:val="es-MX" w:eastAsia="es-ES"/>
              </w:rPr>
              <w:t>6,216,551</w:t>
            </w:r>
            <w:r w:rsidR="00966E8A" w:rsidRPr="008E5CBE">
              <w:rPr>
                <w:rFonts w:ascii="Arial" w:hAnsi="Arial" w:cs="Arial"/>
                <w:lang w:val="es-MX" w:eastAsia="es-ES"/>
              </w:rPr>
              <w:t>.00</w:t>
            </w:r>
          </w:p>
          <w:p w:rsidR="006E5188" w:rsidRPr="008E5CBE" w:rsidRDefault="00966E8A" w:rsidP="006E5188">
            <w:pPr>
              <w:spacing w:after="0" w:line="240" w:lineRule="auto"/>
              <w:jc w:val="center"/>
              <w:rPr>
                <w:rFonts w:ascii="Arial" w:hAnsi="Arial" w:cs="Arial"/>
              </w:rPr>
            </w:pPr>
            <w:r w:rsidRPr="008E5CBE">
              <w:rPr>
                <w:rFonts w:ascii="Arial" w:hAnsi="Arial" w:cs="Arial"/>
                <w:lang w:val="es-MX" w:eastAsia="es-ES"/>
              </w:rPr>
              <w:t xml:space="preserve">                        </w:t>
            </w:r>
            <w:r w:rsidR="001F6974" w:rsidRPr="008E5CBE">
              <w:rPr>
                <w:rFonts w:ascii="Arial" w:hAnsi="Arial" w:cs="Arial"/>
                <w:lang w:val="es-MX" w:eastAsia="es-ES"/>
              </w:rPr>
              <w:t xml:space="preserve"> $265,785</w:t>
            </w:r>
            <w:r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Productos</w:t>
            </w:r>
          </w:p>
        </w:tc>
        <w:tc>
          <w:tcPr>
            <w:tcW w:w="3080" w:type="dxa"/>
          </w:tcPr>
          <w:p w:rsidR="00DE0B9F" w:rsidRPr="008E5CBE" w:rsidRDefault="00DE0B9F" w:rsidP="00C56C49">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3,374,121</w:t>
            </w:r>
            <w:r w:rsidR="00966E8A"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Aprovechamientos</w:t>
            </w:r>
          </w:p>
        </w:tc>
        <w:tc>
          <w:tcPr>
            <w:tcW w:w="3080" w:type="dxa"/>
          </w:tcPr>
          <w:p w:rsidR="00DE0B9F" w:rsidRPr="008E5CBE" w:rsidRDefault="00DE0B9F" w:rsidP="00C56C49">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3,312,366</w:t>
            </w:r>
            <w:r w:rsidR="00966E8A"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Participaciones</w:t>
            </w:r>
          </w:p>
        </w:tc>
        <w:tc>
          <w:tcPr>
            <w:tcW w:w="3080" w:type="dxa"/>
          </w:tcPr>
          <w:p w:rsidR="00DE0B9F" w:rsidRPr="008E5CBE" w:rsidRDefault="00DE0B9F" w:rsidP="00C56C49">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82,884,479</w:t>
            </w:r>
            <w:r w:rsidR="00966E8A"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t>Fondo de Infraestructura</w:t>
            </w:r>
            <w:r w:rsidR="002161DE" w:rsidRPr="008E5CBE">
              <w:rPr>
                <w:rFonts w:ascii="Arial" w:hAnsi="Arial" w:cs="Arial"/>
              </w:rPr>
              <w:t xml:space="preserve"> Social Municipal</w:t>
            </w:r>
          </w:p>
        </w:tc>
        <w:tc>
          <w:tcPr>
            <w:tcW w:w="3080" w:type="dxa"/>
          </w:tcPr>
          <w:p w:rsidR="00DE0B9F" w:rsidRPr="008E5CBE" w:rsidRDefault="00DE0B9F" w:rsidP="004B5D5F">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16,819,968</w:t>
            </w:r>
            <w:r w:rsidR="00966E8A" w:rsidRPr="008E5CBE">
              <w:rPr>
                <w:rFonts w:ascii="Arial" w:hAnsi="Arial" w:cs="Arial"/>
                <w:lang w:val="es-MX" w:eastAsia="es-ES"/>
              </w:rPr>
              <w:t>.00</w:t>
            </w:r>
          </w:p>
        </w:tc>
      </w:tr>
      <w:tr w:rsidR="00DE0B9F" w:rsidRPr="008E5CBE">
        <w:trPr>
          <w:trHeight w:val="284"/>
        </w:trPr>
        <w:tc>
          <w:tcPr>
            <w:tcW w:w="4618" w:type="dxa"/>
          </w:tcPr>
          <w:p w:rsidR="00DE0B9F" w:rsidRPr="008E5CBE" w:rsidRDefault="00DE0B9F" w:rsidP="00C56C49">
            <w:pPr>
              <w:spacing w:after="0" w:line="240" w:lineRule="auto"/>
              <w:jc w:val="both"/>
              <w:rPr>
                <w:rFonts w:ascii="Arial" w:hAnsi="Arial" w:cs="Arial"/>
              </w:rPr>
            </w:pPr>
            <w:r w:rsidRPr="008E5CBE">
              <w:rPr>
                <w:rFonts w:ascii="Arial" w:hAnsi="Arial" w:cs="Arial"/>
              </w:rPr>
              <w:lastRenderedPageBreak/>
              <w:t>Fondo de Fortalecimiento</w:t>
            </w:r>
            <w:r w:rsidR="002161DE" w:rsidRPr="008E5CBE">
              <w:rPr>
                <w:rFonts w:ascii="Arial" w:hAnsi="Arial" w:cs="Arial"/>
              </w:rPr>
              <w:t xml:space="preserve"> Municipal</w:t>
            </w:r>
          </w:p>
        </w:tc>
        <w:tc>
          <w:tcPr>
            <w:tcW w:w="3080" w:type="dxa"/>
          </w:tcPr>
          <w:p w:rsidR="00DE0B9F" w:rsidRPr="008E5CBE" w:rsidRDefault="00DE0B9F" w:rsidP="00C56C49">
            <w:pPr>
              <w:spacing w:after="0" w:line="240" w:lineRule="auto"/>
              <w:jc w:val="right"/>
              <w:rPr>
                <w:rFonts w:ascii="Arial" w:hAnsi="Arial" w:cs="Arial"/>
              </w:rPr>
            </w:pPr>
            <w:r w:rsidRPr="008E5CBE">
              <w:rPr>
                <w:rFonts w:ascii="Arial" w:hAnsi="Arial" w:cs="Arial"/>
              </w:rPr>
              <w:t>$</w:t>
            </w:r>
            <w:r w:rsidR="001F6974" w:rsidRPr="008E5CBE">
              <w:rPr>
                <w:rFonts w:ascii="Arial" w:hAnsi="Arial" w:cs="Arial"/>
                <w:lang w:val="es-MX" w:eastAsia="es-ES"/>
              </w:rPr>
              <w:t>22,492,819</w:t>
            </w:r>
            <w:r w:rsidR="00966E8A" w:rsidRPr="008E5CBE">
              <w:rPr>
                <w:rFonts w:ascii="Arial" w:hAnsi="Arial" w:cs="Arial"/>
                <w:lang w:val="es-MX" w:eastAsia="es-ES"/>
              </w:rPr>
              <w:t>.00</w:t>
            </w:r>
          </w:p>
        </w:tc>
      </w:tr>
      <w:tr w:rsidR="00DE0B9F" w:rsidRPr="008E5CBE">
        <w:trPr>
          <w:trHeight w:val="284"/>
        </w:trPr>
        <w:tc>
          <w:tcPr>
            <w:tcW w:w="4618" w:type="dxa"/>
          </w:tcPr>
          <w:p w:rsidR="002161DE" w:rsidRPr="008E5CBE" w:rsidRDefault="00DE0B9F" w:rsidP="00C56C49">
            <w:pPr>
              <w:spacing w:after="0" w:line="240" w:lineRule="auto"/>
              <w:jc w:val="both"/>
              <w:rPr>
                <w:rFonts w:ascii="Arial" w:hAnsi="Arial" w:cs="Arial"/>
              </w:rPr>
            </w:pPr>
            <w:r w:rsidRPr="008E5CBE">
              <w:rPr>
                <w:rFonts w:ascii="Arial" w:hAnsi="Arial" w:cs="Arial"/>
              </w:rPr>
              <w:t>Fondos descentralizados</w:t>
            </w:r>
          </w:p>
          <w:p w:rsidR="001F6974" w:rsidRPr="008E5CBE" w:rsidRDefault="001F6974" w:rsidP="00C56C49">
            <w:pPr>
              <w:spacing w:after="0" w:line="240" w:lineRule="auto"/>
              <w:jc w:val="both"/>
              <w:rPr>
                <w:rFonts w:ascii="Arial" w:hAnsi="Arial" w:cs="Arial"/>
              </w:rPr>
            </w:pPr>
            <w:r w:rsidRPr="008E5CBE">
              <w:rPr>
                <w:rFonts w:ascii="Arial" w:hAnsi="Arial" w:cs="Arial"/>
              </w:rPr>
              <w:t>Otras aportaciones</w:t>
            </w:r>
          </w:p>
          <w:p w:rsidR="001F6974" w:rsidRPr="008E5CBE" w:rsidRDefault="001F6974" w:rsidP="00C56C49">
            <w:pPr>
              <w:spacing w:after="0" w:line="240" w:lineRule="auto"/>
              <w:jc w:val="both"/>
              <w:rPr>
                <w:rFonts w:ascii="Arial" w:hAnsi="Arial" w:cs="Arial"/>
              </w:rPr>
            </w:pPr>
            <w:r w:rsidRPr="008E5CBE">
              <w:rPr>
                <w:rFonts w:ascii="Arial" w:hAnsi="Arial" w:cs="Arial"/>
              </w:rPr>
              <w:t>Contribución de Vecinos</w:t>
            </w:r>
          </w:p>
          <w:p w:rsidR="009C1AAF" w:rsidRPr="008E5CBE" w:rsidRDefault="009C1AAF" w:rsidP="00C56C49">
            <w:pPr>
              <w:spacing w:after="0" w:line="240" w:lineRule="auto"/>
              <w:jc w:val="both"/>
              <w:rPr>
                <w:rFonts w:ascii="Arial" w:hAnsi="Arial" w:cs="Arial"/>
              </w:rPr>
            </w:pPr>
            <w:r w:rsidRPr="008E5CBE">
              <w:rPr>
                <w:rFonts w:ascii="Arial" w:hAnsi="Arial" w:cs="Arial"/>
              </w:rPr>
              <w:t>Financiamiento</w:t>
            </w:r>
          </w:p>
        </w:tc>
        <w:tc>
          <w:tcPr>
            <w:tcW w:w="3080" w:type="dxa"/>
          </w:tcPr>
          <w:p w:rsidR="00DE0B9F" w:rsidRPr="008E5CBE" w:rsidRDefault="00DE0B9F" w:rsidP="00C56C49">
            <w:pPr>
              <w:spacing w:after="0" w:line="240" w:lineRule="auto"/>
              <w:jc w:val="right"/>
              <w:rPr>
                <w:rFonts w:ascii="Arial" w:hAnsi="Arial" w:cs="Arial"/>
                <w:lang w:val="es-MX" w:eastAsia="es-ES"/>
              </w:rPr>
            </w:pPr>
            <w:r w:rsidRPr="008E5CBE">
              <w:rPr>
                <w:rFonts w:ascii="Arial" w:hAnsi="Arial" w:cs="Arial"/>
              </w:rPr>
              <w:t>$</w:t>
            </w:r>
            <w:r w:rsidR="001F6974" w:rsidRPr="008E5CBE">
              <w:rPr>
                <w:rFonts w:ascii="Arial" w:hAnsi="Arial" w:cs="Arial"/>
                <w:lang w:val="es-MX" w:eastAsia="es-ES"/>
              </w:rPr>
              <w:t>1,859,764</w:t>
            </w:r>
            <w:r w:rsidR="00966E8A" w:rsidRPr="008E5CBE">
              <w:rPr>
                <w:rFonts w:ascii="Arial" w:hAnsi="Arial" w:cs="Arial"/>
                <w:lang w:val="es-MX" w:eastAsia="es-ES"/>
              </w:rPr>
              <w:t>.00</w:t>
            </w:r>
          </w:p>
          <w:p w:rsidR="001F6974" w:rsidRPr="008E5CBE" w:rsidRDefault="001F6974" w:rsidP="00C56C49">
            <w:pPr>
              <w:spacing w:after="0" w:line="240" w:lineRule="auto"/>
              <w:jc w:val="right"/>
              <w:rPr>
                <w:rFonts w:ascii="Arial" w:hAnsi="Arial" w:cs="Arial"/>
                <w:lang w:val="es-MX" w:eastAsia="es-ES"/>
              </w:rPr>
            </w:pPr>
            <w:r w:rsidRPr="008E5CBE">
              <w:rPr>
                <w:rFonts w:ascii="Arial" w:hAnsi="Arial" w:cs="Arial"/>
                <w:lang w:val="es-MX" w:eastAsia="es-ES"/>
              </w:rPr>
              <w:t>$80,836,212.00</w:t>
            </w:r>
          </w:p>
          <w:p w:rsidR="001F6974" w:rsidRPr="008E5CBE" w:rsidRDefault="009C1AAF" w:rsidP="00C56C49">
            <w:pPr>
              <w:spacing w:after="0" w:line="240" w:lineRule="auto"/>
              <w:jc w:val="right"/>
              <w:rPr>
                <w:rFonts w:ascii="Arial" w:hAnsi="Arial" w:cs="Arial"/>
                <w:lang w:val="es-MX" w:eastAsia="es-ES"/>
              </w:rPr>
            </w:pPr>
            <w:r w:rsidRPr="008E5CBE">
              <w:rPr>
                <w:rFonts w:ascii="Arial" w:hAnsi="Arial" w:cs="Arial"/>
                <w:lang w:val="es-MX" w:eastAsia="es-ES"/>
              </w:rPr>
              <w:t>$22,000.00</w:t>
            </w:r>
          </w:p>
          <w:p w:rsidR="009C1AAF" w:rsidRPr="008E5CBE" w:rsidRDefault="009C1AAF" w:rsidP="00C56C49">
            <w:pPr>
              <w:spacing w:after="0" w:line="240" w:lineRule="auto"/>
              <w:jc w:val="right"/>
              <w:rPr>
                <w:rFonts w:ascii="Arial" w:hAnsi="Arial" w:cs="Arial"/>
                <w:lang w:val="es-MX" w:eastAsia="es-ES"/>
              </w:rPr>
            </w:pPr>
            <w:r w:rsidRPr="008E5CBE">
              <w:rPr>
                <w:rFonts w:ascii="Arial" w:hAnsi="Arial" w:cs="Arial"/>
                <w:lang w:val="es-MX" w:eastAsia="es-ES"/>
              </w:rPr>
              <w:t>$13,869,000.00</w:t>
            </w:r>
          </w:p>
          <w:p w:rsidR="009C1AAF" w:rsidRPr="008E5CBE" w:rsidRDefault="009C1AAF" w:rsidP="00C56C49">
            <w:pPr>
              <w:spacing w:after="0" w:line="240" w:lineRule="auto"/>
              <w:jc w:val="right"/>
              <w:rPr>
                <w:rFonts w:ascii="Arial" w:hAnsi="Arial" w:cs="Arial"/>
                <w:lang w:val="es-MX" w:eastAsia="es-ES"/>
              </w:rPr>
            </w:pPr>
          </w:p>
          <w:p w:rsidR="00966E8A" w:rsidRPr="008E5CBE" w:rsidRDefault="00966E8A" w:rsidP="001F6974">
            <w:pPr>
              <w:spacing w:after="0" w:line="240" w:lineRule="auto"/>
              <w:rPr>
                <w:rFonts w:ascii="Arial" w:hAnsi="Arial" w:cs="Arial"/>
              </w:rPr>
            </w:pPr>
          </w:p>
        </w:tc>
      </w:tr>
      <w:tr w:rsidR="00DE0B9F" w:rsidRPr="008E5CBE">
        <w:trPr>
          <w:trHeight w:val="284"/>
        </w:trPr>
        <w:tc>
          <w:tcPr>
            <w:tcW w:w="4618" w:type="dxa"/>
          </w:tcPr>
          <w:p w:rsidR="002161DE" w:rsidRPr="008E5CBE" w:rsidRDefault="00DE0B9F" w:rsidP="00C56C49">
            <w:pPr>
              <w:spacing w:after="0" w:line="240" w:lineRule="auto"/>
              <w:jc w:val="right"/>
              <w:rPr>
                <w:rFonts w:ascii="Arial" w:hAnsi="Arial" w:cs="Arial"/>
                <w:b/>
                <w:bCs/>
              </w:rPr>
            </w:pPr>
            <w:r w:rsidRPr="008E5CBE">
              <w:rPr>
                <w:rFonts w:ascii="Arial" w:hAnsi="Arial" w:cs="Arial"/>
                <w:b/>
                <w:bCs/>
              </w:rPr>
              <w:t xml:space="preserve">                                                               </w:t>
            </w:r>
          </w:p>
          <w:p w:rsidR="00DE0B9F" w:rsidRPr="008E5CBE" w:rsidRDefault="002161DE" w:rsidP="002161DE">
            <w:pPr>
              <w:spacing w:after="0" w:line="240" w:lineRule="auto"/>
              <w:jc w:val="right"/>
              <w:rPr>
                <w:rFonts w:ascii="Arial" w:hAnsi="Arial" w:cs="Arial"/>
                <w:b/>
                <w:bCs/>
              </w:rPr>
            </w:pPr>
            <w:r w:rsidRPr="008E5CBE">
              <w:rPr>
                <w:rFonts w:ascii="Arial" w:hAnsi="Arial" w:cs="Arial"/>
                <w:b/>
                <w:bCs/>
              </w:rPr>
              <w:t xml:space="preserve">       </w:t>
            </w:r>
          </w:p>
        </w:tc>
        <w:tc>
          <w:tcPr>
            <w:tcW w:w="3080" w:type="dxa"/>
          </w:tcPr>
          <w:p w:rsidR="00DE0B9F" w:rsidRPr="008E5CBE" w:rsidRDefault="00966E8A" w:rsidP="009C1AAF">
            <w:pPr>
              <w:spacing w:after="0" w:line="240" w:lineRule="auto"/>
              <w:rPr>
                <w:rFonts w:ascii="Arial" w:hAnsi="Arial" w:cs="Arial"/>
                <w:b/>
                <w:bCs/>
              </w:rPr>
            </w:pPr>
            <w:r w:rsidRPr="008E5CBE">
              <w:rPr>
                <w:rFonts w:ascii="Arial" w:hAnsi="Arial" w:cs="Arial"/>
                <w:b/>
                <w:bCs/>
              </w:rPr>
              <w:t xml:space="preserve"> Total      </w:t>
            </w:r>
            <w:r w:rsidR="00DE0B9F" w:rsidRPr="008E5CBE">
              <w:rPr>
                <w:rFonts w:ascii="Arial" w:hAnsi="Arial" w:cs="Arial"/>
                <w:b/>
                <w:bCs/>
              </w:rPr>
              <w:t>$</w:t>
            </w:r>
            <w:r w:rsidR="009C1AAF" w:rsidRPr="008E5CBE">
              <w:rPr>
                <w:rFonts w:ascii="Arial" w:hAnsi="Arial" w:cs="Arial"/>
                <w:b/>
                <w:lang w:val="es-MX" w:eastAsia="es-ES"/>
              </w:rPr>
              <w:t>254,037,133</w:t>
            </w:r>
            <w:r w:rsidRPr="008E5CBE">
              <w:rPr>
                <w:rFonts w:ascii="Arial" w:hAnsi="Arial" w:cs="Arial"/>
                <w:b/>
                <w:lang w:val="es-MX" w:eastAsia="es-ES"/>
              </w:rPr>
              <w:t>.00</w:t>
            </w:r>
          </w:p>
        </w:tc>
      </w:tr>
    </w:tbl>
    <w:p w:rsidR="00DE0B9F" w:rsidRPr="008E5CBE" w:rsidRDefault="00DE0B9F" w:rsidP="003D4168">
      <w:pPr>
        <w:jc w:val="both"/>
        <w:rPr>
          <w:rFonts w:ascii="Arial" w:hAnsi="Arial" w:cs="Arial"/>
        </w:rPr>
      </w:pPr>
      <w:r w:rsidRPr="008E5CBE">
        <w:rPr>
          <w:rFonts w:ascii="Arial" w:hAnsi="Arial" w:cs="Arial"/>
        </w:rPr>
        <w:br w:type="textWrapping" w:clear="all"/>
      </w:r>
    </w:p>
    <w:p w:rsidR="00DE0B9F" w:rsidRPr="008E5CBE" w:rsidRDefault="00DE0B9F" w:rsidP="009B10A9">
      <w:pPr>
        <w:ind w:firstLine="900"/>
        <w:rPr>
          <w:rFonts w:ascii="Arial" w:hAnsi="Arial" w:cs="Arial"/>
        </w:rPr>
      </w:pPr>
      <w:r w:rsidRPr="008E5CBE">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8E5CBE">
        <w:trPr>
          <w:trHeight w:val="284"/>
          <w:jc w:val="center"/>
        </w:trPr>
        <w:tc>
          <w:tcPr>
            <w:tcW w:w="4649" w:type="dxa"/>
          </w:tcPr>
          <w:p w:rsidR="00DE0B9F" w:rsidRPr="008E5CBE" w:rsidRDefault="00DE0B9F" w:rsidP="00A27746">
            <w:pPr>
              <w:spacing w:after="0"/>
              <w:jc w:val="center"/>
              <w:rPr>
                <w:rFonts w:ascii="Arial" w:hAnsi="Arial" w:cs="Arial"/>
                <w:u w:val="single"/>
              </w:rPr>
            </w:pPr>
            <w:r w:rsidRPr="008E5CBE">
              <w:rPr>
                <w:rFonts w:ascii="Arial" w:hAnsi="Arial" w:cs="Arial"/>
                <w:u w:val="single"/>
              </w:rPr>
              <w:t>Egresos</w:t>
            </w:r>
          </w:p>
        </w:tc>
        <w:tc>
          <w:tcPr>
            <w:tcW w:w="2586" w:type="dxa"/>
          </w:tcPr>
          <w:p w:rsidR="00DE0B9F" w:rsidRPr="008E5CBE" w:rsidRDefault="00966E8A" w:rsidP="00A27746">
            <w:pPr>
              <w:spacing w:after="0"/>
              <w:jc w:val="center"/>
              <w:rPr>
                <w:rFonts w:ascii="Arial" w:hAnsi="Arial" w:cs="Arial"/>
                <w:u w:val="single"/>
              </w:rPr>
            </w:pPr>
            <w:r w:rsidRPr="008E5CBE">
              <w:rPr>
                <w:rFonts w:ascii="Arial" w:hAnsi="Arial" w:cs="Arial"/>
                <w:u w:val="single"/>
              </w:rPr>
              <w:t>I</w:t>
            </w:r>
            <w:r w:rsidR="00DE0B9F" w:rsidRPr="008E5CBE">
              <w:rPr>
                <w:rFonts w:ascii="Arial" w:hAnsi="Arial" w:cs="Arial"/>
                <w:u w:val="single"/>
              </w:rPr>
              <w:t>mporte</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r w:rsidRPr="008E5CBE">
              <w:rPr>
                <w:rFonts w:ascii="Arial" w:hAnsi="Arial" w:cs="Arial"/>
              </w:rPr>
              <w:t>Administración Pública</w:t>
            </w:r>
          </w:p>
        </w:tc>
        <w:tc>
          <w:tcPr>
            <w:tcW w:w="2586" w:type="dxa"/>
          </w:tcPr>
          <w:p w:rsidR="00DE0B9F" w:rsidRPr="008E5CBE" w:rsidRDefault="00DE0B9F" w:rsidP="002161DE">
            <w:pPr>
              <w:jc w:val="right"/>
              <w:rPr>
                <w:rFonts w:ascii="Arial" w:hAnsi="Arial" w:cs="Arial"/>
              </w:rPr>
            </w:pPr>
            <w:r w:rsidRPr="008E5CBE">
              <w:rPr>
                <w:rFonts w:ascii="Arial" w:hAnsi="Arial" w:cs="Arial"/>
              </w:rPr>
              <w:t>$</w:t>
            </w:r>
            <w:r w:rsidR="009C1AAF" w:rsidRPr="008E5CBE">
              <w:rPr>
                <w:rFonts w:ascii="Arial" w:hAnsi="Arial" w:cs="Arial"/>
                <w:lang w:val="es-MX" w:eastAsia="es-ES"/>
              </w:rPr>
              <w:t>69,112,027</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jc w:val="both"/>
              <w:rPr>
                <w:rFonts w:ascii="Arial" w:hAnsi="Arial" w:cs="Arial"/>
              </w:rPr>
            </w:pPr>
            <w:r w:rsidRPr="008E5CBE">
              <w:rPr>
                <w:rFonts w:ascii="Arial" w:hAnsi="Arial" w:cs="Arial"/>
              </w:rPr>
              <w:t>Servicios Comunitarios</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9C1AAF" w:rsidRPr="008E5CBE">
              <w:rPr>
                <w:rFonts w:ascii="Arial" w:hAnsi="Arial" w:cs="Arial"/>
                <w:lang w:val="es-MX" w:eastAsia="es-ES"/>
              </w:rPr>
              <w:t>20,990,665</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jc w:val="both"/>
              <w:rPr>
                <w:rFonts w:ascii="Arial" w:hAnsi="Arial" w:cs="Arial"/>
              </w:rPr>
            </w:pPr>
            <w:r w:rsidRPr="008E5CBE">
              <w:rPr>
                <w:rFonts w:ascii="Arial" w:hAnsi="Arial" w:cs="Arial"/>
              </w:rPr>
              <w:t>Desarrollo social</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9C1AAF" w:rsidRPr="008E5CBE">
              <w:rPr>
                <w:rFonts w:ascii="Arial" w:hAnsi="Arial" w:cs="Arial"/>
                <w:lang w:val="es-MX" w:eastAsia="es-ES"/>
              </w:rPr>
              <w:t>12,885,467</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9C1AAF" w:rsidP="009C1AAF">
            <w:pPr>
              <w:jc w:val="both"/>
              <w:rPr>
                <w:rFonts w:ascii="Arial" w:hAnsi="Arial" w:cs="Arial"/>
              </w:rPr>
            </w:pPr>
            <w:r w:rsidRPr="008E5CBE">
              <w:rPr>
                <w:rFonts w:ascii="Arial" w:hAnsi="Arial" w:cs="Arial"/>
              </w:rPr>
              <w:t>Mantenimiento y Combustibles</w:t>
            </w:r>
          </w:p>
        </w:tc>
        <w:tc>
          <w:tcPr>
            <w:tcW w:w="2586" w:type="dxa"/>
          </w:tcPr>
          <w:p w:rsidR="00DE0B9F" w:rsidRPr="008E5CBE" w:rsidRDefault="009C1AAF" w:rsidP="005123EC">
            <w:pPr>
              <w:jc w:val="right"/>
              <w:rPr>
                <w:rFonts w:ascii="Arial" w:hAnsi="Arial" w:cs="Arial"/>
              </w:rPr>
            </w:pPr>
            <w:r w:rsidRPr="008E5CBE">
              <w:rPr>
                <w:rFonts w:ascii="Arial" w:hAnsi="Arial" w:cs="Arial"/>
              </w:rPr>
              <w:t>8,569,601</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r w:rsidRPr="008E5CBE">
              <w:rPr>
                <w:rFonts w:ascii="Arial" w:hAnsi="Arial" w:cs="Arial"/>
              </w:rPr>
              <w:t>Adquisiciones</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9C1AAF" w:rsidRPr="008E5CBE">
              <w:rPr>
                <w:rFonts w:ascii="Arial" w:hAnsi="Arial" w:cs="Arial"/>
                <w:lang w:val="es-MX" w:eastAsia="es-ES"/>
              </w:rPr>
              <w:t>800,411</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r w:rsidRPr="008E5CBE">
              <w:rPr>
                <w:rFonts w:ascii="Arial" w:hAnsi="Arial" w:cs="Arial"/>
              </w:rPr>
              <w:t>Desarrollo Urbano y Ecología</w:t>
            </w:r>
          </w:p>
        </w:tc>
        <w:tc>
          <w:tcPr>
            <w:tcW w:w="2586" w:type="dxa"/>
          </w:tcPr>
          <w:p w:rsidR="00DE0B9F" w:rsidRPr="008E5CBE" w:rsidRDefault="00DE0B9F" w:rsidP="00A27746">
            <w:pPr>
              <w:jc w:val="right"/>
              <w:rPr>
                <w:rFonts w:ascii="Arial" w:hAnsi="Arial" w:cs="Arial"/>
              </w:rPr>
            </w:pPr>
            <w:r w:rsidRPr="008E5CBE">
              <w:rPr>
                <w:rFonts w:ascii="Arial" w:hAnsi="Arial" w:cs="Arial"/>
              </w:rPr>
              <w:t>$</w:t>
            </w:r>
            <w:r w:rsidR="009C1AAF" w:rsidRPr="008E5CBE">
              <w:rPr>
                <w:rFonts w:ascii="Arial" w:hAnsi="Arial" w:cs="Arial"/>
                <w:lang w:val="es-MX" w:eastAsia="es-ES"/>
              </w:rPr>
              <w:t>14,735,143</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2161DE" w:rsidP="00A27746">
            <w:pPr>
              <w:spacing w:after="0"/>
              <w:jc w:val="both"/>
              <w:rPr>
                <w:rFonts w:ascii="Arial" w:hAnsi="Arial" w:cs="Arial"/>
              </w:rPr>
            </w:pPr>
            <w:r w:rsidRPr="008E5CBE">
              <w:rPr>
                <w:rFonts w:ascii="Arial" w:hAnsi="Arial" w:cs="Arial"/>
              </w:rPr>
              <w:t>Fondo de Infraestructura Social M</w:t>
            </w:r>
            <w:r w:rsidR="00DE0B9F" w:rsidRPr="008E5CBE">
              <w:rPr>
                <w:rFonts w:ascii="Arial" w:hAnsi="Arial" w:cs="Arial"/>
              </w:rPr>
              <w:t>unicipal</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9C1AAF" w:rsidRPr="008E5CBE">
              <w:rPr>
                <w:rFonts w:ascii="Arial" w:hAnsi="Arial" w:cs="Arial"/>
                <w:lang w:val="es-MX" w:eastAsia="es-ES"/>
              </w:rPr>
              <w:t>17,982,629</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r w:rsidRPr="008E5CBE">
              <w:rPr>
                <w:rFonts w:ascii="Arial" w:hAnsi="Arial" w:cs="Arial"/>
              </w:rPr>
              <w:t>Fondo de fortalecimiento municipal</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9C1AAF" w:rsidRPr="008E5CBE">
              <w:rPr>
                <w:rFonts w:ascii="Arial" w:hAnsi="Arial" w:cs="Arial"/>
                <w:lang w:val="es-MX" w:eastAsia="es-ES"/>
              </w:rPr>
              <w:t>28,065,191</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r w:rsidRPr="008E5CBE">
              <w:rPr>
                <w:rFonts w:ascii="Arial" w:hAnsi="Arial" w:cs="Arial"/>
              </w:rPr>
              <w:t>Obligaciones financieras</w:t>
            </w:r>
          </w:p>
        </w:tc>
        <w:tc>
          <w:tcPr>
            <w:tcW w:w="2586" w:type="dxa"/>
          </w:tcPr>
          <w:p w:rsidR="00DE0B9F" w:rsidRPr="008E5CBE" w:rsidRDefault="00DE0B9F" w:rsidP="005123EC">
            <w:pPr>
              <w:jc w:val="right"/>
              <w:rPr>
                <w:rFonts w:ascii="Arial" w:hAnsi="Arial" w:cs="Arial"/>
              </w:rPr>
            </w:pPr>
            <w:r w:rsidRPr="008E5CBE">
              <w:rPr>
                <w:rFonts w:ascii="Arial" w:hAnsi="Arial" w:cs="Arial"/>
              </w:rPr>
              <w:t>$</w:t>
            </w:r>
            <w:r w:rsidR="005123EC" w:rsidRPr="008E5CBE">
              <w:rPr>
                <w:rFonts w:ascii="Arial" w:hAnsi="Arial" w:cs="Arial"/>
              </w:rPr>
              <w:t xml:space="preserve"> </w:t>
            </w:r>
            <w:r w:rsidR="009C1AAF" w:rsidRPr="008E5CBE">
              <w:rPr>
                <w:rFonts w:ascii="Arial" w:hAnsi="Arial" w:cs="Arial"/>
                <w:lang w:val="es-MX" w:eastAsia="es-ES"/>
              </w:rPr>
              <w:t>6,710,957</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2161DE" w:rsidP="009C1AAF">
            <w:pPr>
              <w:spacing w:after="0"/>
              <w:jc w:val="both"/>
              <w:rPr>
                <w:rFonts w:ascii="Arial" w:hAnsi="Arial" w:cs="Arial"/>
              </w:rPr>
            </w:pPr>
            <w:r w:rsidRPr="008E5CBE">
              <w:rPr>
                <w:rFonts w:ascii="Arial" w:hAnsi="Arial" w:cs="Arial"/>
              </w:rPr>
              <w:t xml:space="preserve">Otros </w:t>
            </w:r>
          </w:p>
        </w:tc>
        <w:tc>
          <w:tcPr>
            <w:tcW w:w="2586" w:type="dxa"/>
          </w:tcPr>
          <w:p w:rsidR="00DE0B9F" w:rsidRPr="008E5CBE" w:rsidRDefault="00DE0B9F" w:rsidP="002161DE">
            <w:pPr>
              <w:jc w:val="right"/>
              <w:rPr>
                <w:rFonts w:ascii="Arial" w:hAnsi="Arial" w:cs="Arial"/>
              </w:rPr>
            </w:pPr>
            <w:r w:rsidRPr="008E5CBE">
              <w:rPr>
                <w:rFonts w:ascii="Arial" w:hAnsi="Arial" w:cs="Arial"/>
              </w:rPr>
              <w:t>$</w:t>
            </w:r>
            <w:r w:rsidR="009C1AAF" w:rsidRPr="008E5CBE">
              <w:rPr>
                <w:rFonts w:ascii="Arial" w:hAnsi="Arial" w:cs="Arial"/>
                <w:lang w:val="es-MX" w:eastAsia="es-ES"/>
              </w:rPr>
              <w:t>71,451,975</w:t>
            </w:r>
            <w:r w:rsidR="00966E8A" w:rsidRPr="008E5CBE">
              <w:rPr>
                <w:rFonts w:ascii="Arial" w:hAnsi="Arial" w:cs="Arial"/>
                <w:lang w:val="es-MX" w:eastAsia="es-ES"/>
              </w:rPr>
              <w:t>.00</w:t>
            </w:r>
          </w:p>
        </w:tc>
      </w:tr>
      <w:tr w:rsidR="00DE0B9F" w:rsidRPr="008E5CBE">
        <w:trPr>
          <w:trHeight w:hRule="exact" w:val="284"/>
          <w:jc w:val="center"/>
        </w:trPr>
        <w:tc>
          <w:tcPr>
            <w:tcW w:w="4649" w:type="dxa"/>
          </w:tcPr>
          <w:p w:rsidR="00DE0B9F" w:rsidRPr="008E5CBE" w:rsidRDefault="00DE0B9F" w:rsidP="00A27746">
            <w:pPr>
              <w:spacing w:after="0"/>
              <w:jc w:val="both"/>
              <w:rPr>
                <w:rFonts w:ascii="Arial" w:hAnsi="Arial" w:cs="Arial"/>
              </w:rPr>
            </w:pPr>
          </w:p>
        </w:tc>
        <w:tc>
          <w:tcPr>
            <w:tcW w:w="2586" w:type="dxa"/>
          </w:tcPr>
          <w:p w:rsidR="00DE0B9F" w:rsidRPr="008E5CBE" w:rsidRDefault="00DE0B9F" w:rsidP="009C1AAF">
            <w:pPr>
              <w:jc w:val="center"/>
              <w:rPr>
                <w:rFonts w:ascii="Arial" w:hAnsi="Arial" w:cs="Arial"/>
              </w:rPr>
            </w:pPr>
          </w:p>
        </w:tc>
      </w:tr>
      <w:tr w:rsidR="00DE0B9F" w:rsidRPr="008E5CBE">
        <w:trPr>
          <w:trHeight w:hRule="exact" w:val="284"/>
          <w:jc w:val="center"/>
        </w:trPr>
        <w:tc>
          <w:tcPr>
            <w:tcW w:w="4649" w:type="dxa"/>
          </w:tcPr>
          <w:p w:rsidR="00DE0B9F" w:rsidRPr="008E5CBE" w:rsidRDefault="00DE0B9F" w:rsidP="00CF2F63">
            <w:pPr>
              <w:spacing w:after="0"/>
              <w:jc w:val="right"/>
              <w:rPr>
                <w:rFonts w:ascii="Arial" w:hAnsi="Arial" w:cs="Arial"/>
                <w:bCs/>
              </w:rPr>
            </w:pPr>
            <w:r w:rsidRPr="008E5CBE">
              <w:rPr>
                <w:rFonts w:ascii="Arial" w:hAnsi="Arial" w:cs="Arial"/>
                <w:b/>
                <w:bCs/>
              </w:rPr>
              <w:t>Total</w:t>
            </w:r>
          </w:p>
        </w:tc>
        <w:tc>
          <w:tcPr>
            <w:tcW w:w="2586" w:type="dxa"/>
          </w:tcPr>
          <w:p w:rsidR="00DE0B9F" w:rsidRPr="008E5CBE" w:rsidRDefault="00DE0B9F" w:rsidP="00A27746">
            <w:pPr>
              <w:jc w:val="right"/>
              <w:rPr>
                <w:rFonts w:ascii="Arial" w:hAnsi="Arial" w:cs="Arial"/>
                <w:b/>
                <w:bCs/>
              </w:rPr>
            </w:pPr>
            <w:r w:rsidRPr="008E5CBE">
              <w:rPr>
                <w:rFonts w:ascii="Arial" w:hAnsi="Arial" w:cs="Arial"/>
                <w:b/>
                <w:bCs/>
              </w:rPr>
              <w:t>$</w:t>
            </w:r>
            <w:r w:rsidR="009C1AAF" w:rsidRPr="008E5CBE">
              <w:rPr>
                <w:rFonts w:ascii="Arial" w:hAnsi="Arial" w:cs="Arial"/>
                <w:b/>
                <w:lang w:val="es-MX" w:eastAsia="es-ES"/>
              </w:rPr>
              <w:t>251,304,066</w:t>
            </w:r>
            <w:r w:rsidR="00966E8A" w:rsidRPr="008E5CBE">
              <w:rPr>
                <w:rFonts w:ascii="Arial" w:hAnsi="Arial" w:cs="Arial"/>
                <w:b/>
                <w:lang w:val="es-MX" w:eastAsia="es-ES"/>
              </w:rPr>
              <w:t>.00</w:t>
            </w:r>
          </w:p>
        </w:tc>
      </w:tr>
    </w:tbl>
    <w:p w:rsidR="00DE0B9F" w:rsidRPr="008E5CBE" w:rsidRDefault="00DE0B9F" w:rsidP="004C2F21">
      <w:pPr>
        <w:ind w:firstLine="900"/>
        <w:jc w:val="both"/>
        <w:rPr>
          <w:rFonts w:ascii="Arial" w:hAnsi="Arial" w:cs="Arial"/>
        </w:rPr>
      </w:pPr>
    </w:p>
    <w:p w:rsidR="00DE0B9F" w:rsidRPr="008E5CBE" w:rsidRDefault="00DE0B9F" w:rsidP="009B10A9">
      <w:pPr>
        <w:spacing w:line="360" w:lineRule="auto"/>
        <w:ind w:firstLine="709"/>
        <w:jc w:val="both"/>
        <w:rPr>
          <w:rFonts w:ascii="Arial" w:hAnsi="Arial" w:cs="Arial"/>
        </w:rPr>
      </w:pPr>
      <w:r w:rsidRPr="008E5CBE">
        <w:rPr>
          <w:rFonts w:ascii="Arial" w:hAnsi="Arial" w:cs="Arial"/>
        </w:rPr>
        <w:t xml:space="preserve">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w:t>
      </w:r>
      <w:r w:rsidRPr="008E5CBE">
        <w:rPr>
          <w:rFonts w:ascii="Arial" w:hAnsi="Arial" w:cs="Arial"/>
        </w:rPr>
        <w:lastRenderedPageBreak/>
        <w:t>Reglamentos y demás disposiciones aplicables y al cumplimiento de los objetivos y metas establecidas en los programas.</w:t>
      </w:r>
    </w:p>
    <w:p w:rsidR="007F65A0" w:rsidRPr="008E5CBE" w:rsidRDefault="00DE0B9F" w:rsidP="000F2EBE">
      <w:pPr>
        <w:spacing w:line="360" w:lineRule="auto"/>
        <w:ind w:firstLine="709"/>
        <w:jc w:val="both"/>
        <w:rPr>
          <w:rFonts w:ascii="Arial" w:hAnsi="Arial" w:cs="Arial"/>
          <w:b/>
          <w:bCs/>
        </w:rPr>
      </w:pPr>
      <w:r w:rsidRPr="008E5CBE">
        <w:rPr>
          <w:rFonts w:ascii="Arial" w:hAnsi="Arial" w:cs="Arial"/>
        </w:rPr>
        <w:t>De esta manera el Auditor General del Estado de Nuevo León concluye que la información pro</w:t>
      </w:r>
      <w:r w:rsidR="009C1AAF" w:rsidRPr="008E5CBE">
        <w:rPr>
          <w:rFonts w:ascii="Arial" w:hAnsi="Arial" w:cs="Arial"/>
        </w:rPr>
        <w:t>porcionada por el Municipio de Montemorelos</w:t>
      </w:r>
      <w:r w:rsidRPr="008E5CBE">
        <w:rPr>
          <w:rFonts w:ascii="Arial" w:hAnsi="Arial" w:cs="Arial"/>
        </w:rPr>
        <w:t>, Nuevo León como Cuenta Pública corr</w:t>
      </w:r>
      <w:r w:rsidR="005D3EF4" w:rsidRPr="008E5CBE">
        <w:rPr>
          <w:rFonts w:ascii="Arial" w:hAnsi="Arial" w:cs="Arial"/>
        </w:rPr>
        <w:t>espondiente al ejercicio de 2010</w:t>
      </w:r>
      <w:r w:rsidRPr="008E5CBE">
        <w:rPr>
          <w:rFonts w:ascii="Arial" w:hAnsi="Arial" w:cs="Arial"/>
        </w:rPr>
        <w:t xml:space="preserve">, presenta razonablemente el manejo, custodia y aplicación de los ingresos, egresos, fondos y en general de los recursos públicos, así como el cumplimiento de los programas y subprogramas, </w:t>
      </w:r>
      <w:r w:rsidRPr="008E5CBE">
        <w:rPr>
          <w:rFonts w:ascii="Arial" w:hAnsi="Arial" w:cs="Arial"/>
          <w:b/>
          <w:bCs/>
        </w:rPr>
        <w:t xml:space="preserve">salvo lo mencionado en el apartado correspondiente a este dictamen. </w:t>
      </w:r>
    </w:p>
    <w:p w:rsidR="00DE0B9F" w:rsidRPr="008E5CBE" w:rsidRDefault="00DE0B9F" w:rsidP="009B10A9">
      <w:pPr>
        <w:spacing w:line="360" w:lineRule="auto"/>
        <w:ind w:firstLine="709"/>
        <w:jc w:val="both"/>
        <w:rPr>
          <w:rFonts w:ascii="Arial" w:hAnsi="Arial" w:cs="Arial"/>
          <w:b/>
          <w:bCs/>
        </w:rPr>
      </w:pPr>
      <w:r w:rsidRPr="008E5CBE">
        <w:rPr>
          <w:rFonts w:ascii="Arial" w:hAnsi="Arial" w:cs="Arial"/>
          <w:b/>
          <w:bCs/>
        </w:rPr>
        <w:t xml:space="preserve">TERCERO: </w:t>
      </w:r>
      <w:r w:rsidRPr="008E5CBE">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8E5CBE">
        <w:rPr>
          <w:rFonts w:ascii="Arial" w:hAnsi="Arial" w:cs="Arial"/>
          <w:b/>
          <w:bCs/>
        </w:rPr>
        <w:t>los apartado</w:t>
      </w:r>
      <w:r w:rsidR="000F2EBE" w:rsidRPr="008E5CBE">
        <w:rPr>
          <w:rFonts w:ascii="Arial" w:hAnsi="Arial" w:cs="Arial"/>
          <w:b/>
          <w:bCs/>
        </w:rPr>
        <w:t>s</w:t>
      </w:r>
      <w:r w:rsidRPr="008E5CBE">
        <w:rPr>
          <w:rFonts w:ascii="Arial" w:hAnsi="Arial" w:cs="Arial"/>
          <w:b/>
          <w:bCs/>
        </w:rPr>
        <w:t xml:space="preserve"> correspondiente</w:t>
      </w:r>
      <w:r w:rsidR="000F2EBE" w:rsidRPr="008E5CBE">
        <w:rPr>
          <w:rFonts w:ascii="Arial" w:hAnsi="Arial" w:cs="Arial"/>
          <w:b/>
          <w:bCs/>
        </w:rPr>
        <w:t>s</w:t>
      </w:r>
      <w:r w:rsidRPr="008E5CBE">
        <w:rPr>
          <w:rFonts w:ascii="Arial" w:hAnsi="Arial" w:cs="Arial"/>
          <w:b/>
          <w:bCs/>
        </w:rPr>
        <w:t xml:space="preserve"> de este dictamen.</w:t>
      </w:r>
    </w:p>
    <w:p w:rsidR="00DE0B9F" w:rsidRPr="008E5CBE" w:rsidRDefault="00DE0B9F" w:rsidP="00E52B4A">
      <w:pPr>
        <w:spacing w:line="360" w:lineRule="auto"/>
        <w:ind w:firstLine="709"/>
        <w:jc w:val="both"/>
        <w:rPr>
          <w:rFonts w:ascii="Arial" w:hAnsi="Arial" w:cs="Arial"/>
        </w:rPr>
      </w:pPr>
      <w:r w:rsidRPr="008E5CBE">
        <w:rPr>
          <w:rFonts w:ascii="Arial" w:hAnsi="Arial" w:cs="Arial"/>
          <w:b/>
          <w:bCs/>
        </w:rPr>
        <w:t xml:space="preserve">CUARTO: </w:t>
      </w:r>
      <w:r w:rsidRPr="008E5CBE">
        <w:rPr>
          <w:rFonts w:ascii="Arial" w:hAnsi="Arial" w:cs="Arial"/>
        </w:rPr>
        <w:t xml:space="preserve">El apartado de señalamiento de irregularidades detectadas, destaca aquellas que causan daños y perjuicios a la Hacienda Pública Municipal y los incumplimientos a lo dispuesto en diversos ordenamientos legales y por los cuales el Auditor  General del Estado gestionara o dará inicio a los procedimientos para los fincamientos de las responsabilidades a que haya lugar, de conformidad con lo dispuesto en el artículo 63 al 68 del la Ley del Órgano de Fiscalización Superior del Estado  de Nuevo León, y en el Titulo Tercero de la Ley de Responsabilidades de los Servidores Públicos del Estado y Municipios de Nuevo León. La información que se </w:t>
      </w:r>
      <w:r w:rsidRPr="008E5CBE">
        <w:rPr>
          <w:rFonts w:ascii="Arial" w:hAnsi="Arial" w:cs="Arial"/>
        </w:rPr>
        <w:lastRenderedPageBreak/>
        <w:t>proporciona se divide en tres programas a saber: Gestión Financiera,</w:t>
      </w:r>
      <w:r w:rsidR="00E52B4A" w:rsidRPr="008E5CBE">
        <w:rPr>
          <w:rFonts w:ascii="Arial" w:hAnsi="Arial" w:cs="Arial"/>
        </w:rPr>
        <w:t xml:space="preserve"> Obras Públicas y Desarrollo Urbano.</w:t>
      </w:r>
      <w:r w:rsidRPr="008E5CBE">
        <w:rPr>
          <w:rFonts w:ascii="Arial" w:hAnsi="Arial" w:cs="Arial"/>
        </w:rPr>
        <w:t xml:space="preserve"> </w:t>
      </w:r>
    </w:p>
    <w:p w:rsidR="009C1AAF" w:rsidRPr="008E5CBE" w:rsidRDefault="0085460A" w:rsidP="0085460A">
      <w:pPr>
        <w:spacing w:line="360" w:lineRule="auto"/>
        <w:ind w:firstLine="709"/>
        <w:jc w:val="both"/>
        <w:rPr>
          <w:rFonts w:ascii="Arial" w:hAnsi="Arial" w:cs="Arial"/>
          <w:lang w:val="es-MX" w:eastAsia="es-ES"/>
        </w:rPr>
      </w:pPr>
      <w:r w:rsidRPr="008E5CBE">
        <w:rPr>
          <w:rFonts w:ascii="Arial" w:hAnsi="Arial" w:cs="Arial"/>
        </w:rPr>
        <w:t xml:space="preserve">En el rubro de </w:t>
      </w:r>
      <w:r w:rsidRPr="008E5CBE">
        <w:rPr>
          <w:rFonts w:ascii="Arial" w:hAnsi="Arial" w:cs="Arial"/>
          <w:b/>
        </w:rPr>
        <w:t>Gestión Financiera</w:t>
      </w:r>
      <w:r w:rsidRPr="008E5CBE">
        <w:rPr>
          <w:rFonts w:ascii="Arial" w:hAnsi="Arial" w:cs="Arial"/>
        </w:rPr>
        <w:t xml:space="preserve"> relativo a </w:t>
      </w:r>
      <w:r w:rsidRPr="008E5CBE">
        <w:rPr>
          <w:rFonts w:ascii="Arial" w:hAnsi="Arial" w:cs="Arial"/>
          <w:b/>
        </w:rPr>
        <w:t>Municipios</w:t>
      </w:r>
      <w:r w:rsidRPr="008E5CBE">
        <w:rPr>
          <w:rFonts w:ascii="Arial" w:hAnsi="Arial" w:cs="Arial"/>
        </w:rPr>
        <w:t xml:space="preserve"> correspondiente a los </w:t>
      </w:r>
      <w:r w:rsidRPr="008E5CBE">
        <w:rPr>
          <w:rFonts w:ascii="Arial" w:hAnsi="Arial" w:cs="Arial"/>
          <w:b/>
        </w:rPr>
        <w:t>Egresos</w:t>
      </w:r>
      <w:r w:rsidRPr="008E5CBE">
        <w:rPr>
          <w:rFonts w:ascii="Arial" w:hAnsi="Arial" w:cs="Arial"/>
        </w:rPr>
        <w:t xml:space="preserve">, </w:t>
      </w:r>
      <w:r w:rsidRPr="008E5CBE">
        <w:rPr>
          <w:rFonts w:ascii="Arial" w:hAnsi="Arial" w:cs="Arial"/>
          <w:b/>
        </w:rPr>
        <w:t>Servicios Generales</w:t>
      </w:r>
      <w:r w:rsidRPr="008E5CBE">
        <w:rPr>
          <w:rFonts w:ascii="Arial" w:hAnsi="Arial" w:cs="Arial"/>
        </w:rPr>
        <w:t xml:space="preserve"> </w:t>
      </w:r>
      <w:r w:rsidRPr="008E5CBE">
        <w:rPr>
          <w:rFonts w:ascii="Arial" w:hAnsi="Arial" w:cs="Arial"/>
          <w:lang w:eastAsia="es-ES"/>
        </w:rPr>
        <w:t>s</w:t>
      </w:r>
      <w:r w:rsidRPr="008E5CBE">
        <w:rPr>
          <w:rFonts w:ascii="Arial" w:hAnsi="Arial" w:cs="Arial"/>
          <w:lang w:val="es-MX" w:eastAsia="es-ES"/>
        </w:rPr>
        <w:t>e registró póliza de cheque No. 16292 de fecha 14 de septiembre de 2010 por importe de $14,333.74 a favor de Viapsa, Viajes Apodaca, S.A. de C.V. por concepto boleto para viaje a la Ciudad de Los Ángeles del día 16 al 18 de septiembre, no localizando póliza de cheque y su respectiva documentación comprobatoria, la cual además permita justificar que este gasto se vincula con la función municipal.</w:t>
      </w:r>
    </w:p>
    <w:p w:rsidR="009C1AAF" w:rsidRPr="008E5CBE" w:rsidRDefault="0085460A" w:rsidP="0085460A">
      <w:pPr>
        <w:spacing w:line="360" w:lineRule="auto"/>
        <w:ind w:firstLine="709"/>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Normatividad</w:t>
      </w:r>
      <w:r w:rsidRPr="008E5CBE">
        <w:rPr>
          <w:rFonts w:ascii="Arial" w:hAnsi="Arial" w:cs="Arial"/>
          <w:lang w:val="es-MX" w:eastAsia="es-ES"/>
        </w:rPr>
        <w:t xml:space="preserve"> en relación con los </w:t>
      </w:r>
      <w:r w:rsidRPr="008E5CBE">
        <w:rPr>
          <w:rFonts w:ascii="Arial" w:hAnsi="Arial" w:cs="Arial"/>
          <w:b/>
          <w:lang w:val="es-MX" w:eastAsia="es-ES"/>
        </w:rPr>
        <w:t>Informes Trimestrales</w:t>
      </w:r>
      <w:r w:rsidRPr="008E5CBE">
        <w:rPr>
          <w:rFonts w:ascii="Arial" w:hAnsi="Arial" w:cs="Arial"/>
          <w:lang w:val="es-MX" w:eastAsia="es-ES"/>
        </w:rPr>
        <w:t xml:space="preserve">, </w:t>
      </w:r>
      <w:r w:rsidRPr="008E5CBE">
        <w:rPr>
          <w:rFonts w:ascii="Arial" w:hAnsi="Arial" w:cs="Arial"/>
          <w:b/>
          <w:lang w:val="es-MX" w:eastAsia="es-ES"/>
        </w:rPr>
        <w:t>Informes de Avances de Gestión Financiera</w:t>
      </w:r>
      <w:r w:rsidRPr="008E5CBE">
        <w:rPr>
          <w:rFonts w:ascii="Arial" w:hAnsi="Arial" w:cs="Arial"/>
        </w:rPr>
        <w:t xml:space="preserve"> </w:t>
      </w:r>
      <w:r w:rsidRPr="008E5CBE">
        <w:rPr>
          <w:rFonts w:ascii="Arial" w:hAnsi="Arial" w:cs="Arial"/>
          <w:lang w:eastAsia="es-ES"/>
        </w:rPr>
        <w:t>n</w:t>
      </w:r>
      <w:r w:rsidRPr="008E5CBE">
        <w:rPr>
          <w:rFonts w:ascii="Arial" w:hAnsi="Arial" w:cs="Arial"/>
          <w:lang w:val="es-MX" w:eastAsia="es-ES"/>
        </w:rPr>
        <w:t>o se presentó al H. Congreso del Estado los Informes de Avance de Gestión Financiera correspondiente a la información relativa de los meses de enero a marzo y octubre a diciembre del ejercicio 2010 dentro de los treinta días naturales posteriores al último día del trimestre respectivo.</w:t>
      </w:r>
    </w:p>
    <w:p w:rsidR="00C304A9" w:rsidRPr="008E5CBE" w:rsidRDefault="00C304A9" w:rsidP="00C304A9">
      <w:pPr>
        <w:autoSpaceDE w:val="0"/>
        <w:autoSpaceDN w:val="0"/>
        <w:adjustRightInd w:val="0"/>
        <w:spacing w:after="0" w:line="360" w:lineRule="auto"/>
        <w:ind w:firstLine="708"/>
        <w:jc w:val="both"/>
        <w:rPr>
          <w:rFonts w:ascii="Arial" w:hAnsi="Arial" w:cs="Arial"/>
          <w:b/>
          <w:bCs/>
        </w:rPr>
      </w:pPr>
      <w:r w:rsidRPr="008E5CBE">
        <w:rPr>
          <w:rFonts w:ascii="Arial" w:hAnsi="Arial" w:cs="Arial"/>
          <w:bCs/>
        </w:rPr>
        <w:t xml:space="preserve">En las obras con número de contrato </w:t>
      </w:r>
      <w:r w:rsidRPr="008E5CBE">
        <w:rPr>
          <w:rFonts w:ascii="Arial" w:hAnsi="Arial" w:cs="Arial"/>
          <w:b/>
          <w:bCs/>
        </w:rPr>
        <w:t xml:space="preserve">GMM-ISA-SOP-05/10-IR </w:t>
      </w:r>
      <w:r w:rsidRPr="008E5CBE">
        <w:rPr>
          <w:rFonts w:ascii="Arial" w:hAnsi="Arial" w:cs="Arial"/>
          <w:bCs/>
        </w:rPr>
        <w:t>[A) Concreto hidráulico en calle Jazmín, entre calle Orquídea y Plaza Municipal, Colonia Morelos ll, B) Pavimentación asfáltica de calle Flores Magón, entre Escuela Secundaria a calle Garza Ayala, Colonia Miguel Hidalgo y C) Pavimentación asfáltica de calle 20 de Noviembre, entre calle 4 y calle 7, Colonia Morelos l]; GMM-IS-SOP-06/10-IR (Construcción de puente vado sobre Arroyo El Galeme, Comunidad El Galeme);</w:t>
      </w:r>
      <w:r w:rsidRPr="008E5CBE">
        <w:rPr>
          <w:rFonts w:ascii="Arial" w:hAnsi="Arial" w:cs="Arial"/>
          <w:b/>
          <w:bCs/>
        </w:rPr>
        <w:t xml:space="preserve"> GMM-ISA-SOP-04/10-IR </w:t>
      </w:r>
      <w:r w:rsidRPr="008E5CBE">
        <w:rPr>
          <w:rFonts w:ascii="Arial" w:hAnsi="Arial" w:cs="Arial"/>
          <w:bCs/>
        </w:rPr>
        <w:t>(Pavimentación asfáltica de calle Terminal, entre Armendáriz y Privada Capellanía y calle 2 de Abril, de calle Armendáriz a Primera de Oriente, Barrio Jalisco);</w:t>
      </w:r>
      <w:r w:rsidRPr="008E5CBE">
        <w:rPr>
          <w:rFonts w:ascii="Arial" w:hAnsi="Arial" w:cs="Arial"/>
          <w:b/>
          <w:bCs/>
        </w:rPr>
        <w:t xml:space="preserve"> GMM-ISA-SOP-06/10-IR </w:t>
      </w:r>
      <w:r w:rsidRPr="008E5CBE">
        <w:rPr>
          <w:rFonts w:ascii="Arial" w:hAnsi="Arial" w:cs="Arial"/>
          <w:bCs/>
        </w:rPr>
        <w:t>(Construcción de plaza, en Colonia Burócratas Municipales);</w:t>
      </w:r>
      <w:r w:rsidRPr="008E5CBE">
        <w:rPr>
          <w:rFonts w:ascii="Arial" w:hAnsi="Arial" w:cs="Arial"/>
          <w:b/>
          <w:bCs/>
        </w:rPr>
        <w:t xml:space="preserve"> GMM-IS-SOP-11/10-IR </w:t>
      </w:r>
      <w:r w:rsidRPr="008E5CBE">
        <w:rPr>
          <w:rFonts w:ascii="Arial" w:hAnsi="Arial" w:cs="Arial"/>
          <w:bCs/>
        </w:rPr>
        <w:t xml:space="preserve">(Pavimentación asfáltica Obras A) calle Pedro Vaquero, entre calles 20 de Noviembre y Juan de Dios Esparza y B) calle Juan de </w:t>
      </w:r>
      <w:r w:rsidRPr="008E5CBE">
        <w:rPr>
          <w:rFonts w:ascii="Arial" w:hAnsi="Arial" w:cs="Arial"/>
          <w:bCs/>
        </w:rPr>
        <w:lastRenderedPageBreak/>
        <w:t>Dios Esparza, de calle Pedro Vaquero a calle Ley del Servicio Civil, Colonia Burócratas Municipales);</w:t>
      </w:r>
      <w:r w:rsidRPr="008E5CBE">
        <w:rPr>
          <w:rFonts w:ascii="Arial" w:hAnsi="Arial" w:cs="Arial"/>
          <w:b/>
          <w:bCs/>
        </w:rPr>
        <w:t xml:space="preserve"> GMM-IS-SOP-07/10-IR </w:t>
      </w:r>
      <w:r w:rsidRPr="008E5CBE">
        <w:rPr>
          <w:rFonts w:ascii="Arial" w:hAnsi="Arial" w:cs="Arial"/>
          <w:bCs/>
        </w:rPr>
        <w:t>(Concreto hidráulico en calle Octava, entre Avenida Cementerio y Oleoducto, en Colonia Anita);</w:t>
      </w:r>
      <w:r w:rsidRPr="008E5CBE">
        <w:rPr>
          <w:rFonts w:ascii="Arial" w:hAnsi="Arial" w:cs="Arial"/>
          <w:b/>
          <w:bCs/>
        </w:rPr>
        <w:t xml:space="preserve"> GMM-IS-SOP-10/10-IR </w:t>
      </w:r>
      <w:r w:rsidRPr="008E5CBE">
        <w:rPr>
          <w:rFonts w:ascii="Arial" w:hAnsi="Arial" w:cs="Arial"/>
          <w:bCs/>
        </w:rPr>
        <w:t xml:space="preserve">(Pavimentación asfáltica en Avenida Buenos Aires, entre Oleoducto y calle Sin Nombre, Colonia Buenos Aires); </w:t>
      </w:r>
      <w:r w:rsidRPr="008E5CBE">
        <w:rPr>
          <w:rFonts w:ascii="Arial" w:hAnsi="Arial" w:cs="Arial"/>
        </w:rPr>
        <w:t>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p>
    <w:p w:rsidR="00C304A9" w:rsidRPr="008E5CBE" w:rsidRDefault="00C304A9" w:rsidP="00C304A9">
      <w:pPr>
        <w:autoSpaceDE w:val="0"/>
        <w:autoSpaceDN w:val="0"/>
        <w:adjustRightInd w:val="0"/>
        <w:spacing w:after="0" w:line="360" w:lineRule="auto"/>
        <w:jc w:val="both"/>
        <w:rPr>
          <w:rFonts w:ascii="Arial" w:hAnsi="Arial" w:cs="Arial"/>
          <w:b/>
          <w:bCs/>
        </w:rPr>
      </w:pPr>
    </w:p>
    <w:p w:rsidR="00C304A9" w:rsidRPr="008E5CBE" w:rsidRDefault="00C304A9" w:rsidP="00C304A9">
      <w:pPr>
        <w:autoSpaceDE w:val="0"/>
        <w:autoSpaceDN w:val="0"/>
        <w:adjustRightInd w:val="0"/>
        <w:spacing w:after="0" w:line="360" w:lineRule="auto"/>
        <w:ind w:firstLine="708"/>
        <w:jc w:val="both"/>
        <w:rPr>
          <w:rFonts w:ascii="Arial" w:hAnsi="Arial" w:cs="Arial"/>
        </w:rPr>
      </w:pPr>
      <w:r w:rsidRPr="008E5CBE">
        <w:rPr>
          <w:rFonts w:ascii="Arial" w:hAnsi="Arial" w:cs="Arial"/>
          <w:bCs/>
        </w:rPr>
        <w:t>En la obra con numero de contrato</w:t>
      </w:r>
      <w:r w:rsidRPr="008E5CBE">
        <w:rPr>
          <w:rFonts w:ascii="Arial" w:hAnsi="Arial" w:cs="Arial"/>
          <w:b/>
          <w:bCs/>
        </w:rPr>
        <w:t xml:space="preserve"> GMM-PVD-SOP-02/09-IR </w:t>
      </w:r>
      <w:r w:rsidRPr="008E5CBE">
        <w:rPr>
          <w:rFonts w:ascii="Arial" w:hAnsi="Arial" w:cs="Arial"/>
          <w:bCs/>
        </w:rPr>
        <w:t>(Concreto hidráulico en obra A) Calle Principal a la Colonia Ladrillera y calle Unión, Colonia Ladrillera y B) Calle S/N, de Dr. Reynaldo Gutiérrez a Avenida Oleoducto, Colonia José María Morelos);</w:t>
      </w:r>
      <w:r w:rsidRPr="008E5CBE">
        <w:rPr>
          <w:rFonts w:ascii="Arial" w:hAnsi="Arial" w:cs="Arial"/>
          <w:b/>
          <w:bCs/>
        </w:rPr>
        <w:t xml:space="preserve"> </w:t>
      </w:r>
      <w:r w:rsidRPr="008E5CBE">
        <w:rPr>
          <w:rFonts w:ascii="Arial" w:hAnsi="Arial" w:cs="Arial"/>
        </w:rPr>
        <w:t>no se localizaron las pruebas de laboratorio que comprueben el cumplimiento de la resistencia del concreto para el concepto "Suministro y colocación de concreto hidráulico de 15 cm. de espesor armado con varillas de 1/2" a 30 cm. en ambos sentidos, concreto f´c=250 kg/cm2".</w:t>
      </w:r>
    </w:p>
    <w:p w:rsidR="00C304A9" w:rsidRPr="008E5CBE" w:rsidRDefault="00C304A9" w:rsidP="00C304A9">
      <w:pPr>
        <w:autoSpaceDE w:val="0"/>
        <w:autoSpaceDN w:val="0"/>
        <w:adjustRightInd w:val="0"/>
        <w:spacing w:after="0" w:line="360" w:lineRule="auto"/>
        <w:ind w:firstLine="708"/>
        <w:jc w:val="both"/>
        <w:rPr>
          <w:rFonts w:ascii="Arial" w:hAnsi="Arial" w:cs="Arial"/>
        </w:rPr>
      </w:pPr>
    </w:p>
    <w:p w:rsidR="006F1A5C" w:rsidRPr="008E5CBE" w:rsidRDefault="006F1A5C" w:rsidP="006F1A5C">
      <w:pPr>
        <w:autoSpaceDE w:val="0"/>
        <w:autoSpaceDN w:val="0"/>
        <w:adjustRightInd w:val="0"/>
        <w:spacing w:after="0" w:line="360" w:lineRule="auto"/>
        <w:ind w:firstLine="708"/>
        <w:jc w:val="both"/>
        <w:rPr>
          <w:rFonts w:ascii="Arial" w:hAnsi="Arial" w:cs="Arial"/>
        </w:rPr>
      </w:pPr>
      <w:r w:rsidRPr="008E5CBE">
        <w:rPr>
          <w:rFonts w:ascii="Arial" w:hAnsi="Arial" w:cs="Arial"/>
        </w:rPr>
        <w:t xml:space="preserve">En el rubro de </w:t>
      </w:r>
      <w:r w:rsidRPr="008E5CBE">
        <w:rPr>
          <w:rFonts w:ascii="Arial" w:hAnsi="Arial" w:cs="Arial"/>
          <w:b/>
        </w:rPr>
        <w:t>Municipios</w:t>
      </w:r>
      <w:r w:rsidRPr="008E5CBE">
        <w:rPr>
          <w:rFonts w:ascii="Arial" w:hAnsi="Arial" w:cs="Arial"/>
        </w:rPr>
        <w:t xml:space="preserve"> relativo a </w:t>
      </w:r>
      <w:r w:rsidRPr="008E5CBE">
        <w:rPr>
          <w:rFonts w:ascii="Arial" w:hAnsi="Arial" w:cs="Arial"/>
          <w:b/>
        </w:rPr>
        <w:t xml:space="preserve">Desarrollo Urbano </w:t>
      </w:r>
      <w:r w:rsidRPr="008E5CBE">
        <w:rPr>
          <w:rFonts w:ascii="Arial" w:hAnsi="Arial" w:cs="Arial"/>
          <w:bCs/>
        </w:rPr>
        <w:t xml:space="preserve">en el expediente </w:t>
      </w:r>
      <w:r w:rsidRPr="008E5CBE">
        <w:rPr>
          <w:rFonts w:ascii="Arial" w:hAnsi="Arial" w:cs="Arial"/>
          <w:b/>
          <w:bCs/>
        </w:rPr>
        <w:t xml:space="preserve">DU-057/2010 </w:t>
      </w:r>
      <w:r w:rsidRPr="008E5CBE">
        <w:rPr>
          <w:rFonts w:ascii="Arial" w:hAnsi="Arial" w:cs="Arial"/>
          <w:bCs/>
        </w:rPr>
        <w:t>(Autorización del proyecto ejecutivo y ventas para un fraccionamiento de tipo campestre denominado San</w:t>
      </w:r>
      <w:r w:rsidR="000F2EBE" w:rsidRPr="008E5CBE">
        <w:rPr>
          <w:rFonts w:ascii="Arial" w:hAnsi="Arial" w:cs="Arial"/>
          <w:bCs/>
        </w:rPr>
        <w:t xml:space="preserve"> </w:t>
      </w:r>
      <w:r w:rsidRPr="008E5CBE">
        <w:rPr>
          <w:rFonts w:ascii="Arial" w:hAnsi="Arial" w:cs="Arial"/>
          <w:bCs/>
        </w:rPr>
        <w:t>Felipe);</w:t>
      </w:r>
      <w:r w:rsidRPr="008E5CBE">
        <w:rPr>
          <w:rFonts w:ascii="Arial" w:hAnsi="Arial" w:cs="Arial"/>
          <w:b/>
          <w:bCs/>
        </w:rPr>
        <w:t xml:space="preserve"> </w:t>
      </w:r>
      <w:r w:rsidRPr="008E5CBE">
        <w:rPr>
          <w:rFonts w:ascii="Arial" w:hAnsi="Arial" w:cs="Arial"/>
        </w:rPr>
        <w:t>no se localizaron las copias de los proyectos de ingeniería urbana</w:t>
      </w:r>
      <w:r w:rsidR="00A267EC" w:rsidRPr="008E5CBE">
        <w:rPr>
          <w:rFonts w:ascii="Arial" w:hAnsi="Arial" w:cs="Arial"/>
        </w:rPr>
        <w:t>, así mismo no fueron encontrados los convenios de aportación con las dependencias que administran los servicios públicos establecidos en la normatividad de la materia.</w:t>
      </w:r>
    </w:p>
    <w:p w:rsidR="006F1A5C" w:rsidRPr="008E5CBE" w:rsidRDefault="006F1A5C" w:rsidP="006F1A5C">
      <w:pPr>
        <w:autoSpaceDE w:val="0"/>
        <w:autoSpaceDN w:val="0"/>
        <w:adjustRightInd w:val="0"/>
        <w:spacing w:after="0" w:line="360" w:lineRule="auto"/>
        <w:ind w:firstLine="708"/>
        <w:jc w:val="both"/>
        <w:rPr>
          <w:rFonts w:ascii="Arial" w:hAnsi="Arial" w:cs="Arial"/>
        </w:rPr>
      </w:pPr>
    </w:p>
    <w:p w:rsidR="006F1A5C" w:rsidRPr="008E5CBE" w:rsidRDefault="006F1A5C" w:rsidP="006F1A5C">
      <w:pPr>
        <w:autoSpaceDE w:val="0"/>
        <w:autoSpaceDN w:val="0"/>
        <w:adjustRightInd w:val="0"/>
        <w:spacing w:after="0" w:line="360" w:lineRule="auto"/>
        <w:ind w:firstLine="708"/>
        <w:jc w:val="both"/>
        <w:rPr>
          <w:rFonts w:ascii="Arial" w:hAnsi="Arial" w:cs="Arial"/>
        </w:rPr>
      </w:pPr>
      <w:r w:rsidRPr="008E5CBE">
        <w:rPr>
          <w:rFonts w:ascii="Arial" w:hAnsi="Arial" w:cs="Arial"/>
          <w:bCs/>
        </w:rPr>
        <w:t>En el expediente</w:t>
      </w:r>
      <w:r w:rsidRPr="008E5CBE">
        <w:rPr>
          <w:rFonts w:ascii="Arial" w:hAnsi="Arial" w:cs="Arial"/>
          <w:b/>
          <w:bCs/>
        </w:rPr>
        <w:t xml:space="preserve">310/2006 </w:t>
      </w:r>
      <w:r w:rsidRPr="008E5CBE">
        <w:rPr>
          <w:rFonts w:ascii="Arial" w:hAnsi="Arial" w:cs="Arial"/>
          <w:bCs/>
        </w:rPr>
        <w:t xml:space="preserve">(Autorización de la entrega de obras del fraccionamiento de tipo campestre denominado Villas Campestres el Paraíso 1er </w:t>
      </w:r>
      <w:r w:rsidRPr="008E5CBE">
        <w:rPr>
          <w:rFonts w:ascii="Arial" w:hAnsi="Arial" w:cs="Arial"/>
          <w:bCs/>
        </w:rPr>
        <w:lastRenderedPageBreak/>
        <w:t xml:space="preserve">Sector); </w:t>
      </w:r>
      <w:r w:rsidRPr="008E5CBE">
        <w:rPr>
          <w:rFonts w:ascii="Arial" w:hAnsi="Arial" w:cs="Arial"/>
        </w:rPr>
        <w:t>no se localizó ni fue exhibido durante la auditoría, el documento que compruebe el pago de los derechos correspondientes a la inscripción de nuevos fraccionamientos, por un importe de $37,147.51</w:t>
      </w:r>
      <w:r w:rsidR="002F34DA" w:rsidRPr="008E5CBE">
        <w:rPr>
          <w:rFonts w:ascii="Arial" w:hAnsi="Arial" w:cs="Arial"/>
        </w:rPr>
        <w:t xml:space="preserve">; se observó que en la tramitación y resolución de la licencia, contraviniendo a lo establecido en la Ley de la materia, así mismo se observó que la tramitación y resolución de la licencia </w:t>
      </w:r>
      <w:r w:rsidR="00047FEB" w:rsidRPr="008E5CBE">
        <w:rPr>
          <w:rFonts w:ascii="Arial" w:hAnsi="Arial" w:cs="Arial"/>
        </w:rPr>
        <w:t>para lo obra, esto en rezón de que el documento de solicitud y reporte de datos generales presentada en fechas variadas a las establecidas administrativamente.</w:t>
      </w:r>
    </w:p>
    <w:p w:rsidR="006F1A5C" w:rsidRPr="008E5CBE" w:rsidRDefault="006F1A5C" w:rsidP="006F1A5C">
      <w:pPr>
        <w:autoSpaceDE w:val="0"/>
        <w:autoSpaceDN w:val="0"/>
        <w:adjustRightInd w:val="0"/>
        <w:spacing w:after="0" w:line="360" w:lineRule="auto"/>
        <w:jc w:val="both"/>
        <w:rPr>
          <w:rFonts w:ascii="Arial" w:hAnsi="Arial" w:cs="Arial"/>
        </w:rPr>
      </w:pPr>
    </w:p>
    <w:p w:rsidR="006F1A5C" w:rsidRPr="008E5CBE" w:rsidRDefault="006F1A5C" w:rsidP="006F1A5C">
      <w:pPr>
        <w:autoSpaceDE w:val="0"/>
        <w:autoSpaceDN w:val="0"/>
        <w:adjustRightInd w:val="0"/>
        <w:spacing w:after="0" w:line="360" w:lineRule="auto"/>
        <w:ind w:firstLine="708"/>
        <w:jc w:val="both"/>
        <w:rPr>
          <w:rFonts w:ascii="Arial" w:hAnsi="Arial" w:cs="Arial"/>
        </w:rPr>
      </w:pPr>
      <w:r w:rsidRPr="008E5CBE">
        <w:rPr>
          <w:rFonts w:ascii="Arial" w:hAnsi="Arial" w:cs="Arial"/>
          <w:bCs/>
        </w:rPr>
        <w:t xml:space="preserve">En el expediente </w:t>
      </w:r>
      <w:r w:rsidRPr="008E5CBE">
        <w:rPr>
          <w:rFonts w:ascii="Arial" w:hAnsi="Arial" w:cs="Arial"/>
          <w:b/>
          <w:bCs/>
        </w:rPr>
        <w:t xml:space="preserve">046/2010 </w:t>
      </w:r>
      <w:r w:rsidRPr="008E5CBE">
        <w:rPr>
          <w:rFonts w:ascii="Arial" w:hAnsi="Arial" w:cs="Arial"/>
          <w:bCs/>
        </w:rPr>
        <w:t>(Autorización de la fusión de cuatro predios para formar un solo cuerpo y la parcelación para quedar en 6 lotes resultantes, ubicados en la Colonia El Alto del Coyote);</w:t>
      </w:r>
      <w:r w:rsidRPr="008E5CBE">
        <w:rPr>
          <w:rFonts w:ascii="Arial" w:hAnsi="Arial" w:cs="Arial"/>
          <w:b/>
          <w:bCs/>
        </w:rPr>
        <w:t xml:space="preserve"> </w:t>
      </w:r>
      <w:r w:rsidRPr="008E5CBE">
        <w:rPr>
          <w:rFonts w:ascii="Arial" w:hAnsi="Arial" w:cs="Arial"/>
        </w:rPr>
        <w:t>se observó que en la tramitación y resolución de la licencia en comento, se contraviene con lo establecido a lo dispuesto en la Ley de la Materia esto en razón de que el número de lotes resultantes, excede el límite de lotes permitidos; también en razón de que el documento de solicitud y reporte de datos generales, presenta fecha de registro del día 19 de julio de 2010 y la resolución administrativa de dicha licencia cuenta con fecha del 11 de agosto de 2010, por lo que excede el número de días hábiles permitidos para su autorización.</w:t>
      </w:r>
    </w:p>
    <w:p w:rsidR="006F1A5C" w:rsidRPr="008E5CBE" w:rsidRDefault="006F1A5C" w:rsidP="006F1A5C">
      <w:pPr>
        <w:autoSpaceDE w:val="0"/>
        <w:autoSpaceDN w:val="0"/>
        <w:adjustRightInd w:val="0"/>
        <w:spacing w:after="0" w:line="360" w:lineRule="auto"/>
        <w:ind w:firstLine="708"/>
        <w:jc w:val="both"/>
        <w:rPr>
          <w:rFonts w:ascii="Arial" w:hAnsi="Arial" w:cs="Arial"/>
        </w:rPr>
      </w:pPr>
    </w:p>
    <w:p w:rsidR="006F1A5C" w:rsidRPr="008E5CBE" w:rsidRDefault="006F1A5C" w:rsidP="006F1A5C">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rPr>
        <w:t xml:space="preserve">En lo correspondiente al rubro de </w:t>
      </w:r>
      <w:r w:rsidRPr="008E5CBE">
        <w:rPr>
          <w:rFonts w:ascii="Arial" w:hAnsi="Arial" w:cs="Arial"/>
          <w:b/>
        </w:rPr>
        <w:t>PROFIS</w:t>
      </w:r>
      <w:r w:rsidRPr="008E5CBE">
        <w:rPr>
          <w:rFonts w:ascii="Arial" w:hAnsi="Arial" w:cs="Arial"/>
        </w:rPr>
        <w:t xml:space="preserve"> relativo a </w:t>
      </w:r>
      <w:r w:rsidRPr="008E5CBE">
        <w:rPr>
          <w:rFonts w:ascii="Arial" w:hAnsi="Arial" w:cs="Arial"/>
          <w:b/>
        </w:rPr>
        <w:t>Municipios</w:t>
      </w:r>
      <w:r w:rsidRPr="008E5CBE">
        <w:rPr>
          <w:rFonts w:ascii="Arial" w:hAnsi="Arial" w:cs="Arial"/>
        </w:rPr>
        <w:t xml:space="preserve"> y en relación a </w:t>
      </w:r>
      <w:r w:rsidRPr="008E5CBE">
        <w:rPr>
          <w:rFonts w:ascii="Arial" w:hAnsi="Arial" w:cs="Arial"/>
          <w:b/>
        </w:rPr>
        <w:t>Ingresos</w:t>
      </w:r>
      <w:r w:rsidRPr="008E5CBE">
        <w:rPr>
          <w:rFonts w:ascii="Arial" w:hAnsi="Arial" w:cs="Arial"/>
        </w:rPr>
        <w:t xml:space="preserve">, </w:t>
      </w:r>
      <w:r w:rsidRPr="008E5CBE">
        <w:rPr>
          <w:rFonts w:ascii="Arial" w:hAnsi="Arial" w:cs="Arial"/>
          <w:b/>
        </w:rPr>
        <w:t>Fondo para el Fortalecimiento Municipal</w:t>
      </w:r>
      <w:r w:rsidR="00322144" w:rsidRPr="008E5CBE">
        <w:rPr>
          <w:rFonts w:ascii="Arial" w:hAnsi="Arial" w:cs="Arial"/>
          <w:b/>
        </w:rPr>
        <w:t xml:space="preserve"> </w:t>
      </w:r>
      <w:r w:rsidR="00322144" w:rsidRPr="008E5CBE">
        <w:rPr>
          <w:rFonts w:ascii="Arial" w:hAnsi="Arial" w:cs="Arial"/>
        </w:rPr>
        <w:t>se registró</w:t>
      </w:r>
      <w:r w:rsidRPr="008E5CBE">
        <w:rPr>
          <w:rFonts w:ascii="Arial" w:hAnsi="Arial" w:cs="Arial"/>
          <w:b/>
        </w:rPr>
        <w:t xml:space="preserve"> </w:t>
      </w:r>
      <w:r w:rsidR="00322144" w:rsidRPr="008E5CBE">
        <w:rPr>
          <w:rFonts w:ascii="Arial" w:hAnsi="Arial" w:cs="Arial"/>
          <w:lang w:val="es-MX" w:eastAsia="es-ES"/>
        </w:rPr>
        <w:t>i</w:t>
      </w:r>
      <w:r w:rsidRPr="008E5CBE">
        <w:rPr>
          <w:rFonts w:ascii="Arial" w:hAnsi="Arial" w:cs="Arial"/>
          <w:lang w:val="es-MX" w:eastAsia="es-ES"/>
        </w:rPr>
        <w:t>ngreso de recursos del Fondo de Aportaciones para el Fortalecimiento de los Municipios y de las Demarcaciones Territoriales del Distrito Federal por $1,874,401.55 correspondiente a la ministración del mes de enero de 2010, se recibió parcialmente $1,799,605.00 el 09 de enero de 2010, depositando el saldo remanente por $74,797.00 hasta el día 11 de febrero de 2010, pero sin incluir los rendimientos financieros correspondientes.</w:t>
      </w:r>
    </w:p>
    <w:p w:rsidR="00322144" w:rsidRPr="008E5CBE" w:rsidRDefault="00322144" w:rsidP="00322144">
      <w:pPr>
        <w:autoSpaceDE w:val="0"/>
        <w:autoSpaceDN w:val="0"/>
        <w:adjustRightInd w:val="0"/>
        <w:spacing w:after="0" w:line="360" w:lineRule="auto"/>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No se localizó evidencia documental que demuestre que el municipio Informó, conforme a las disposiciones aplicables, a los órganos de control y fiscalización locales </w:t>
      </w:r>
      <w:r w:rsidRPr="008E5CBE">
        <w:rPr>
          <w:rFonts w:ascii="Arial" w:hAnsi="Arial" w:cs="Arial"/>
          <w:lang w:val="es-MX" w:eastAsia="es-ES"/>
        </w:rPr>
        <w:lastRenderedPageBreak/>
        <w:t>y federales, sobre cuenta bancaria específica en la que recibirían los recursos del Fondo de Aportaciones para el Fortalecimiento de los Municipios y Demarcaciones Territoriales del Distrito Federal.</w:t>
      </w: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No se encontró evidencia documental que soporte que el municipio haya hecho del conocimiento de sus habitantes, el monto que recibirán del Fondo de Aportaciones para el Fortalecimiento de los Municipios y de las Demarcaciones Territoriales del Distrito Federal 2010, las obras y acciones a realizar, el costo de cada una, su ubicación, metas y beneficiarios.</w:t>
      </w: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Se verificaron los estados de cuenta bancarios y auxiliares contables del Fondo de Aportaciones para el Fortalecimiento de los Municipios y de las Demarcaciones Territoriales del Distrito Federal 2010, observando que se recibieron traspasos en la cuenta específica del Fondo 2010, provenientes de la cuenta de gasto corriente por un valor de $3,886,470.</w:t>
      </w: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lo correspondiente al </w:t>
      </w:r>
      <w:r w:rsidRPr="008E5CBE">
        <w:rPr>
          <w:rFonts w:ascii="Arial" w:hAnsi="Arial" w:cs="Arial"/>
          <w:b/>
          <w:lang w:val="es-MX" w:eastAsia="es-ES"/>
        </w:rPr>
        <w:t xml:space="preserve">Fondo de Infraestructura Social Municipal de </w:t>
      </w:r>
      <w:r w:rsidRPr="008E5CBE">
        <w:rPr>
          <w:rFonts w:ascii="Arial" w:hAnsi="Arial" w:cs="Arial"/>
          <w:lang w:val="es-MX" w:eastAsia="es-ES"/>
        </w:rPr>
        <w:t>se registró el ingreso de recursos del Fondo de Aportaciones para la Infraestructura Social Municipal por $1,677,289.02 correspondiente a la ministración del mes de julio de 2010, se recibió hasta el 20 de agosto de 2010, pero sin incluir los rendimientos respectivos.</w:t>
      </w: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No se localizó ni fue exhibido durante la auditoría evidencia documental que demuestre que el municipio Informó, conforme a las disposiciones aplicables, a los órganos de control y fiscalización locales y federales, sobre cuenta bancaria específica en la que recibirían los recursos del Fondo de Aportaciones para la Infraestructura Social Municipal.</w:t>
      </w:r>
    </w:p>
    <w:p w:rsidR="00322144" w:rsidRPr="008E5CBE" w:rsidRDefault="00322144" w:rsidP="00322144">
      <w:pPr>
        <w:autoSpaceDE w:val="0"/>
        <w:autoSpaceDN w:val="0"/>
        <w:adjustRightInd w:val="0"/>
        <w:spacing w:after="0" w:line="360" w:lineRule="auto"/>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lastRenderedPageBreak/>
        <w:t>Se observó que el municipio recibió préstamo bancario por importe $8,819,000</w:t>
      </w:r>
      <w:r w:rsidR="000F2EBE" w:rsidRPr="008E5CBE">
        <w:rPr>
          <w:rFonts w:ascii="Arial" w:hAnsi="Arial" w:cs="Arial"/>
          <w:lang w:val="es-MX" w:eastAsia="es-ES"/>
        </w:rPr>
        <w:t>.00</w:t>
      </w:r>
      <w:r w:rsidRPr="008E5CBE">
        <w:rPr>
          <w:rFonts w:ascii="Arial" w:hAnsi="Arial" w:cs="Arial"/>
          <w:lang w:val="es-MX" w:eastAsia="es-ES"/>
        </w:rPr>
        <w:t xml:space="preserve">, el 30 de julio de 2010 en la cuenta bancaria del Fondo de Aportaciones para la </w:t>
      </w:r>
      <w:r w:rsidR="000F2EBE" w:rsidRPr="008E5CBE">
        <w:rPr>
          <w:rFonts w:ascii="Arial" w:hAnsi="Arial" w:cs="Arial"/>
          <w:lang w:val="es-MX" w:eastAsia="es-ES"/>
        </w:rPr>
        <w:t>Infraestructura</w:t>
      </w:r>
      <w:r w:rsidRPr="008E5CBE">
        <w:rPr>
          <w:rFonts w:ascii="Arial" w:hAnsi="Arial" w:cs="Arial"/>
          <w:lang w:val="es-MX" w:eastAsia="es-ES"/>
        </w:rPr>
        <w:t xml:space="preserve"> Social Municipal 2010, no localizando durante el proceso de la auditoría la autorización de endeudamiento del H. Congreso del Estado, ni las modificaciones presupuestarias correspondientes, mismo que no se ejerció al 31 de diciembre de 2010.</w:t>
      </w:r>
    </w:p>
    <w:p w:rsidR="00322144" w:rsidRPr="008E5CBE" w:rsidRDefault="00322144" w:rsidP="00322144">
      <w:pPr>
        <w:autoSpaceDE w:val="0"/>
        <w:autoSpaceDN w:val="0"/>
        <w:adjustRightInd w:val="0"/>
        <w:spacing w:after="0" w:line="360" w:lineRule="auto"/>
        <w:jc w:val="both"/>
        <w:rPr>
          <w:rFonts w:ascii="Arial" w:hAnsi="Arial" w:cs="Arial"/>
          <w:lang w:val="es-MX" w:eastAsia="es-ES"/>
        </w:rPr>
      </w:pPr>
    </w:p>
    <w:p w:rsidR="00322144" w:rsidRPr="008E5CBE" w:rsidRDefault="00322144" w:rsidP="00322144">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Se verificaron los estados de cuenta bancarios y auxiliares contables del Fondo de Aportaciones para la Infraestructura Social Municipal 2010, observando que se realizó depósito a este Fondo por un importe de $8,819,000</w:t>
      </w:r>
      <w:r w:rsidR="000F2EBE" w:rsidRPr="008E5CBE">
        <w:rPr>
          <w:rFonts w:ascii="Arial" w:hAnsi="Arial" w:cs="Arial"/>
          <w:lang w:val="es-MX" w:eastAsia="es-ES"/>
        </w:rPr>
        <w:t>.00</w:t>
      </w:r>
      <w:r w:rsidRPr="008E5CBE">
        <w:rPr>
          <w:rFonts w:ascii="Arial" w:hAnsi="Arial" w:cs="Arial"/>
          <w:lang w:val="es-MX" w:eastAsia="es-ES"/>
        </w:rPr>
        <w:t xml:space="preserve"> según estado de cuenta bancario del día 30 de julio de 2010 que corresponde a préstamo bancario de Banobras.</w:t>
      </w:r>
    </w:p>
    <w:p w:rsidR="00322144" w:rsidRPr="008E5CBE" w:rsidRDefault="00322144" w:rsidP="00322144">
      <w:pPr>
        <w:autoSpaceDE w:val="0"/>
        <w:autoSpaceDN w:val="0"/>
        <w:adjustRightInd w:val="0"/>
        <w:spacing w:after="0" w:line="360" w:lineRule="auto"/>
        <w:jc w:val="both"/>
        <w:rPr>
          <w:rFonts w:ascii="Arial" w:hAnsi="Arial" w:cs="Arial"/>
          <w:lang w:val="es-MX" w:eastAsia="es-ES"/>
        </w:rPr>
      </w:pPr>
    </w:p>
    <w:p w:rsidR="00322144" w:rsidRPr="008E5CBE" w:rsidRDefault="00322144" w:rsidP="00016716">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 xml:space="preserve">Egresos </w:t>
      </w:r>
      <w:r w:rsidRPr="008E5CBE">
        <w:rPr>
          <w:rFonts w:ascii="Arial" w:hAnsi="Arial" w:cs="Arial"/>
          <w:lang w:val="es-MX" w:eastAsia="es-ES"/>
        </w:rPr>
        <w:t xml:space="preserve">en lo correspondiente al </w:t>
      </w:r>
      <w:r w:rsidRPr="008E5CBE">
        <w:rPr>
          <w:rFonts w:ascii="Arial" w:hAnsi="Arial" w:cs="Arial"/>
          <w:b/>
          <w:lang w:val="es-MX" w:eastAsia="es-ES"/>
        </w:rPr>
        <w:t xml:space="preserve">Fondo para el Fortalecimiento Municipal </w:t>
      </w:r>
      <w:r w:rsidRPr="008E5CBE">
        <w:rPr>
          <w:rFonts w:ascii="Arial" w:hAnsi="Arial" w:cs="Arial"/>
          <w:lang w:val="es-MX" w:eastAsia="es-ES"/>
        </w:rPr>
        <w:t>no se encontró evidencia documental que soporte que el municipio haya informado a sus habitantes, al término del ejercicio, sobre los resultados alcanzados, en la aplicación de los recursos recibidos del Fondo de Aportaciones para el Fortalecimiento de los Municipios y de las Demarcaciones Territoriales del Distrito Federal 2010</w:t>
      </w:r>
      <w:r w:rsidR="00016716" w:rsidRPr="008E5CBE">
        <w:rPr>
          <w:rFonts w:ascii="Arial" w:hAnsi="Arial" w:cs="Arial"/>
          <w:lang w:val="es-MX" w:eastAsia="es-ES"/>
        </w:rPr>
        <w:t>.</w:t>
      </w:r>
    </w:p>
    <w:p w:rsidR="00016716" w:rsidRPr="008E5CBE" w:rsidRDefault="00016716" w:rsidP="00016716">
      <w:pPr>
        <w:autoSpaceDE w:val="0"/>
        <w:autoSpaceDN w:val="0"/>
        <w:adjustRightInd w:val="0"/>
        <w:spacing w:after="0" w:line="360" w:lineRule="auto"/>
        <w:jc w:val="both"/>
        <w:rPr>
          <w:rFonts w:ascii="Arial" w:hAnsi="Arial" w:cs="Arial"/>
          <w:lang w:val="es-MX" w:eastAsia="es-ES"/>
        </w:rPr>
      </w:pPr>
    </w:p>
    <w:p w:rsidR="00016716" w:rsidRPr="008E5CBE" w:rsidRDefault="00016716" w:rsidP="00016716">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Se detectó un inadecuado control en el consumo de combustible para vehículos de Seguridad Pública Municipal, ya que a pesar de que se cuenta con bitácoras por unidad, no se determina el rendimiento de kilómetros por litro, ni se registra el nombre y firma del responsable, que permita medir la eficacia y eficiencia del gasto.</w:t>
      </w:r>
    </w:p>
    <w:p w:rsidR="00016716" w:rsidRPr="008E5CBE" w:rsidRDefault="00016716" w:rsidP="00016716">
      <w:pPr>
        <w:autoSpaceDE w:val="0"/>
        <w:autoSpaceDN w:val="0"/>
        <w:adjustRightInd w:val="0"/>
        <w:spacing w:after="0" w:line="240" w:lineRule="auto"/>
        <w:rPr>
          <w:rFonts w:ascii="Arial" w:hAnsi="Arial" w:cs="Arial"/>
          <w:sz w:val="24"/>
          <w:szCs w:val="24"/>
          <w:lang w:val="es-MX" w:eastAsia="es-ES"/>
        </w:rPr>
      </w:pPr>
    </w:p>
    <w:p w:rsidR="00016716" w:rsidRPr="008E5CBE" w:rsidRDefault="00016716" w:rsidP="00016716">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Se observó que el área de contabilidad del municipio no tiene identificado al 100% qué conceptos pagó con los recursos del Fondo de Aportaciones para le </w:t>
      </w:r>
      <w:r w:rsidRPr="008E5CBE">
        <w:rPr>
          <w:rFonts w:ascii="Arial" w:hAnsi="Arial" w:cs="Arial"/>
          <w:lang w:val="es-MX" w:eastAsia="es-ES"/>
        </w:rPr>
        <w:lastRenderedPageBreak/>
        <w:t>Fortalecimiento de los Municipios y de las Demarcaciones Territoriales del Distrito Federal 2010, lo cual dificultó la integración de los conceptos de servicios personales.</w:t>
      </w:r>
    </w:p>
    <w:p w:rsidR="00016716" w:rsidRPr="008E5CBE" w:rsidRDefault="00016716" w:rsidP="00016716">
      <w:pPr>
        <w:autoSpaceDE w:val="0"/>
        <w:autoSpaceDN w:val="0"/>
        <w:adjustRightInd w:val="0"/>
        <w:spacing w:after="0" w:line="360" w:lineRule="auto"/>
        <w:ind w:firstLine="708"/>
        <w:jc w:val="both"/>
        <w:rPr>
          <w:rFonts w:ascii="Arial" w:hAnsi="Arial" w:cs="Arial"/>
          <w:lang w:val="es-MX" w:eastAsia="es-ES"/>
        </w:rPr>
      </w:pPr>
    </w:p>
    <w:p w:rsidR="006F1A5C" w:rsidRPr="008E5CBE" w:rsidRDefault="00016716" w:rsidP="000F2EBE">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 xml:space="preserve">Fondo para la Infraestructura Social Municipal </w:t>
      </w:r>
      <w:r w:rsidRPr="008E5CBE">
        <w:rPr>
          <w:rFonts w:ascii="Arial" w:hAnsi="Arial" w:cs="Arial"/>
          <w:lang w:val="es-MX" w:eastAsia="es-ES"/>
        </w:rPr>
        <w:t>no se localizó evidencia documental que demuestre que el municipio informó a las instancias de evaluación y fiscalización de los ámbitos federal y local, en los términos de sus respectivas competencias, sobre la aplicación de los recursos del Fondo de Aportaciones para la Infraestructura Social Municipal, en las obras y acciones establecidas en la Ley de Coordinación Fiscal que beneficien directamente a la población en rezago social y pobreza extrema.</w:t>
      </w:r>
    </w:p>
    <w:p w:rsidR="00016716" w:rsidRPr="008E5CBE" w:rsidRDefault="00016716" w:rsidP="006F1A5C">
      <w:pPr>
        <w:autoSpaceDE w:val="0"/>
        <w:autoSpaceDN w:val="0"/>
        <w:adjustRightInd w:val="0"/>
        <w:spacing w:after="0" w:line="360" w:lineRule="auto"/>
        <w:ind w:firstLine="708"/>
        <w:jc w:val="both"/>
        <w:rPr>
          <w:rFonts w:ascii="Arial" w:hAnsi="Arial" w:cs="Arial"/>
        </w:rPr>
      </w:pPr>
    </w:p>
    <w:p w:rsidR="00DE0B9F" w:rsidRPr="008E5CBE" w:rsidRDefault="00DE0B9F" w:rsidP="001839AA">
      <w:pPr>
        <w:autoSpaceDE w:val="0"/>
        <w:autoSpaceDN w:val="0"/>
        <w:adjustRightInd w:val="0"/>
        <w:spacing w:after="0" w:line="360" w:lineRule="auto"/>
        <w:ind w:firstLine="708"/>
        <w:jc w:val="both"/>
        <w:rPr>
          <w:rFonts w:ascii="Arial" w:hAnsi="Arial" w:cs="Arial"/>
        </w:rPr>
      </w:pPr>
      <w:r w:rsidRPr="008E5CBE">
        <w:rPr>
          <w:rFonts w:ascii="Arial" w:hAnsi="Arial" w:cs="Arial"/>
        </w:rPr>
        <w:t xml:space="preserve">    </w:t>
      </w:r>
      <w:r w:rsidRPr="008E5CBE">
        <w:rPr>
          <w:rFonts w:ascii="Arial" w:hAnsi="Arial" w:cs="Arial"/>
          <w:b/>
          <w:bCs/>
        </w:rPr>
        <w:t xml:space="preserve">QUINTO: </w:t>
      </w:r>
      <w:r w:rsidRPr="008E5CBE">
        <w:rPr>
          <w:rFonts w:ascii="Arial" w:hAnsi="Arial" w:cs="Arial"/>
        </w:rPr>
        <w:t>E</w:t>
      </w:r>
      <w:r w:rsidR="00E52B4A" w:rsidRPr="008E5CBE">
        <w:rPr>
          <w:rFonts w:ascii="Arial" w:hAnsi="Arial" w:cs="Arial"/>
        </w:rPr>
        <w:t>n este</w:t>
      </w:r>
      <w:r w:rsidRPr="008E5CBE">
        <w:rPr>
          <w:rFonts w:ascii="Arial" w:hAnsi="Arial" w:cs="Arial"/>
        </w:rPr>
        <w:t xml:space="preserve"> apartado del informe, señala las observaciones derivadas de la revisión practicada, las aclaraciones a las mismas por los funcionarios responsables y el análisis correspondiente.</w:t>
      </w:r>
    </w:p>
    <w:p w:rsidR="001839AA" w:rsidRPr="008E5CBE" w:rsidRDefault="001839AA" w:rsidP="001839AA">
      <w:pPr>
        <w:autoSpaceDE w:val="0"/>
        <w:autoSpaceDN w:val="0"/>
        <w:adjustRightInd w:val="0"/>
        <w:spacing w:after="0" w:line="360" w:lineRule="auto"/>
        <w:ind w:firstLine="708"/>
        <w:jc w:val="both"/>
        <w:rPr>
          <w:rFonts w:ascii="Arial" w:hAnsi="Arial" w:cs="Arial"/>
        </w:rPr>
      </w:pPr>
    </w:p>
    <w:p w:rsidR="0085460A" w:rsidRPr="008E5CBE" w:rsidRDefault="001839AA" w:rsidP="0085460A">
      <w:pPr>
        <w:spacing w:line="360" w:lineRule="auto"/>
        <w:ind w:firstLine="708"/>
        <w:jc w:val="both"/>
        <w:rPr>
          <w:rFonts w:ascii="Arial" w:hAnsi="Arial" w:cs="Arial"/>
          <w:lang w:val="es-MX" w:eastAsia="es-ES"/>
        </w:rPr>
      </w:pPr>
      <w:r w:rsidRPr="008E5CBE">
        <w:rPr>
          <w:rFonts w:ascii="Arial" w:hAnsi="Arial" w:cs="Arial"/>
        </w:rPr>
        <w:t xml:space="preserve">En el concepto de </w:t>
      </w:r>
      <w:r w:rsidRPr="008E5CBE">
        <w:rPr>
          <w:rFonts w:ascii="Arial" w:hAnsi="Arial" w:cs="Arial"/>
          <w:b/>
        </w:rPr>
        <w:t>Gestión Financiera</w:t>
      </w:r>
      <w:r w:rsidRPr="008E5CBE">
        <w:rPr>
          <w:rFonts w:ascii="Arial" w:hAnsi="Arial" w:cs="Arial"/>
        </w:rPr>
        <w:t xml:space="preserve"> en relación a </w:t>
      </w:r>
      <w:r w:rsidRPr="008E5CBE">
        <w:rPr>
          <w:rFonts w:ascii="Arial" w:hAnsi="Arial" w:cs="Arial"/>
          <w:b/>
        </w:rPr>
        <w:t xml:space="preserve">Municipios, Ingresos, </w:t>
      </w:r>
      <w:r w:rsidR="0085460A" w:rsidRPr="008E5CBE">
        <w:rPr>
          <w:rFonts w:ascii="Arial" w:hAnsi="Arial" w:cs="Arial"/>
          <w:b/>
        </w:rPr>
        <w:t xml:space="preserve">Impuestos </w:t>
      </w:r>
      <w:r w:rsidRPr="008E5CBE">
        <w:rPr>
          <w:rFonts w:ascii="Arial" w:hAnsi="Arial" w:cs="Arial"/>
        </w:rPr>
        <w:t xml:space="preserve">en particular en lo que se refiere a </w:t>
      </w:r>
      <w:r w:rsidR="0085460A" w:rsidRPr="008E5CBE">
        <w:rPr>
          <w:rFonts w:ascii="Arial" w:hAnsi="Arial" w:cs="Arial"/>
          <w:b/>
        </w:rPr>
        <w:t xml:space="preserve">Diversión y espectáculos públicos </w:t>
      </w:r>
      <w:r w:rsidR="0085460A" w:rsidRPr="008E5CBE">
        <w:rPr>
          <w:rFonts w:ascii="Arial" w:hAnsi="Arial" w:cs="Arial"/>
          <w:lang w:eastAsia="es-ES"/>
        </w:rPr>
        <w:t>s</w:t>
      </w:r>
      <w:r w:rsidR="0085460A" w:rsidRPr="008E5CBE">
        <w:rPr>
          <w:rFonts w:ascii="Arial" w:hAnsi="Arial" w:cs="Arial"/>
          <w:lang w:val="es-MX" w:eastAsia="es-ES"/>
        </w:rPr>
        <w:t>e registró recibo de ingreso No. 4056543 de fecha 23 de Septiembre de 2010 por la cantidad de $113,420 a nombre de Operadora de Parques Estrella, S.A. de C.V. por concepto de pago del 5% sobre entradas al Bioparque Estrella correspondiente al período de octubre 2009 a septiembre 2010, no localizando documentación que soporte el impuesto cobrado.</w:t>
      </w:r>
    </w:p>
    <w:p w:rsidR="0085460A" w:rsidRPr="008E5CBE" w:rsidRDefault="0085460A" w:rsidP="00622F82">
      <w:pPr>
        <w:spacing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 xml:space="preserve">Productos </w:t>
      </w:r>
      <w:r w:rsidRPr="008E5CBE">
        <w:rPr>
          <w:rFonts w:ascii="Arial" w:hAnsi="Arial" w:cs="Arial"/>
          <w:lang w:val="es-MX" w:eastAsia="es-ES"/>
        </w:rPr>
        <w:t xml:space="preserve">relativos a </w:t>
      </w:r>
      <w:r w:rsidRPr="008E5CBE">
        <w:rPr>
          <w:rFonts w:ascii="Arial" w:hAnsi="Arial" w:cs="Arial"/>
          <w:b/>
          <w:lang w:val="es-MX" w:eastAsia="es-ES"/>
        </w:rPr>
        <w:t xml:space="preserve">Arrendamiento o explotación de bienes muebles e inmuebles </w:t>
      </w:r>
      <w:r w:rsidR="00F455E8" w:rsidRPr="008E5CBE">
        <w:rPr>
          <w:rFonts w:ascii="Arial" w:hAnsi="Arial" w:cs="Arial"/>
          <w:lang w:val="es-MX" w:eastAsia="es-ES"/>
        </w:rPr>
        <w:t>durante</w:t>
      </w:r>
      <w:r w:rsidR="00622F82" w:rsidRPr="008E5CBE">
        <w:rPr>
          <w:rFonts w:ascii="Arial" w:hAnsi="Arial" w:cs="Arial"/>
          <w:lang w:val="es-MX" w:eastAsia="es-ES"/>
        </w:rPr>
        <w:t xml:space="preserve"> el ejercicio 2010 se revisó el cumplimiento del contrato de arrendamiento cebrado entre el municipio de Montemorelos, Nuevo León y el C. Juan Andrés Padilla Leal, dicho contrato hace referencia al bien inmueble ubicado en la avenida José María Parás dentro de las instalaciones del Parque Almazán, el cual </w:t>
      </w:r>
      <w:r w:rsidR="00622F82" w:rsidRPr="008E5CBE">
        <w:rPr>
          <w:rFonts w:ascii="Arial" w:hAnsi="Arial" w:cs="Arial"/>
          <w:lang w:val="es-MX" w:eastAsia="es-ES"/>
        </w:rPr>
        <w:lastRenderedPageBreak/>
        <w:t>es utilizado para la venta de cerveza y cobro en taquilla, no localizando ingresos por estos conceptos, así como por el arrendamiento del local correspondiente a los meses de abril a noviembre de 2010.</w:t>
      </w:r>
    </w:p>
    <w:p w:rsidR="0085460A" w:rsidRPr="008E5CBE" w:rsidRDefault="00622F82" w:rsidP="00622F82">
      <w:pPr>
        <w:spacing w:line="360" w:lineRule="auto"/>
        <w:ind w:firstLine="708"/>
        <w:jc w:val="both"/>
        <w:rPr>
          <w:rFonts w:ascii="Arial" w:hAnsi="Arial" w:cs="Arial"/>
          <w:lang w:val="es-MX" w:eastAsia="es-ES"/>
        </w:rPr>
      </w:pPr>
      <w:r w:rsidRPr="008E5CBE">
        <w:rPr>
          <w:rFonts w:ascii="Arial" w:hAnsi="Arial" w:cs="Arial"/>
          <w:lang w:val="es-MX" w:eastAsia="es-ES"/>
        </w:rPr>
        <w:t xml:space="preserve">En lo correspondiente a </w:t>
      </w:r>
      <w:r w:rsidRPr="008E5CBE">
        <w:rPr>
          <w:rFonts w:ascii="Arial" w:hAnsi="Arial" w:cs="Arial"/>
          <w:b/>
          <w:lang w:val="es-MX" w:eastAsia="es-ES"/>
        </w:rPr>
        <w:t xml:space="preserve">Egresos </w:t>
      </w:r>
      <w:r w:rsidRPr="008E5CBE">
        <w:rPr>
          <w:rFonts w:ascii="Arial" w:hAnsi="Arial" w:cs="Arial"/>
          <w:lang w:val="es-MX" w:eastAsia="es-ES"/>
        </w:rPr>
        <w:t xml:space="preserve">en lo </w:t>
      </w:r>
      <w:r w:rsidRPr="008E5CBE">
        <w:rPr>
          <w:rFonts w:ascii="Arial" w:hAnsi="Arial" w:cs="Arial"/>
          <w:b/>
          <w:lang w:val="es-MX" w:eastAsia="es-ES"/>
        </w:rPr>
        <w:t xml:space="preserve">General </w:t>
      </w:r>
      <w:r w:rsidRPr="008E5CBE">
        <w:rPr>
          <w:rFonts w:ascii="Arial" w:hAnsi="Arial" w:cs="Arial"/>
          <w:lang w:val="es-MX" w:eastAsia="es-ES"/>
        </w:rPr>
        <w:t>no se localizó la documentación comprobatoria que reúna los requisitos fiscales previamente establecidos, que justifiquen las erogaciones registradas por valor de $62,820.00.</w:t>
      </w:r>
    </w:p>
    <w:p w:rsidR="00622F82" w:rsidRPr="008E5CBE" w:rsidRDefault="00622F82" w:rsidP="00622F82">
      <w:pPr>
        <w:spacing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Servicios Personales</w:t>
      </w:r>
      <w:r w:rsidRPr="008E5CBE">
        <w:rPr>
          <w:rFonts w:ascii="Arial" w:hAnsi="Arial" w:cs="Arial"/>
          <w:lang w:val="es-MX" w:eastAsia="es-ES"/>
        </w:rPr>
        <w:t xml:space="preserve"> relativo a </w:t>
      </w:r>
      <w:r w:rsidRPr="008E5CBE">
        <w:rPr>
          <w:rFonts w:ascii="Arial" w:hAnsi="Arial" w:cs="Arial"/>
          <w:b/>
          <w:lang w:val="es-MX" w:eastAsia="es-ES"/>
        </w:rPr>
        <w:t xml:space="preserve">Honorarios </w:t>
      </w:r>
      <w:r w:rsidRPr="008E5CBE">
        <w:rPr>
          <w:rFonts w:ascii="Arial" w:hAnsi="Arial" w:cs="Arial"/>
          <w:lang w:val="es-MX" w:eastAsia="es-ES"/>
        </w:rPr>
        <w:t>se registraron erogaciones por la cantidad $174,750.00 a favor de un proveedor, las cuales fueron amparadas con contrato de prestación de servicios y recibos de honorarios por concepto de asesoría al personal de seguridad pública, no localizando evidencia documental que permita confirmar y acreditar la efectiva prestación de los servicios, ni requisiciones o solicitudes que amparen los egresos registrados. Además se registró póliza de cheque No. 15454 de fecha 29 de junio de 2010 por la cantidad de $9,860 a favor de un proveedor por concepto de elaboración de avaluó de un terreno ubicado en el Fraccionamiento las Bugambilias 2do. Sector en proceso de urbanización, la cual se encuentra soportada con fact. No. 706, no localizando ni siendo exhibida durante la auditoría evidencia documental que permita confirmar y acreditar la efectiva prestación del servicio.</w:t>
      </w:r>
    </w:p>
    <w:p w:rsidR="004A317C" w:rsidRPr="008E5CBE" w:rsidRDefault="00622F82" w:rsidP="00914506">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Se registraron pólizas de cheques No. 15657, 15897 y 16641 de fechas 20 y 29 de julio y 11 de octubre de 2010 por la cantidad de $58,000</w:t>
      </w:r>
      <w:r w:rsidR="004A317C" w:rsidRPr="008E5CBE">
        <w:rPr>
          <w:rFonts w:ascii="Arial" w:hAnsi="Arial" w:cs="Arial"/>
          <w:lang w:val="es-MX" w:eastAsia="es-ES"/>
        </w:rPr>
        <w:t>.00</w:t>
      </w:r>
      <w:r w:rsidRPr="008E5CBE">
        <w:rPr>
          <w:rFonts w:ascii="Arial" w:hAnsi="Arial" w:cs="Arial"/>
          <w:lang w:val="es-MX" w:eastAsia="es-ES"/>
        </w:rPr>
        <w:t xml:space="preserve"> a favor de Alvarado, Arangua, Caballero y Asociados, S.C. por concepto de honorarios profesionales por asesoría legal y jurídica de los meses de febrero a junio de 2010, soportadas con contrato de prestación de servicios sin firmas, reporte de actividades y factura No. 572 emitida por Alvarado, Vargas y Asociados, S.C., detectando que la razón social de dicho comprobante y del contrato es distinta al </w:t>
      </w:r>
      <w:r w:rsidR="004A317C" w:rsidRPr="008E5CBE">
        <w:rPr>
          <w:rFonts w:ascii="Arial" w:hAnsi="Arial" w:cs="Arial"/>
          <w:lang w:val="es-MX" w:eastAsia="es-ES"/>
        </w:rPr>
        <w:t xml:space="preserve">del beneficiario de los cheques, </w:t>
      </w:r>
      <w:r w:rsidR="004A317C" w:rsidRPr="008E5CBE">
        <w:rPr>
          <w:rFonts w:ascii="Arial" w:hAnsi="Arial" w:cs="Arial"/>
          <w:lang w:val="es-MX" w:eastAsia="es-ES"/>
        </w:rPr>
        <w:lastRenderedPageBreak/>
        <w:t>además, no se localizó ni fue exhibida evidencia documental que permita</w:t>
      </w:r>
      <w:r w:rsidR="00914506" w:rsidRPr="008E5CBE">
        <w:rPr>
          <w:rFonts w:ascii="Arial" w:hAnsi="Arial" w:cs="Arial"/>
          <w:lang w:val="es-MX" w:eastAsia="es-ES"/>
        </w:rPr>
        <w:t xml:space="preserve"> </w:t>
      </w:r>
      <w:r w:rsidR="004A317C" w:rsidRPr="008E5CBE">
        <w:rPr>
          <w:rFonts w:ascii="Arial" w:hAnsi="Arial" w:cs="Arial"/>
          <w:lang w:val="es-MX" w:eastAsia="es-ES"/>
        </w:rPr>
        <w:t>confirmar y acreditar las actividades desarrolladas que justifique los pagos efectuados.</w:t>
      </w:r>
    </w:p>
    <w:p w:rsidR="00914506" w:rsidRPr="008E5CBE" w:rsidRDefault="00914506" w:rsidP="004A317C">
      <w:pPr>
        <w:autoSpaceDE w:val="0"/>
        <w:autoSpaceDN w:val="0"/>
        <w:adjustRightInd w:val="0"/>
        <w:spacing w:after="0" w:line="360" w:lineRule="auto"/>
        <w:jc w:val="both"/>
        <w:rPr>
          <w:rFonts w:ascii="Arial" w:hAnsi="Arial" w:cs="Arial"/>
          <w:lang w:val="es-MX" w:eastAsia="es-ES"/>
        </w:rPr>
      </w:pPr>
    </w:p>
    <w:p w:rsidR="00914506" w:rsidRPr="008E5CBE" w:rsidRDefault="00914506" w:rsidP="004A317C">
      <w:pPr>
        <w:autoSpaceDE w:val="0"/>
        <w:autoSpaceDN w:val="0"/>
        <w:adjustRightInd w:val="0"/>
        <w:spacing w:after="0" w:line="360" w:lineRule="auto"/>
        <w:jc w:val="both"/>
        <w:rPr>
          <w:rFonts w:ascii="Arial" w:hAnsi="Arial" w:cs="Arial"/>
          <w:lang w:val="es-MX" w:eastAsia="es-ES"/>
        </w:rPr>
      </w:pPr>
      <w:r w:rsidRPr="008E5CBE">
        <w:rPr>
          <w:rFonts w:ascii="Arial" w:hAnsi="Arial" w:cs="Arial"/>
          <w:lang w:val="es-MX" w:eastAsia="es-ES"/>
        </w:rPr>
        <w:tab/>
        <w:t>Así mismo en la póliza de cheque No. 15454 de fecha 29 de junio de 2010 a favor de un proveedor por concepto de elaboración de avaluó de un terreno ubicado en el fraccionamiento Bugambilias</w:t>
      </w:r>
      <w:r w:rsidR="00D1601A" w:rsidRPr="008E5CBE">
        <w:rPr>
          <w:rFonts w:ascii="Arial" w:hAnsi="Arial" w:cs="Arial"/>
          <w:lang w:val="es-MX" w:eastAsia="es-ES"/>
        </w:rPr>
        <w:t>, no fue localizada la evidencia documental que permita confirmar y acreditar la efectiva prestación del citado servicio, incumpliendo con lo establecido en la Ley de la materia.</w:t>
      </w:r>
    </w:p>
    <w:p w:rsidR="004A317C" w:rsidRPr="008E5CBE" w:rsidRDefault="004A317C" w:rsidP="004A317C">
      <w:pPr>
        <w:autoSpaceDE w:val="0"/>
        <w:autoSpaceDN w:val="0"/>
        <w:adjustRightInd w:val="0"/>
        <w:spacing w:after="0" w:line="360" w:lineRule="auto"/>
        <w:jc w:val="both"/>
        <w:rPr>
          <w:rFonts w:ascii="Arial" w:hAnsi="Arial" w:cs="Arial"/>
          <w:lang w:val="es-MX" w:eastAsia="es-ES"/>
        </w:rPr>
      </w:pPr>
    </w:p>
    <w:p w:rsidR="004A317C" w:rsidRPr="008E5CBE" w:rsidRDefault="004A317C" w:rsidP="004A317C">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Servicios Generales</w:t>
      </w:r>
      <w:r w:rsidRPr="008E5CBE">
        <w:rPr>
          <w:rFonts w:ascii="Arial" w:hAnsi="Arial" w:cs="Arial"/>
          <w:lang w:val="es-MX" w:eastAsia="es-ES"/>
        </w:rPr>
        <w:t xml:space="preserve"> relativo a </w:t>
      </w:r>
      <w:r w:rsidRPr="008E5CBE">
        <w:rPr>
          <w:rFonts w:ascii="Arial" w:hAnsi="Arial" w:cs="Arial"/>
          <w:b/>
          <w:lang w:val="es-MX" w:eastAsia="es-ES"/>
        </w:rPr>
        <w:t xml:space="preserve">Gastos de Viaje </w:t>
      </w:r>
      <w:r w:rsidRPr="008E5CBE">
        <w:rPr>
          <w:rFonts w:ascii="Arial" w:hAnsi="Arial" w:cs="Arial"/>
          <w:lang w:val="es-MX" w:eastAsia="es-ES"/>
        </w:rPr>
        <w:t>se registró póliza de cheque No. 13243 de fecha 28 de enero de 2010 por importe de $5,139.19, a favor de Viajes Turísticos Santiago, S.A. de C.V. por concepto de pago total de orden de servicio No. 16374 por valor de $10,289.19 por 3 boletos redondos a la Ciudad del México, mismos que no se utilizaron por cancelación de viaje, de acuerdo a contestación de esta Entidad al Órgano de fiscalización efectuada al comunicado de observaciones de cuenta pública del ejercicio 2009, no localizando talón de boletos de avión, escrito de la Agencia de viajes donde confirme sus políticas y condiciones para la cancelación de los boletos, ni evidencia documental que permita confirmar la fecha de solicitud y cancelación de los mismos, así como la persona autorizada para realizar dichas solicitudes que respalde dicha orden de servicio</w:t>
      </w:r>
    </w:p>
    <w:p w:rsidR="004A317C" w:rsidRPr="008E5CBE" w:rsidRDefault="004A317C" w:rsidP="004A317C">
      <w:pPr>
        <w:autoSpaceDE w:val="0"/>
        <w:autoSpaceDN w:val="0"/>
        <w:adjustRightInd w:val="0"/>
        <w:spacing w:after="0" w:line="360" w:lineRule="auto"/>
        <w:ind w:firstLine="708"/>
        <w:jc w:val="both"/>
        <w:rPr>
          <w:rFonts w:ascii="Arial" w:hAnsi="Arial" w:cs="Arial"/>
          <w:lang w:val="es-MX" w:eastAsia="es-ES"/>
        </w:rPr>
      </w:pPr>
    </w:p>
    <w:p w:rsidR="004A317C" w:rsidRPr="008E5CBE" w:rsidRDefault="004A317C" w:rsidP="004A317C">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lo correspondiente a </w:t>
      </w:r>
      <w:r w:rsidRPr="008E5CBE">
        <w:rPr>
          <w:rFonts w:ascii="Arial" w:hAnsi="Arial" w:cs="Arial"/>
          <w:b/>
          <w:lang w:val="es-MX" w:eastAsia="es-ES"/>
        </w:rPr>
        <w:t>Mantenimientos</w:t>
      </w:r>
      <w:r w:rsidRPr="008E5CBE">
        <w:rPr>
          <w:rFonts w:ascii="Arial" w:hAnsi="Arial" w:cs="Arial"/>
          <w:lang w:val="es-MX" w:eastAsia="es-ES"/>
        </w:rPr>
        <w:t xml:space="preserve"> en particular en lo referente a </w:t>
      </w:r>
      <w:r w:rsidRPr="008E5CBE">
        <w:rPr>
          <w:rFonts w:ascii="Arial" w:hAnsi="Arial" w:cs="Arial"/>
          <w:b/>
          <w:lang w:val="es-MX" w:eastAsia="es-ES"/>
        </w:rPr>
        <w:t xml:space="preserve">mantenimiento de mobiliario y equipo </w:t>
      </w:r>
      <w:r w:rsidRPr="008E5CBE">
        <w:rPr>
          <w:rFonts w:ascii="Arial" w:hAnsi="Arial" w:cs="Arial"/>
          <w:lang w:val="es-MX" w:eastAsia="es-ES"/>
        </w:rPr>
        <w:t xml:space="preserve">se registraron pólizas de cheques Nos. 13779 y 15350 de fechas 03 de marzo y 25 de junio de 2010 por las cantidades de $37,500.00 y $20,184.00 respectivamente, a favor de un proveedor siendo amparadas con facturas Nos. 14, 32 y 34 por concepto de excedente en copiado e impresión regular del mes de febrero y abril, operativo de Semana Santa y campaña contra el </w:t>
      </w:r>
      <w:r w:rsidRPr="008E5CBE">
        <w:rPr>
          <w:rFonts w:ascii="Arial" w:hAnsi="Arial" w:cs="Arial"/>
          <w:lang w:val="es-MX" w:eastAsia="es-ES"/>
        </w:rPr>
        <w:lastRenderedPageBreak/>
        <w:t>dengue, no localizando evidencia documental que permita confirmar y acreditar la efectiva prestación del servicio.</w:t>
      </w:r>
    </w:p>
    <w:p w:rsidR="00DE43FB" w:rsidRPr="008E5CBE" w:rsidRDefault="00DE43FB" w:rsidP="004A317C">
      <w:pPr>
        <w:autoSpaceDE w:val="0"/>
        <w:autoSpaceDN w:val="0"/>
        <w:adjustRightInd w:val="0"/>
        <w:spacing w:after="0" w:line="360" w:lineRule="auto"/>
        <w:ind w:firstLine="708"/>
        <w:jc w:val="both"/>
        <w:rPr>
          <w:rFonts w:ascii="Arial" w:hAnsi="Arial" w:cs="Arial"/>
          <w:lang w:val="es-MX" w:eastAsia="es-ES"/>
        </w:rPr>
      </w:pPr>
    </w:p>
    <w:p w:rsidR="00DE43FB" w:rsidRPr="008E5CBE" w:rsidRDefault="00DE43FB" w:rsidP="00F455E8">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Apoyos</w:t>
      </w:r>
      <w:r w:rsidRPr="008E5CBE">
        <w:rPr>
          <w:rFonts w:ascii="Arial" w:hAnsi="Arial" w:cs="Arial"/>
          <w:lang w:val="es-MX" w:eastAsia="es-ES"/>
        </w:rPr>
        <w:t xml:space="preserve"> en lo relativo a </w:t>
      </w:r>
      <w:r w:rsidRPr="008E5CBE">
        <w:rPr>
          <w:rFonts w:ascii="Arial" w:hAnsi="Arial" w:cs="Arial"/>
          <w:b/>
          <w:lang w:val="es-MX" w:eastAsia="es-ES"/>
        </w:rPr>
        <w:t xml:space="preserve">apoyos diversos </w:t>
      </w:r>
      <w:r w:rsidRPr="008E5CBE">
        <w:rPr>
          <w:rFonts w:ascii="Arial" w:hAnsi="Arial" w:cs="Arial"/>
          <w:lang w:val="es-MX" w:eastAsia="es-ES"/>
        </w:rPr>
        <w:t xml:space="preserve">se registró póliza de cheque No. 16840 de fecha 29 de octubre de 2010 por importe de $20,000.00 a favor de un proveedor por concepto 1,000 paquetes escolares para estudiantes de escasos recursos, no localizando póliza de cheque y su respectiva documentación comprobatoria. En lo correspondiente a los </w:t>
      </w:r>
      <w:r w:rsidRPr="008E5CBE">
        <w:rPr>
          <w:rFonts w:ascii="Arial" w:hAnsi="Arial" w:cs="Arial"/>
          <w:b/>
          <w:lang w:val="es-MX" w:eastAsia="es-ES"/>
        </w:rPr>
        <w:t xml:space="preserve">apoyos económicos a personas de escasos recursos </w:t>
      </w:r>
      <w:r w:rsidRPr="008E5CBE">
        <w:rPr>
          <w:rFonts w:ascii="Arial" w:hAnsi="Arial" w:cs="Arial"/>
          <w:lang w:val="es-MX" w:eastAsia="es-ES"/>
        </w:rPr>
        <w:t>se registraron pólizas de cheques Nos. 13013, 13405, 13881, 14289, 14768, 15287, 15655 y 16135 de los meses de enero a agosto de 2010 por un monto de $30,000</w:t>
      </w:r>
      <w:r w:rsidR="00961459" w:rsidRPr="008E5CBE">
        <w:rPr>
          <w:rFonts w:ascii="Arial" w:hAnsi="Arial" w:cs="Arial"/>
          <w:lang w:val="es-MX" w:eastAsia="es-ES"/>
        </w:rPr>
        <w:t>.00</w:t>
      </w:r>
      <w:r w:rsidRPr="008E5CBE">
        <w:rPr>
          <w:rFonts w:ascii="Arial" w:hAnsi="Arial" w:cs="Arial"/>
          <w:lang w:val="es-MX" w:eastAsia="es-ES"/>
        </w:rPr>
        <w:t xml:space="preserve"> a favor de un particular, por concepto de apoyo a persona de escasos recursos para el pago de renta de los meses citados, las cuales fueron amparadas con contrato de arrendamiento, recibos internos, ficha de diagnóstico socioeconómico y fotocopia de credencial de elector del beneficiario, no localizando documentación comprobatoria que reúna los requisitos fiscales establecidos con anterioridad, de la misma manera se registraron pólizas de cheques Nos.13011, 13403, 13879, 14296, 14770, 15288, 15656,16134, 16570 y 16722 de los meses de enero a agosto y octubre de 2010 por un monto de $15,600</w:t>
      </w:r>
      <w:r w:rsidR="00961459" w:rsidRPr="008E5CBE">
        <w:rPr>
          <w:rFonts w:ascii="Arial" w:hAnsi="Arial" w:cs="Arial"/>
          <w:lang w:val="es-MX" w:eastAsia="es-ES"/>
        </w:rPr>
        <w:t>.00</w:t>
      </w:r>
      <w:r w:rsidRPr="008E5CBE">
        <w:rPr>
          <w:rFonts w:ascii="Arial" w:hAnsi="Arial" w:cs="Arial"/>
          <w:lang w:val="es-MX" w:eastAsia="es-ES"/>
        </w:rPr>
        <w:t xml:space="preserve"> a favor de una particular, por concepto de apoyo a persona de escasos recursos para el pago de renta de los meses citados, las cuales fueron amparadas con contrato de arrendamiento, recibos internos, ficha de diagnóstico socioeconómico y fotocopia de credencial de elector del beneficiario, no localizando documentación comprobatoria que reúna los requisitos fiscales establecidos previamente establecidos.</w:t>
      </w:r>
    </w:p>
    <w:p w:rsidR="00DE43FB" w:rsidRPr="008E5CBE" w:rsidRDefault="00DE43FB" w:rsidP="00DE43FB">
      <w:pPr>
        <w:autoSpaceDE w:val="0"/>
        <w:autoSpaceDN w:val="0"/>
        <w:adjustRightInd w:val="0"/>
        <w:spacing w:after="0" w:line="360" w:lineRule="auto"/>
        <w:jc w:val="both"/>
        <w:rPr>
          <w:rFonts w:ascii="Arial" w:hAnsi="Arial" w:cs="Arial"/>
          <w:lang w:val="es-MX" w:eastAsia="es-ES"/>
        </w:rPr>
      </w:pPr>
    </w:p>
    <w:p w:rsidR="00DE43FB" w:rsidRPr="008E5CBE" w:rsidRDefault="00DE43FB" w:rsidP="00DE43FB">
      <w:pPr>
        <w:autoSpaceDE w:val="0"/>
        <w:autoSpaceDN w:val="0"/>
        <w:adjustRightInd w:val="0"/>
        <w:spacing w:after="0" w:line="360" w:lineRule="auto"/>
        <w:jc w:val="both"/>
        <w:rPr>
          <w:rFonts w:ascii="Arial" w:hAnsi="Arial" w:cs="Arial"/>
          <w:lang w:val="es-MX" w:eastAsia="es-ES"/>
        </w:rPr>
      </w:pPr>
      <w:r w:rsidRPr="008E5CBE">
        <w:rPr>
          <w:rFonts w:ascii="Arial" w:hAnsi="Arial" w:cs="Arial"/>
          <w:lang w:val="es-MX" w:eastAsia="es-ES"/>
        </w:rPr>
        <w:t>Se registraron pólizas de cheques Nos. 13108, 13537, 13878, 14303, 14767, 15263, 15696, 16138, 16744,17076 y 17378 de los meses de febrero a agosto y de octubre a diciembre de 2010 por un monto de $27,500</w:t>
      </w:r>
      <w:r w:rsidR="00961459" w:rsidRPr="008E5CBE">
        <w:rPr>
          <w:rFonts w:ascii="Arial" w:hAnsi="Arial" w:cs="Arial"/>
          <w:lang w:val="es-MX" w:eastAsia="es-ES"/>
        </w:rPr>
        <w:t>.00</w:t>
      </w:r>
      <w:r w:rsidRPr="008E5CBE">
        <w:rPr>
          <w:rFonts w:ascii="Arial" w:hAnsi="Arial" w:cs="Arial"/>
          <w:lang w:val="es-MX" w:eastAsia="es-ES"/>
        </w:rPr>
        <w:t xml:space="preserve"> a favor de la Asociación de Discapacitados Valle del Pilón AC, por concepto de apoyo a persona de escasos </w:t>
      </w:r>
      <w:r w:rsidRPr="008E5CBE">
        <w:rPr>
          <w:rFonts w:ascii="Arial" w:hAnsi="Arial" w:cs="Arial"/>
          <w:lang w:val="es-MX" w:eastAsia="es-ES"/>
        </w:rPr>
        <w:lastRenderedPageBreak/>
        <w:t>recursos para el pago de renta de los meses citados, los cuales fueron amparadas con copia de acta de cabildo No. 12, recibos internos, fotocopia de credencial de elector del C. Franklin Caldera Rodríguez, no localizando documentación comprobatoria que reúna los requisitos fiscales establecidos</w:t>
      </w:r>
      <w:r w:rsidR="00961459" w:rsidRPr="008E5CBE">
        <w:rPr>
          <w:rFonts w:ascii="Arial" w:hAnsi="Arial" w:cs="Arial"/>
          <w:lang w:val="es-MX" w:eastAsia="es-ES"/>
        </w:rPr>
        <w:t xml:space="preserve"> con anterioridad.</w:t>
      </w:r>
    </w:p>
    <w:p w:rsidR="00961459" w:rsidRPr="008E5CBE" w:rsidRDefault="00961459" w:rsidP="00DE43FB">
      <w:pPr>
        <w:autoSpaceDE w:val="0"/>
        <w:autoSpaceDN w:val="0"/>
        <w:adjustRightInd w:val="0"/>
        <w:spacing w:after="0" w:line="360" w:lineRule="auto"/>
        <w:jc w:val="both"/>
        <w:rPr>
          <w:rFonts w:ascii="Arial" w:hAnsi="Arial" w:cs="Arial"/>
          <w:lang w:val="es-MX" w:eastAsia="es-ES"/>
        </w:rPr>
      </w:pPr>
    </w:p>
    <w:p w:rsidR="00DE43FB" w:rsidRPr="008E5CBE" w:rsidRDefault="00961459" w:rsidP="00961459">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concepto de </w:t>
      </w:r>
      <w:r w:rsidRPr="008E5CBE">
        <w:rPr>
          <w:rFonts w:ascii="Arial" w:hAnsi="Arial" w:cs="Arial"/>
          <w:b/>
          <w:lang w:val="es-MX" w:eastAsia="es-ES"/>
        </w:rPr>
        <w:t>Obras Publicas</w:t>
      </w:r>
      <w:r w:rsidRPr="008E5CBE">
        <w:rPr>
          <w:rFonts w:ascii="Arial" w:hAnsi="Arial" w:cs="Arial"/>
          <w:lang w:val="es-MX" w:eastAsia="es-ES"/>
        </w:rPr>
        <w:t xml:space="preserve"> relativo a </w:t>
      </w:r>
      <w:r w:rsidRPr="008E5CBE">
        <w:rPr>
          <w:rFonts w:ascii="Arial" w:hAnsi="Arial" w:cs="Arial"/>
          <w:b/>
          <w:lang w:val="es-MX" w:eastAsia="es-ES"/>
        </w:rPr>
        <w:t xml:space="preserve">Estudios y Proyectos </w:t>
      </w:r>
      <w:r w:rsidRPr="008E5CBE">
        <w:rPr>
          <w:rFonts w:ascii="Arial" w:hAnsi="Arial" w:cs="Arial"/>
          <w:lang w:val="es-MX" w:eastAsia="es-ES"/>
        </w:rPr>
        <w:t>se registró póliza de cheque No. 13781 de fecha 03 de marzo de 2010 por la cantidad de $11,600.00, a favor de Desarrollo Ejecutivo Multiempresarial, S.C. siendo soportada con factura No. 626 por concepto evaluación de la administración en los primeros 100 días y consulta de impactos de medios, no localizando ni siendo exhibida durante la auditoría contrato de prestación de servicio en la que se establezcan los derechos y obligaciones de las partes, ni evidencia documental que permita confirmar y acreditar los trabajos desarrollados.</w:t>
      </w:r>
    </w:p>
    <w:p w:rsidR="00961459" w:rsidRPr="008E5CBE" w:rsidRDefault="00961459" w:rsidP="00961459">
      <w:pPr>
        <w:autoSpaceDE w:val="0"/>
        <w:autoSpaceDN w:val="0"/>
        <w:adjustRightInd w:val="0"/>
        <w:spacing w:after="0" w:line="360" w:lineRule="auto"/>
        <w:jc w:val="both"/>
        <w:rPr>
          <w:rFonts w:ascii="Arial" w:hAnsi="Arial" w:cs="Arial"/>
          <w:lang w:val="es-MX" w:eastAsia="es-ES"/>
        </w:rPr>
      </w:pPr>
    </w:p>
    <w:p w:rsidR="00961459" w:rsidRPr="008E5CBE" w:rsidRDefault="00961459" w:rsidP="00961459">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Disponibilidad</w:t>
      </w:r>
      <w:r w:rsidRPr="008E5CBE">
        <w:rPr>
          <w:rFonts w:ascii="Arial" w:hAnsi="Arial" w:cs="Arial"/>
          <w:lang w:val="es-MX" w:eastAsia="es-ES"/>
        </w:rPr>
        <w:t xml:space="preserve"> en lo relativo a </w:t>
      </w:r>
      <w:r w:rsidRPr="008E5CBE">
        <w:rPr>
          <w:rFonts w:ascii="Arial" w:hAnsi="Arial" w:cs="Arial"/>
          <w:b/>
          <w:lang w:val="es-MX" w:eastAsia="es-ES"/>
        </w:rPr>
        <w:t>Cuentas por Pagar</w:t>
      </w:r>
      <w:r w:rsidRPr="008E5CBE">
        <w:rPr>
          <w:rFonts w:ascii="Arial" w:hAnsi="Arial" w:cs="Arial"/>
          <w:lang w:val="es-MX" w:eastAsia="es-ES"/>
        </w:rPr>
        <w:t xml:space="preserve">, </w:t>
      </w:r>
      <w:r w:rsidRPr="008E5CBE">
        <w:rPr>
          <w:rFonts w:ascii="Arial" w:hAnsi="Arial" w:cs="Arial"/>
          <w:b/>
          <w:lang w:val="es-MX" w:eastAsia="es-ES"/>
        </w:rPr>
        <w:t xml:space="preserve">ISR retenido al Personal </w:t>
      </w:r>
      <w:r w:rsidRPr="008E5CBE">
        <w:rPr>
          <w:rFonts w:ascii="Arial" w:hAnsi="Arial" w:cs="Arial"/>
          <w:lang w:val="es-MX" w:eastAsia="es-ES"/>
        </w:rPr>
        <w:t>no se localizó documentación que respalden los pagos pendientes del Impuesto sobre la Renta retenido al personal en los ejercicios 2006, 2007, 2008 y de los meses de septiembre a diciembre del 2009, así como los correspondientes al ejercicio 2010 por las cantidades de $692,527.00, $3,781,150.00, $3,835,370.00, $1,956,021.00 y $3,022,029.00 respectivamente, que debieron presentarse ante el Servicio de Administración Tributaria (SAT).</w:t>
      </w:r>
    </w:p>
    <w:p w:rsidR="00961459" w:rsidRPr="008E5CBE" w:rsidRDefault="00961459" w:rsidP="00961459">
      <w:pPr>
        <w:autoSpaceDE w:val="0"/>
        <w:autoSpaceDN w:val="0"/>
        <w:adjustRightInd w:val="0"/>
        <w:spacing w:after="0" w:line="360" w:lineRule="auto"/>
        <w:ind w:firstLine="708"/>
        <w:jc w:val="both"/>
        <w:rPr>
          <w:rFonts w:ascii="Arial" w:hAnsi="Arial" w:cs="Arial"/>
          <w:lang w:val="es-MX" w:eastAsia="es-ES"/>
        </w:rPr>
      </w:pPr>
    </w:p>
    <w:p w:rsidR="00DE43FB" w:rsidRPr="008E5CBE" w:rsidRDefault="00961459" w:rsidP="00961459">
      <w:pPr>
        <w:autoSpaceDE w:val="0"/>
        <w:autoSpaceDN w:val="0"/>
        <w:adjustRightInd w:val="0"/>
        <w:spacing w:after="0" w:line="360" w:lineRule="auto"/>
        <w:ind w:firstLine="708"/>
        <w:jc w:val="both"/>
        <w:rPr>
          <w:rFonts w:ascii="Arial" w:hAnsi="Arial" w:cs="Arial"/>
          <w:lang w:val="es-MX" w:eastAsia="es-ES"/>
        </w:rPr>
      </w:pPr>
      <w:r w:rsidRPr="008E5CBE">
        <w:rPr>
          <w:rFonts w:ascii="Arial" w:hAnsi="Arial" w:cs="Arial"/>
          <w:lang w:val="es-MX" w:eastAsia="es-ES"/>
        </w:rPr>
        <w:t xml:space="preserve">En el concepto de Patrimonio relativo a </w:t>
      </w:r>
      <w:r w:rsidRPr="008E5CBE">
        <w:rPr>
          <w:rFonts w:ascii="Arial" w:hAnsi="Arial" w:cs="Arial"/>
          <w:b/>
          <w:lang w:val="es-MX" w:eastAsia="es-ES"/>
        </w:rPr>
        <w:t>Bienes Muebles</w:t>
      </w:r>
      <w:r w:rsidRPr="008E5CBE">
        <w:rPr>
          <w:rFonts w:ascii="Arial" w:hAnsi="Arial" w:cs="Arial"/>
          <w:lang w:val="es-MX" w:eastAsia="es-ES"/>
        </w:rPr>
        <w:t xml:space="preserve"> en lo referente a </w:t>
      </w:r>
      <w:r w:rsidRPr="008E5CBE">
        <w:rPr>
          <w:rFonts w:ascii="Arial" w:hAnsi="Arial" w:cs="Arial"/>
          <w:b/>
          <w:lang w:val="es-MX" w:eastAsia="es-ES"/>
        </w:rPr>
        <w:t xml:space="preserve">Equipo de Transporte </w:t>
      </w:r>
      <w:r w:rsidRPr="008E5CBE">
        <w:rPr>
          <w:rFonts w:ascii="Arial" w:hAnsi="Arial" w:cs="Arial"/>
          <w:lang w:val="es-MX" w:eastAsia="es-ES"/>
        </w:rPr>
        <w:t>no se localizó ni fue exhibida durante la auditoría trámites de inscripción al Registro Público Vehicular de diversas unidades oficiales del municipio.</w:t>
      </w:r>
    </w:p>
    <w:p w:rsidR="00016716" w:rsidRPr="008E5CBE" w:rsidRDefault="00016716" w:rsidP="00961459">
      <w:pPr>
        <w:autoSpaceDE w:val="0"/>
        <w:autoSpaceDN w:val="0"/>
        <w:adjustRightInd w:val="0"/>
        <w:spacing w:after="0" w:line="360" w:lineRule="auto"/>
        <w:ind w:firstLine="708"/>
        <w:jc w:val="both"/>
        <w:rPr>
          <w:rFonts w:ascii="Arial" w:hAnsi="Arial" w:cs="Arial"/>
          <w:lang w:val="es-MX" w:eastAsia="es-ES"/>
        </w:rPr>
      </w:pPr>
    </w:p>
    <w:p w:rsidR="006F06DE" w:rsidRPr="008E5CBE" w:rsidRDefault="006F06DE" w:rsidP="006F06DE">
      <w:pPr>
        <w:autoSpaceDE w:val="0"/>
        <w:autoSpaceDN w:val="0"/>
        <w:adjustRightInd w:val="0"/>
        <w:spacing w:after="0" w:line="360" w:lineRule="auto"/>
        <w:ind w:firstLine="708"/>
        <w:jc w:val="both"/>
        <w:rPr>
          <w:rFonts w:ascii="Arial" w:hAnsi="Arial" w:cs="Arial"/>
          <w:b/>
          <w:lang w:val="es-MX" w:eastAsia="es-ES"/>
        </w:rPr>
      </w:pPr>
      <w:r w:rsidRPr="008E5CBE">
        <w:rPr>
          <w:rFonts w:ascii="Arial" w:hAnsi="Arial" w:cs="Arial"/>
          <w:lang w:val="es-MX" w:eastAsia="es-ES"/>
        </w:rPr>
        <w:t xml:space="preserve">En el rubro de </w:t>
      </w:r>
      <w:r w:rsidRPr="008E5CBE">
        <w:rPr>
          <w:rFonts w:ascii="Arial" w:hAnsi="Arial" w:cs="Arial"/>
          <w:b/>
          <w:lang w:val="es-MX" w:eastAsia="es-ES"/>
        </w:rPr>
        <w:t>Obra Pública</w:t>
      </w:r>
      <w:r w:rsidRPr="008E5CBE">
        <w:rPr>
          <w:rFonts w:ascii="Arial" w:hAnsi="Arial" w:cs="Arial"/>
          <w:lang w:val="es-MX" w:eastAsia="es-ES"/>
        </w:rPr>
        <w:t xml:space="preserve"> relativo al </w:t>
      </w:r>
      <w:r w:rsidRPr="008E5CBE">
        <w:rPr>
          <w:rFonts w:ascii="Arial" w:hAnsi="Arial" w:cs="Arial"/>
          <w:b/>
          <w:lang w:val="es-MX" w:eastAsia="es-ES"/>
        </w:rPr>
        <w:t xml:space="preserve">Fondo de Infraestructura Social Municipal, Obras Infraestructura Social </w:t>
      </w:r>
      <w:r w:rsidRPr="008E5CBE">
        <w:rPr>
          <w:rFonts w:ascii="Arial" w:hAnsi="Arial" w:cs="Arial"/>
          <w:bCs/>
        </w:rPr>
        <w:t>en los expedientes</w:t>
      </w:r>
      <w:r w:rsidRPr="008E5CBE">
        <w:rPr>
          <w:rFonts w:ascii="Arial" w:hAnsi="Arial" w:cs="Arial"/>
          <w:b/>
          <w:bCs/>
        </w:rPr>
        <w:t xml:space="preserve"> GMM-ISA-SOP-05/10-</w:t>
      </w:r>
      <w:r w:rsidRPr="008E5CBE">
        <w:rPr>
          <w:rFonts w:ascii="Arial" w:hAnsi="Arial" w:cs="Arial"/>
          <w:b/>
          <w:bCs/>
        </w:rPr>
        <w:lastRenderedPageBreak/>
        <w:t xml:space="preserve">IR </w:t>
      </w:r>
      <w:r w:rsidRPr="008E5CBE">
        <w:rPr>
          <w:rFonts w:ascii="Arial" w:hAnsi="Arial" w:cs="Arial"/>
          <w:bCs/>
        </w:rPr>
        <w:t>[A) Concreto hidráulico en calle Jazmín, entre calle Orquídea y Plaza Municipal, Colonia Morelos ll, B)];</w:t>
      </w:r>
      <w:r w:rsidRPr="008E5CBE">
        <w:rPr>
          <w:rFonts w:ascii="Arial" w:hAnsi="Arial" w:cs="Arial"/>
          <w:b/>
          <w:bCs/>
        </w:rPr>
        <w:t xml:space="preserve"> GMM-IS-SOP-06/10-IR </w:t>
      </w:r>
      <w:r w:rsidRPr="008E5CBE">
        <w:rPr>
          <w:rFonts w:ascii="Arial" w:hAnsi="Arial" w:cs="Arial"/>
          <w:bCs/>
        </w:rPr>
        <w:t>(Construcción de puente vado sobre Arroyo El Galeme, Comunidad El Galeme);</w:t>
      </w:r>
      <w:r w:rsidRPr="008E5CBE">
        <w:rPr>
          <w:rFonts w:ascii="Arial" w:hAnsi="Arial" w:cs="Arial"/>
          <w:b/>
          <w:bCs/>
        </w:rPr>
        <w:t xml:space="preserve"> GMM-ISA-SOP-04/10-IR </w:t>
      </w:r>
      <w:r w:rsidRPr="008E5CBE">
        <w:rPr>
          <w:rFonts w:ascii="Arial" w:hAnsi="Arial" w:cs="Arial"/>
          <w:bCs/>
        </w:rPr>
        <w:t>(Pavimentación asfáltica de calle Terminal, entre Armendáriz y Privada Capellanía y calle 2 de Abril, de calle Armendáriz a Primera de Oriente, Barrio Jalisco);</w:t>
      </w:r>
      <w:r w:rsidRPr="008E5CBE">
        <w:rPr>
          <w:rFonts w:ascii="Arial" w:hAnsi="Arial" w:cs="Arial"/>
          <w:b/>
          <w:bCs/>
        </w:rPr>
        <w:t xml:space="preserve"> GMM-ISA-SOP-06/10-IR </w:t>
      </w:r>
      <w:r w:rsidRPr="008E5CBE">
        <w:rPr>
          <w:rFonts w:ascii="Arial" w:hAnsi="Arial" w:cs="Arial"/>
          <w:bCs/>
        </w:rPr>
        <w:t>(Construcción de plaza, en Colonia Burócratas Municipales);</w:t>
      </w:r>
      <w:r w:rsidRPr="008E5CBE">
        <w:rPr>
          <w:rFonts w:ascii="Arial" w:hAnsi="Arial" w:cs="Arial"/>
          <w:b/>
          <w:bCs/>
        </w:rPr>
        <w:t xml:space="preserve"> GMM-IS-SOP-11/10-IR (</w:t>
      </w:r>
      <w:r w:rsidRPr="008E5CBE">
        <w:rPr>
          <w:rFonts w:ascii="Arial" w:hAnsi="Arial" w:cs="Arial"/>
          <w:bCs/>
        </w:rPr>
        <w:t>Pavimentación asfáltica Obras A) calle Pedro Vaquero, entre calles 20 de Noviembre y Juan de Dios Esparza y B) calle Juan de Dios Esparza, de calle Pedro Vaquero a calle Ley del Servicio Civil, Colonia Burócratas Municipales);</w:t>
      </w:r>
      <w:r w:rsidRPr="008E5CBE">
        <w:rPr>
          <w:rFonts w:ascii="Arial" w:hAnsi="Arial" w:cs="Arial"/>
          <w:b/>
          <w:bCs/>
        </w:rPr>
        <w:t xml:space="preserve"> GMM-IS-SOP-10/10-IR </w:t>
      </w:r>
      <w:r w:rsidRPr="008E5CBE">
        <w:rPr>
          <w:rFonts w:ascii="Arial" w:hAnsi="Arial" w:cs="Arial"/>
          <w:bCs/>
        </w:rPr>
        <w:t>(Pavimentación asfáltica en Avenida Buenos Aires, entre Oleoducto y calle Sin Nombre, Colonia Buenos Aires);</w:t>
      </w:r>
      <w:r w:rsidRPr="008E5CBE">
        <w:rPr>
          <w:rFonts w:ascii="Arial" w:hAnsi="Arial" w:cs="Arial"/>
        </w:rPr>
        <w:t xml:space="preserve"> 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p>
    <w:p w:rsidR="006F06DE" w:rsidRPr="008E5CBE" w:rsidRDefault="006F06DE" w:rsidP="006F06DE">
      <w:pPr>
        <w:autoSpaceDE w:val="0"/>
        <w:autoSpaceDN w:val="0"/>
        <w:adjustRightInd w:val="0"/>
        <w:spacing w:after="0" w:line="360" w:lineRule="auto"/>
        <w:jc w:val="both"/>
        <w:rPr>
          <w:rFonts w:ascii="Arial" w:hAnsi="Arial" w:cs="Arial"/>
        </w:rPr>
      </w:pPr>
    </w:p>
    <w:p w:rsidR="006F06DE" w:rsidRPr="008E5CBE" w:rsidRDefault="006F06DE" w:rsidP="006F06DE">
      <w:pPr>
        <w:autoSpaceDE w:val="0"/>
        <w:autoSpaceDN w:val="0"/>
        <w:adjustRightInd w:val="0"/>
        <w:spacing w:after="0" w:line="360" w:lineRule="auto"/>
        <w:ind w:firstLine="708"/>
        <w:jc w:val="both"/>
        <w:rPr>
          <w:rFonts w:ascii="Arial" w:hAnsi="Arial" w:cs="Arial"/>
        </w:rPr>
      </w:pPr>
      <w:r w:rsidRPr="008E5CBE">
        <w:rPr>
          <w:rFonts w:ascii="Arial" w:hAnsi="Arial" w:cs="Arial"/>
          <w:bCs/>
        </w:rPr>
        <w:t xml:space="preserve">En el rubro de </w:t>
      </w:r>
      <w:r w:rsidRPr="008E5CBE">
        <w:rPr>
          <w:rFonts w:ascii="Arial" w:hAnsi="Arial" w:cs="Arial"/>
          <w:b/>
          <w:bCs/>
        </w:rPr>
        <w:t>Desarrollo Urbano</w:t>
      </w:r>
      <w:r w:rsidRPr="008E5CBE">
        <w:rPr>
          <w:rFonts w:ascii="Arial" w:hAnsi="Arial" w:cs="Arial"/>
          <w:bCs/>
        </w:rPr>
        <w:t xml:space="preserve"> en el documento </w:t>
      </w:r>
      <w:r w:rsidRPr="008E5CBE">
        <w:rPr>
          <w:rFonts w:ascii="Arial" w:hAnsi="Arial" w:cs="Arial"/>
          <w:b/>
          <w:bCs/>
        </w:rPr>
        <w:t xml:space="preserve">S/E (Revisión de Planes y Programas de Desarrollo Urbano y su Zonificación, así como de los Reglamentos Municipales de Zonificación y Construcción); </w:t>
      </w:r>
      <w:r w:rsidRPr="008E5CBE">
        <w:rPr>
          <w:rFonts w:ascii="Arial" w:hAnsi="Arial" w:cs="Arial"/>
        </w:rPr>
        <w:t xml:space="preserve">no se localizó ni fue exhibida durante la auditoría, la documentación que acredite que los Planes de Desarrollo Urbano Municipal y de Centro de Población, fueron revisados a efecto de confirmarlos o modificarlos, tampoco se </w:t>
      </w:r>
      <w:r w:rsidR="008E5CBE" w:rsidRPr="008E5CBE">
        <w:rPr>
          <w:rFonts w:ascii="Arial" w:hAnsi="Arial" w:cs="Arial"/>
        </w:rPr>
        <w:t>localizó</w:t>
      </w:r>
      <w:r w:rsidRPr="008E5CBE">
        <w:rPr>
          <w:rFonts w:ascii="Arial" w:hAnsi="Arial" w:cs="Arial"/>
        </w:rPr>
        <w:t xml:space="preserve"> la documentación comprobatoria de las reformas que en su caso hubiere promovido esa entidad, a efecto de ajustar el Reglamento de Zonificación de ese Municipio</w:t>
      </w:r>
      <w:r w:rsidR="001A5212" w:rsidRPr="008E5CBE">
        <w:rPr>
          <w:rFonts w:ascii="Arial" w:hAnsi="Arial" w:cs="Arial"/>
        </w:rPr>
        <w:t>, así mismo no se localizó la documentación comprobatoria de las reformas que en su caso hubiere promovido ese Municipio de acuerdo con lo establecido en la Ley de la materia.</w:t>
      </w:r>
    </w:p>
    <w:p w:rsidR="006F06DE" w:rsidRPr="008E5CBE" w:rsidRDefault="006F06DE" w:rsidP="006F06DE">
      <w:pPr>
        <w:autoSpaceDE w:val="0"/>
        <w:autoSpaceDN w:val="0"/>
        <w:adjustRightInd w:val="0"/>
        <w:spacing w:after="0" w:line="360" w:lineRule="auto"/>
        <w:ind w:firstLine="708"/>
        <w:jc w:val="both"/>
        <w:rPr>
          <w:rFonts w:ascii="Arial" w:hAnsi="Arial" w:cs="Arial"/>
        </w:rPr>
      </w:pPr>
    </w:p>
    <w:p w:rsidR="006F06DE" w:rsidRPr="008E5CBE" w:rsidRDefault="006F06DE" w:rsidP="006F06DE">
      <w:pPr>
        <w:autoSpaceDE w:val="0"/>
        <w:autoSpaceDN w:val="0"/>
        <w:adjustRightInd w:val="0"/>
        <w:spacing w:after="0" w:line="360" w:lineRule="auto"/>
        <w:ind w:firstLine="708"/>
        <w:jc w:val="both"/>
        <w:rPr>
          <w:rFonts w:ascii="Arial" w:hAnsi="Arial" w:cs="Arial"/>
        </w:rPr>
      </w:pPr>
      <w:r w:rsidRPr="008E5CBE">
        <w:rPr>
          <w:rFonts w:ascii="Arial" w:hAnsi="Arial" w:cs="Arial"/>
        </w:rPr>
        <w:lastRenderedPageBreak/>
        <w:t xml:space="preserve">En el concepto de </w:t>
      </w:r>
      <w:r w:rsidRPr="008E5CBE">
        <w:rPr>
          <w:rFonts w:ascii="Arial" w:hAnsi="Arial" w:cs="Arial"/>
          <w:b/>
        </w:rPr>
        <w:t>PROFIS</w:t>
      </w:r>
      <w:r w:rsidRPr="008E5CBE">
        <w:rPr>
          <w:rFonts w:ascii="Arial" w:hAnsi="Arial" w:cs="Arial"/>
        </w:rPr>
        <w:t xml:space="preserve"> relativo a </w:t>
      </w:r>
      <w:r w:rsidRPr="008E5CBE">
        <w:rPr>
          <w:rFonts w:ascii="Arial" w:hAnsi="Arial" w:cs="Arial"/>
          <w:b/>
        </w:rPr>
        <w:t>Municipios, Egresos</w:t>
      </w:r>
      <w:r w:rsidRPr="008E5CBE">
        <w:rPr>
          <w:rFonts w:ascii="Arial" w:hAnsi="Arial" w:cs="Arial"/>
        </w:rPr>
        <w:t xml:space="preserve"> en particular en lo relacionado con el </w:t>
      </w:r>
      <w:r w:rsidRPr="008E5CBE">
        <w:rPr>
          <w:rFonts w:ascii="Arial" w:hAnsi="Arial" w:cs="Arial"/>
          <w:b/>
        </w:rPr>
        <w:t xml:space="preserve">Fondo para el Fortalecimiento Municipal </w:t>
      </w:r>
      <w:r w:rsidRPr="008E5CBE">
        <w:rPr>
          <w:rFonts w:ascii="Arial" w:hAnsi="Arial" w:cs="Arial"/>
        </w:rPr>
        <w:t xml:space="preserve">se registraron </w:t>
      </w:r>
      <w:r w:rsidRPr="008E5CBE">
        <w:rPr>
          <w:rFonts w:ascii="Arial" w:hAnsi="Arial" w:cs="Arial"/>
          <w:lang w:val="es-MX" w:eastAsia="es-ES"/>
        </w:rPr>
        <w:t>pagos por concepto de consumo de combustible a 7 vehículos del departamento de Seguridad Pública Municipal y Tránsito por importe de $70,118.00, efectuados con recursos del Fondo de Aportaciones para el Fortalecimiento Municipal y de las Demarcaciones Territoriales del Distrito Federal 2010, mismos que en inspección física no se localizó un vehículo y el resto se encuentran parcialmente desmantelados y en condiciones de abandono.</w:t>
      </w:r>
    </w:p>
    <w:p w:rsidR="00961459" w:rsidRPr="008E5CBE" w:rsidRDefault="00961459" w:rsidP="000F2EBE">
      <w:pPr>
        <w:autoSpaceDE w:val="0"/>
        <w:autoSpaceDN w:val="0"/>
        <w:adjustRightInd w:val="0"/>
        <w:spacing w:after="0" w:line="360" w:lineRule="auto"/>
        <w:jc w:val="both"/>
        <w:rPr>
          <w:rFonts w:ascii="Arial" w:hAnsi="Arial" w:cs="Arial"/>
          <w:b/>
          <w:lang w:val="es-MX" w:eastAsia="es-ES"/>
        </w:rPr>
      </w:pPr>
    </w:p>
    <w:p w:rsidR="00112CD2" w:rsidRPr="008E5CBE" w:rsidRDefault="00112CD2" w:rsidP="00112CD2">
      <w:pPr>
        <w:shd w:val="clear" w:color="auto" w:fill="FFFFFF"/>
        <w:spacing w:after="324" w:line="360" w:lineRule="auto"/>
        <w:ind w:firstLine="709"/>
        <w:jc w:val="both"/>
        <w:rPr>
          <w:rFonts w:ascii="Tahoma" w:eastAsia="Times New Roman" w:hAnsi="Tahoma" w:cs="Tahoma"/>
          <w:lang w:val="es-MX" w:eastAsia="es-MX"/>
        </w:rPr>
      </w:pPr>
      <w:r w:rsidRPr="008E5CBE">
        <w:rPr>
          <w:rFonts w:ascii="Arial" w:eastAsia="Times New Roman" w:hAnsi="Arial" w:cs="Arial"/>
          <w:b/>
          <w:bCs/>
          <w:lang w:eastAsia="es-MX"/>
        </w:rPr>
        <w:t xml:space="preserve">SEXTO: </w:t>
      </w:r>
      <w:r w:rsidRPr="008E5CBE">
        <w:rPr>
          <w:rFonts w:ascii="Arial" w:eastAsia="Times New Roman" w:hAnsi="Arial" w:cs="Arial"/>
          <w:lang w:eastAsia="es-MX"/>
        </w:rPr>
        <w:t>En el último apartado del informe de resultados, señala las solicitudes del H. Congreso del Estado, así como el resultado de las auditorías realizadas por el Órgano Técnico Fiscalizador.</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lang w:eastAsia="es-MX"/>
        </w:rPr>
        <w:t>En referencia al</w:t>
      </w:r>
      <w:r w:rsidRPr="008E5CBE">
        <w:rPr>
          <w:rFonts w:ascii="Arial" w:eastAsia="Times New Roman" w:hAnsi="Arial" w:cs="Arial"/>
          <w:b/>
          <w:bCs/>
          <w:lang w:eastAsia="es-MX"/>
        </w:rPr>
        <w:t xml:space="preserve"> </w:t>
      </w:r>
      <w:r w:rsidRPr="008E5CBE">
        <w:rPr>
          <w:rFonts w:ascii="Arial" w:eastAsia="Times New Roman" w:hAnsi="Arial" w:cs="Arial"/>
          <w:lang w:val="es-MX" w:eastAsia="es-MX"/>
        </w:rPr>
        <w:t>Acuerdo del Pleno y Dictamen de la Comisión Primera de Hacienda y Desarrollo Municipal de fecha 04 de abril de 2011, comunicado a la Auditoría Superior del Estado de Nuevo León, en fecha 6 de abril de 2011, por conducto de la Comisión de Vigilancia, mediante oficio No. C.V. 258/2011, solicitando, que en la revisión de las Cuentas Municipales correspondientes al Ejercicio Fiscal 2010, se pusiera especial atención en los procesos de modificación sobre el patrimonio municipal destinados al uso o aprovechamiento de instituciones de derecho público o privado.</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b/>
          <w:bCs/>
          <w:lang w:val="es-MX" w:eastAsia="es-MX"/>
        </w:rPr>
        <w:t>Objeto de la Revisión.</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lang w:val="es-MX" w:eastAsia="es-MX"/>
        </w:rPr>
        <w:t>Determinar si en los actos de disposición en favor de instituciones de derecho público o privado realizados por las administraciones públicas municipales respecto de bienes inmuebles considerados como destinos, en términos de lo preceptuado en la legislación aplicable al caso.</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b/>
          <w:bCs/>
          <w:lang w:val="es-MX" w:eastAsia="es-MX"/>
        </w:rPr>
        <w:lastRenderedPageBreak/>
        <w:t>Pruebas y procedimientos de auditoría realizados.</w:t>
      </w:r>
    </w:p>
    <w:p w:rsidR="00112CD2" w:rsidRPr="008E5CBE"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E5CBE">
        <w:rPr>
          <w:rFonts w:ascii="Arial" w:eastAsia="Times New Roman" w:hAnsi="Arial" w:cs="Arial"/>
          <w:lang w:val="es-MX" w:eastAsia="es-MX"/>
        </w:rPr>
        <w:t>a)</w:t>
      </w:r>
      <w:r w:rsidRPr="008E5CBE">
        <w:rPr>
          <w:rFonts w:ascii="Times New Roman" w:eastAsia="Times New Roman" w:hAnsi="Times New Roman" w:cs="Times New Roman"/>
          <w:lang w:val="es-MX" w:eastAsia="es-MX"/>
        </w:rPr>
        <w:t xml:space="preserve"> </w:t>
      </w:r>
      <w:r w:rsidRPr="008E5CBE">
        <w:rPr>
          <w:rFonts w:ascii="Arial" w:eastAsia="Times New Roman" w:hAnsi="Arial" w:cs="Arial"/>
          <w:lang w:val="es-MX" w:eastAsia="es-MX"/>
        </w:rPr>
        <w:t>Se requirió informe a la entidad fiscalizada a fin de determinar si durante el ejercicio, se afectaron bienes inmuebles municipales para destinarlos al uso o aprovechamiento de instituciones de derecho público o privado, en términos de lo preceptuado en la legislación aplicable al caso.</w:t>
      </w:r>
    </w:p>
    <w:p w:rsidR="00112CD2" w:rsidRPr="008E5CBE"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E5CBE">
        <w:rPr>
          <w:rFonts w:ascii="Arial" w:eastAsia="Times New Roman" w:hAnsi="Arial" w:cs="Arial"/>
          <w:lang w:val="es-MX" w:eastAsia="es-MX"/>
        </w:rPr>
        <w:t>b)</w:t>
      </w:r>
      <w:r w:rsidRPr="008E5CBE">
        <w:rPr>
          <w:rFonts w:ascii="Times New Roman" w:eastAsia="Times New Roman" w:hAnsi="Times New Roman" w:cs="Times New Roman"/>
          <w:lang w:val="es-MX" w:eastAsia="es-MX"/>
        </w:rPr>
        <w:t xml:space="preserve"> </w:t>
      </w:r>
      <w:r w:rsidRPr="008E5CBE">
        <w:rPr>
          <w:rFonts w:ascii="Arial" w:eastAsia="Times New Roman" w:hAnsi="Arial" w:cs="Arial"/>
          <w:lang w:val="es-MX" w:eastAsia="es-MX"/>
        </w:rPr>
        <w:t>Cuando la entidad proporcionó información, se analizaron los acuerdos, contratos, convenios y en general, los actos jurídicos por medio de los cuales se instrumentó el otorgamiento del uso o disfrute de los bienes inmuebles municipales para destinarlos al uso o aprovechamiento de instituciones de derecho público o privado, en términos de lo preceptuado en la legislación aplicable en la materia.</w:t>
      </w:r>
    </w:p>
    <w:p w:rsidR="00112CD2" w:rsidRPr="008E5CBE"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E5CBE">
        <w:rPr>
          <w:rFonts w:ascii="Arial" w:eastAsia="Times New Roman" w:hAnsi="Arial" w:cs="Arial"/>
          <w:lang w:val="es-MX" w:eastAsia="es-MX"/>
        </w:rPr>
        <w:t>c)</w:t>
      </w:r>
      <w:r w:rsidRPr="008E5CBE">
        <w:rPr>
          <w:rFonts w:ascii="Times New Roman" w:eastAsia="Times New Roman" w:hAnsi="Times New Roman" w:cs="Times New Roman"/>
          <w:lang w:val="es-MX" w:eastAsia="es-MX"/>
        </w:rPr>
        <w:t xml:space="preserve"> </w:t>
      </w:r>
      <w:r w:rsidRPr="008E5CBE">
        <w:rPr>
          <w:rFonts w:ascii="Arial" w:eastAsia="Times New Roman" w:hAnsi="Arial" w:cs="Arial"/>
          <w:lang w:val="es-MX" w:eastAsia="es-MX"/>
        </w:rPr>
        <w:t>Se verificó si, en su caso, la propiedad de los inmuebles municipales objeto de dichos actos, fue adquirida por el municipio en cuestión, con motivo de las cesiones de áreas derivadas de trámites urbanísticos, en términos de la legislación en materia de desarrollo urbano aplicable.</w:t>
      </w:r>
    </w:p>
    <w:p w:rsidR="00112CD2" w:rsidRPr="008E5CBE"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E5CBE">
        <w:rPr>
          <w:rFonts w:ascii="Arial" w:eastAsia="Times New Roman" w:hAnsi="Arial" w:cs="Arial"/>
          <w:lang w:val="es-MX" w:eastAsia="es-MX"/>
        </w:rPr>
        <w:t>d)</w:t>
      </w:r>
      <w:r w:rsidRPr="008E5CBE">
        <w:rPr>
          <w:rFonts w:ascii="Times New Roman" w:eastAsia="Times New Roman" w:hAnsi="Times New Roman" w:cs="Times New Roman"/>
          <w:lang w:val="es-MX" w:eastAsia="es-MX"/>
        </w:rPr>
        <w:t xml:space="preserve"> </w:t>
      </w:r>
      <w:r w:rsidRPr="008E5CBE">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fue aprobada por las dos terceras partes del ayuntamiento, en términos de lo preceptuado en la legislación aplicable al caso en particular.</w:t>
      </w:r>
    </w:p>
    <w:p w:rsidR="00112CD2" w:rsidRPr="008E5CBE"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E5CBE">
        <w:rPr>
          <w:rFonts w:ascii="Arial" w:eastAsia="Times New Roman" w:hAnsi="Arial" w:cs="Arial"/>
          <w:lang w:val="es-MX" w:eastAsia="es-MX"/>
        </w:rPr>
        <w:t>e)</w:t>
      </w:r>
      <w:r w:rsidRPr="008E5CBE">
        <w:rPr>
          <w:rFonts w:ascii="Times New Roman" w:eastAsia="Times New Roman" w:hAnsi="Times New Roman" w:cs="Times New Roman"/>
          <w:lang w:val="es-MX" w:eastAsia="es-MX"/>
        </w:rPr>
        <w:t xml:space="preserve"> </w:t>
      </w:r>
      <w:r w:rsidRPr="008E5CBE">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se solicitó y obtuvo la aprobación del Congreso del Estado, en términos de lo preceptuado en la ley de la materia.</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b/>
          <w:bCs/>
          <w:lang w:val="es-MX" w:eastAsia="es-MX"/>
        </w:rPr>
        <w:t>Resultados de las pruebas de auditoría realizadas</w:t>
      </w:r>
    </w:p>
    <w:p w:rsidR="00112CD2" w:rsidRPr="008E5CBE"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E5CBE">
        <w:rPr>
          <w:rFonts w:ascii="Arial" w:eastAsia="Times New Roman" w:hAnsi="Arial" w:cs="Arial"/>
          <w:lang w:val="es-MX" w:eastAsia="es-MX"/>
        </w:rPr>
        <w:lastRenderedPageBreak/>
        <w:t xml:space="preserve">Con base en la información proporcionada por la entidad fiscalizada, no se realizó ningún acto traslativo de dominio (compraventa, donación, permuta u otro), ni actos de uso, aprovechamiento o explotación (concesiones, cesiones, comodatos, usufructos, etc.); o Actos de modificación de uso o destino (desafectaciones, constitución de servidumbres o gravámenes, etc.), en relación con inmuebles que hayan sido incorporados al patrimonio municipal como consecuencia de cesiones de áreas originadas por la autorización de trámites en materia de desarrollo urbano (subdivisiones, fraccionamientos, conjuntos urbanos habitacionales, conjuntos urbanos no habitacionales, parcelaciones, construcciones en inmuebles no comprendidos en fraccionamiento autorizado). </w:t>
      </w:r>
    </w:p>
    <w:p w:rsidR="00112CD2" w:rsidRPr="008E5CBE" w:rsidRDefault="00112CD2" w:rsidP="00112CD2">
      <w:pPr>
        <w:shd w:val="clear" w:color="auto" w:fill="FFFFFF"/>
        <w:spacing w:after="324" w:line="360" w:lineRule="auto"/>
        <w:ind w:firstLine="709"/>
        <w:jc w:val="both"/>
        <w:rPr>
          <w:rFonts w:ascii="Tahoma" w:eastAsia="Times New Roman" w:hAnsi="Tahoma" w:cs="Tahoma"/>
          <w:lang w:val="es-MX" w:eastAsia="es-MX"/>
        </w:rPr>
      </w:pPr>
      <w:r w:rsidRPr="008E5CBE">
        <w:rPr>
          <w:rFonts w:ascii="Arial" w:eastAsia="Times New Roman" w:hAnsi="Arial" w:cs="Arial"/>
          <w:lang w:eastAsia="es-MX"/>
        </w:rPr>
        <w:t xml:space="preserve">En relación a lo informado en el apartado que antecede, relativo a </w:t>
      </w:r>
      <w:r w:rsidRPr="008E5CBE">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8E5CBE">
        <w:rPr>
          <w:rFonts w:ascii="Arial" w:eastAsia="Times New Roman" w:hAnsi="Arial" w:cs="Arial"/>
          <w:lang w:eastAsia="es-MX"/>
        </w:rPr>
        <w:t xml:space="preserve">el Órgano informa de las recomendaciones que al efecto realizó a la entidad fiscalizada, destacando que dará seguimiento a lo conducente. </w:t>
      </w:r>
    </w:p>
    <w:p w:rsidR="00112CD2" w:rsidRPr="008E5CBE" w:rsidRDefault="00112CD2" w:rsidP="000F2EBE">
      <w:pPr>
        <w:spacing w:line="360" w:lineRule="auto"/>
        <w:jc w:val="both"/>
        <w:rPr>
          <w:rFonts w:ascii="Arial" w:hAnsi="Arial" w:cs="Arial"/>
        </w:rPr>
      </w:pPr>
      <w:r w:rsidRPr="008E5CBE">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DE0B9F" w:rsidRPr="008E5CBE" w:rsidRDefault="00DE0B9F" w:rsidP="000F2EBE">
      <w:pPr>
        <w:spacing w:before="240" w:after="0"/>
        <w:jc w:val="center"/>
        <w:rPr>
          <w:rFonts w:ascii="Arial" w:hAnsi="Arial" w:cs="Arial"/>
          <w:b/>
          <w:bCs/>
        </w:rPr>
      </w:pPr>
      <w:r w:rsidRPr="008E5CBE">
        <w:rPr>
          <w:rFonts w:ascii="Arial" w:hAnsi="Arial" w:cs="Arial"/>
          <w:b/>
          <w:bCs/>
        </w:rPr>
        <w:t>CONSIDERACIONES:</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b/>
          <w:bCs/>
        </w:rPr>
        <w:t xml:space="preserve">PRIMERA: </w:t>
      </w:r>
      <w:r w:rsidRPr="008E5CBE">
        <w:rPr>
          <w:rFonts w:ascii="Arial" w:hAnsi="Arial" w:cs="Arial"/>
        </w:rPr>
        <w:t xml:space="preserve">La Comisión </w:t>
      </w:r>
      <w:r w:rsidR="003059DB" w:rsidRPr="008E5CBE">
        <w:rPr>
          <w:rFonts w:ascii="Arial" w:hAnsi="Arial" w:cs="Arial"/>
        </w:rPr>
        <w:t xml:space="preserve">Segunda </w:t>
      </w:r>
      <w:r w:rsidRPr="008E5CBE">
        <w:rPr>
          <w:rFonts w:ascii="Arial" w:hAnsi="Arial" w:cs="Arial"/>
        </w:rPr>
        <w:t>de Hacienda y Desarrollo Municipal, es competente para analizar el Informe de Resultados de mérito, de acuerdo con lo establecido en los numerales 70, Fracción XV</w:t>
      </w:r>
      <w:r w:rsidR="003059DB" w:rsidRPr="008E5CBE">
        <w:rPr>
          <w:rFonts w:ascii="Arial" w:hAnsi="Arial" w:cs="Arial"/>
        </w:rPr>
        <w:t>I</w:t>
      </w:r>
      <w:r w:rsidRPr="008E5CBE">
        <w:rPr>
          <w:rFonts w:ascii="Arial" w:hAnsi="Arial" w:cs="Arial"/>
        </w:rPr>
        <w:t xml:space="preserve">I, de la Ley Orgánica del Poder </w:t>
      </w:r>
      <w:r w:rsidRPr="008E5CBE">
        <w:rPr>
          <w:rFonts w:ascii="Arial" w:hAnsi="Arial" w:cs="Arial"/>
        </w:rPr>
        <w:lastRenderedPageBreak/>
        <w:t>Legislativo del Estado de Nuevo León y 39, Fracción XVI</w:t>
      </w:r>
      <w:r w:rsidR="000F2EBE" w:rsidRPr="008E5CBE">
        <w:rPr>
          <w:rFonts w:ascii="Arial" w:hAnsi="Arial" w:cs="Arial"/>
        </w:rPr>
        <w:t>I</w:t>
      </w:r>
      <w:r w:rsidRPr="008E5CBE">
        <w:rPr>
          <w:rFonts w:ascii="Arial" w:hAnsi="Arial" w:cs="Arial"/>
        </w:rPr>
        <w:t xml:space="preserve">, del Reglamento para el Gobierno Interior del Congreso del Estado de Nuevo León. </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b/>
          <w:bCs/>
        </w:rPr>
        <w:t xml:space="preserve">SEGUNDA: </w:t>
      </w:r>
      <w:r w:rsidRPr="008E5CBE">
        <w:rPr>
          <w:rFonts w:ascii="Arial" w:hAnsi="Arial" w:cs="Arial"/>
        </w:rPr>
        <w:t>El Órgano Técnico de Fiscalización cumplió en su revisión con lo previsto por los Artículos 43 y 44, de la Ley de Órgano de Fiscalización Superior del Estado de Nuevo León. Constatamos que el Informe del Municipio en mención, contiene los comentarios generales que se estipulan en el Artículo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DE0B9F" w:rsidRPr="008E5CBE" w:rsidRDefault="00DE0B9F" w:rsidP="009B10A9">
      <w:pPr>
        <w:spacing w:line="360" w:lineRule="auto"/>
        <w:ind w:firstLine="709"/>
        <w:jc w:val="both"/>
        <w:rPr>
          <w:rFonts w:ascii="Arial" w:hAnsi="Arial" w:cs="Arial"/>
        </w:rPr>
      </w:pPr>
      <w:r w:rsidRPr="008E5CBE">
        <w:rPr>
          <w:rFonts w:ascii="Arial" w:hAnsi="Arial" w:cs="Arial"/>
          <w:b/>
          <w:bCs/>
        </w:rPr>
        <w:t xml:space="preserve">TERCERA: </w:t>
      </w:r>
      <w:r w:rsidRPr="008E5CBE">
        <w:rPr>
          <w:rFonts w:ascii="Arial" w:hAnsi="Arial" w:cs="Arial"/>
        </w:rPr>
        <w:t>En el Informe de Resultados se destacan fallas administrativas y de control interno, las cuales se enumeran en el apartado IV número 2 del referido informe, respecto de  las cuales, el órgano fiscalizador, de conformidad con lo dispuesto en el artículo 50 de la Ley del Órgano de Fiscalización Superior del Estado de Nuevo León, emitió y comunicó a la entidad revisada, las recomendaciones a efecto de que subsanaran las deficiencias que dieran lugar a las fallas en comento.</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b/>
          <w:bCs/>
        </w:rPr>
        <w:t xml:space="preserve">CUARTA: </w:t>
      </w:r>
      <w:r w:rsidRPr="008E5CBE">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0F2EBE" w:rsidRPr="008E5CBE">
        <w:rPr>
          <w:rFonts w:ascii="Arial" w:hAnsi="Arial" w:cs="Arial"/>
        </w:rPr>
        <w:t>30 a 58</w:t>
      </w:r>
      <w:r w:rsidRPr="008E5CBE">
        <w:rPr>
          <w:rFonts w:ascii="Arial" w:hAnsi="Arial" w:cs="Arial"/>
        </w:rPr>
        <w:t xml:space="preserve"> del referido informe las cuales consisten en observaciones de carácter económico y normativo de las que se desprenden responsabilidades administrativas y económicas que el órgano fiscalizador, al tenor de lo dispuesto en el artículo 63 al 68 de la Ley del Órgano de </w:t>
      </w:r>
      <w:r w:rsidRPr="008E5CBE">
        <w:rPr>
          <w:rFonts w:ascii="Arial" w:hAnsi="Arial" w:cs="Arial"/>
        </w:rPr>
        <w:lastRenderedPageBreak/>
        <w:t xml:space="preserve">Fiscalización Superior del Estado de Nuevo León, y lo dispuesto en el Título Tercero de la Ley de Responsabilidades de los Servidores Públicos del Estado y Municipios de Nuevo León, gestionará o dará inicio a los procedimientos de responsabilidades que correspondan; tal y </w:t>
      </w:r>
      <w:r w:rsidR="000F2EBE" w:rsidRPr="008E5CBE">
        <w:rPr>
          <w:rFonts w:ascii="Arial" w:hAnsi="Arial" w:cs="Arial"/>
        </w:rPr>
        <w:t>como lo comunica en la página 58</w:t>
      </w:r>
      <w:r w:rsidRPr="008E5CBE">
        <w:rPr>
          <w:rFonts w:ascii="Arial" w:hAnsi="Arial" w:cs="Arial"/>
        </w:rPr>
        <w:t xml:space="preserve"> de su informe de resultados, debiendo dar habida cuenta a este H. Congreso de las acciones iniciadas y los resultados de las mismas.</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b/>
          <w:bCs/>
        </w:rPr>
        <w:t xml:space="preserve">QUINTA: </w:t>
      </w:r>
      <w:r w:rsidRPr="008E5CBE">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DE0B9F" w:rsidRPr="008E5CBE" w:rsidRDefault="00DE0B9F" w:rsidP="009B10A9">
      <w:pPr>
        <w:spacing w:before="240" w:line="360" w:lineRule="auto"/>
        <w:ind w:firstLine="709"/>
        <w:jc w:val="both"/>
        <w:rPr>
          <w:rFonts w:ascii="Arial" w:hAnsi="Arial" w:cs="Arial"/>
        </w:rPr>
      </w:pPr>
      <w:r w:rsidRPr="008E5CBE">
        <w:rPr>
          <w:rFonts w:ascii="Arial" w:hAnsi="Arial" w:cs="Arial"/>
        </w:rPr>
        <w:t>Es evidente que la repetición de las irregularidades destacadas en el Informe de Resultados de la Cuenta Pública</w:t>
      </w:r>
      <w:r w:rsidR="006C0B46" w:rsidRPr="008E5CBE">
        <w:rPr>
          <w:rFonts w:ascii="Arial" w:hAnsi="Arial" w:cs="Arial"/>
        </w:rPr>
        <w:t xml:space="preserve"> del Municipio de</w:t>
      </w:r>
      <w:r w:rsidR="00AF6187" w:rsidRPr="008E5CBE">
        <w:rPr>
          <w:rFonts w:ascii="Arial" w:hAnsi="Arial" w:cs="Arial"/>
        </w:rPr>
        <w:t xml:space="preserve"> Montemorelos</w:t>
      </w:r>
      <w:r w:rsidRPr="008E5CBE">
        <w:rPr>
          <w:rFonts w:ascii="Arial" w:hAnsi="Arial" w:cs="Arial"/>
        </w:rPr>
        <w:t>, Nuevo León, no afecta la razonabilidad del ejercicio presupuestal y patrimonial del Municipio, resultando ello en nuestra opinión es de aprobación de esta Cuenta Pública.</w:t>
      </w:r>
    </w:p>
    <w:p w:rsidR="00DE0B9F" w:rsidRPr="008E5CBE" w:rsidRDefault="00DE0B9F" w:rsidP="00572DB1">
      <w:pPr>
        <w:spacing w:line="360" w:lineRule="auto"/>
        <w:ind w:firstLine="708"/>
        <w:jc w:val="both"/>
        <w:rPr>
          <w:rFonts w:ascii="Arial" w:hAnsi="Arial" w:cs="Arial"/>
        </w:rPr>
      </w:pPr>
      <w:r w:rsidRPr="008E5CBE">
        <w:rPr>
          <w:rFonts w:ascii="Arial" w:hAnsi="Arial" w:cs="Arial"/>
        </w:rPr>
        <w:t>Por lo anteriormente expuesto, sometemos a la consideración de esta Honorable Asamblea Legislativa el siguiente proyecto de:</w:t>
      </w:r>
    </w:p>
    <w:p w:rsidR="00DE0B9F" w:rsidRPr="008E5CBE" w:rsidRDefault="00DE0B9F" w:rsidP="00AF083C">
      <w:pPr>
        <w:ind w:firstLine="900"/>
        <w:jc w:val="both"/>
        <w:rPr>
          <w:rFonts w:ascii="Arial" w:hAnsi="Arial" w:cs="Arial"/>
        </w:rPr>
      </w:pPr>
    </w:p>
    <w:p w:rsidR="00DE0B9F" w:rsidRPr="008E5CBE" w:rsidRDefault="00DE0B9F" w:rsidP="00AF083C">
      <w:pPr>
        <w:jc w:val="center"/>
        <w:rPr>
          <w:rFonts w:ascii="Arial" w:hAnsi="Arial" w:cs="Arial"/>
          <w:b/>
          <w:bCs/>
        </w:rPr>
      </w:pPr>
      <w:r w:rsidRPr="008E5CBE">
        <w:rPr>
          <w:rFonts w:ascii="Arial" w:hAnsi="Arial" w:cs="Arial"/>
          <w:b/>
          <w:bCs/>
        </w:rPr>
        <w:t>ACUERDO</w:t>
      </w:r>
    </w:p>
    <w:p w:rsidR="00DE0B9F" w:rsidRPr="008E5CBE" w:rsidRDefault="00DE0B9F" w:rsidP="003066CA">
      <w:pPr>
        <w:spacing w:line="360" w:lineRule="auto"/>
        <w:ind w:firstLine="709"/>
        <w:jc w:val="both"/>
        <w:rPr>
          <w:rFonts w:ascii="Arial" w:hAnsi="Arial" w:cs="Arial"/>
        </w:rPr>
      </w:pPr>
      <w:r w:rsidRPr="008E5CBE">
        <w:rPr>
          <w:rFonts w:ascii="Arial" w:hAnsi="Arial" w:cs="Arial"/>
          <w:b/>
          <w:bCs/>
        </w:rPr>
        <w:t>PRIMERO.-</w:t>
      </w:r>
      <w:r w:rsidRPr="008E5CBE">
        <w:rPr>
          <w:rFonts w:ascii="Arial" w:hAnsi="Arial" w:cs="Arial"/>
        </w:rPr>
        <w:t xml:space="preserve"> Se tiene por recibido y analizado en tiempo y forma el Informe de Resultados de la </w:t>
      </w:r>
      <w:r w:rsidRPr="008E5CBE">
        <w:rPr>
          <w:rFonts w:ascii="Arial" w:hAnsi="Arial" w:cs="Arial"/>
          <w:b/>
          <w:bCs/>
        </w:rPr>
        <w:t>CUENTA PÚBLICA</w:t>
      </w:r>
      <w:r w:rsidRPr="008E5CBE">
        <w:rPr>
          <w:rFonts w:ascii="Arial" w:hAnsi="Arial" w:cs="Arial"/>
        </w:rPr>
        <w:t xml:space="preserve"> </w:t>
      </w:r>
      <w:r w:rsidRPr="008E5CBE">
        <w:rPr>
          <w:rFonts w:ascii="Arial" w:hAnsi="Arial" w:cs="Arial"/>
          <w:b/>
          <w:bCs/>
        </w:rPr>
        <w:t>20</w:t>
      </w:r>
      <w:r w:rsidR="009230F4" w:rsidRPr="008E5CBE">
        <w:rPr>
          <w:rFonts w:ascii="Arial" w:hAnsi="Arial" w:cs="Arial"/>
          <w:b/>
          <w:bCs/>
        </w:rPr>
        <w:t>10</w:t>
      </w:r>
      <w:r w:rsidRPr="008E5CBE">
        <w:rPr>
          <w:rFonts w:ascii="Arial" w:hAnsi="Arial" w:cs="Arial"/>
        </w:rPr>
        <w:t>, del Municipio de</w:t>
      </w:r>
      <w:r w:rsidR="00AF6187" w:rsidRPr="008E5CBE">
        <w:rPr>
          <w:rFonts w:ascii="Arial" w:hAnsi="Arial" w:cs="Arial"/>
          <w:b/>
          <w:bCs/>
        </w:rPr>
        <w:t xml:space="preserve"> MONTEMORELOS</w:t>
      </w:r>
      <w:r w:rsidRPr="008E5CBE">
        <w:rPr>
          <w:rFonts w:ascii="Arial" w:hAnsi="Arial" w:cs="Arial"/>
          <w:b/>
          <w:bCs/>
        </w:rPr>
        <w:t>, NUEVO LEÓN</w:t>
      </w:r>
      <w:r w:rsidRPr="008E5CBE">
        <w:rPr>
          <w:rFonts w:ascii="Arial" w:hAnsi="Arial" w:cs="Arial"/>
        </w:rPr>
        <w:t>.</w:t>
      </w:r>
    </w:p>
    <w:p w:rsidR="00DE0B9F" w:rsidRPr="008E5CBE" w:rsidRDefault="00DE0B9F" w:rsidP="003066CA">
      <w:pPr>
        <w:spacing w:line="360" w:lineRule="auto"/>
        <w:ind w:firstLine="709"/>
        <w:jc w:val="both"/>
        <w:rPr>
          <w:rFonts w:ascii="Arial" w:hAnsi="Arial" w:cs="Arial"/>
          <w:b/>
          <w:bCs/>
        </w:rPr>
      </w:pPr>
      <w:r w:rsidRPr="008E5CBE">
        <w:rPr>
          <w:rFonts w:ascii="Arial" w:hAnsi="Arial" w:cs="Arial"/>
          <w:b/>
          <w:bCs/>
        </w:rPr>
        <w:lastRenderedPageBreak/>
        <w:t xml:space="preserve">SEGUNDO.- </w:t>
      </w:r>
      <w:r w:rsidRPr="008E5CBE">
        <w:rPr>
          <w:rFonts w:ascii="Arial" w:hAnsi="Arial" w:cs="Arial"/>
        </w:rPr>
        <w:t xml:space="preserve">En cumplimiento de lo señalado en el Artículo 63, Fracción XIII, de la Constitución Política del Estado de Nuevo León, y demás disposiciones legales aplicables, </w:t>
      </w:r>
      <w:r w:rsidRPr="008E5CBE">
        <w:rPr>
          <w:rFonts w:ascii="Arial" w:hAnsi="Arial" w:cs="Arial"/>
          <w:b/>
          <w:bCs/>
        </w:rPr>
        <w:t>SE APRUEBA</w:t>
      </w:r>
      <w:r w:rsidRPr="008E5CBE">
        <w:rPr>
          <w:rFonts w:ascii="Arial" w:hAnsi="Arial" w:cs="Arial"/>
        </w:rPr>
        <w:t xml:space="preserve"> la </w:t>
      </w:r>
      <w:r w:rsidRPr="008E5CBE">
        <w:rPr>
          <w:rFonts w:ascii="Arial" w:hAnsi="Arial" w:cs="Arial"/>
          <w:b/>
          <w:bCs/>
        </w:rPr>
        <w:t>CUENTA PÚBLICA</w:t>
      </w:r>
      <w:r w:rsidRPr="008E5CBE">
        <w:rPr>
          <w:rFonts w:ascii="Arial" w:hAnsi="Arial" w:cs="Arial"/>
        </w:rPr>
        <w:t xml:space="preserve"> del R. Ayuntamiento de</w:t>
      </w:r>
      <w:r w:rsidR="00AF6187" w:rsidRPr="008E5CBE">
        <w:rPr>
          <w:rFonts w:ascii="Arial" w:hAnsi="Arial" w:cs="Arial"/>
        </w:rPr>
        <w:t xml:space="preserve"> </w:t>
      </w:r>
      <w:r w:rsidR="00AF6187" w:rsidRPr="008E5CBE">
        <w:rPr>
          <w:rFonts w:ascii="Arial" w:hAnsi="Arial" w:cs="Arial"/>
          <w:b/>
          <w:bCs/>
        </w:rPr>
        <w:t>MONTEMORELOS</w:t>
      </w:r>
      <w:r w:rsidRPr="008E5CBE">
        <w:rPr>
          <w:rFonts w:ascii="Arial" w:hAnsi="Arial" w:cs="Arial"/>
          <w:b/>
          <w:bCs/>
        </w:rPr>
        <w:t xml:space="preserve">, NUEVO LEÓN </w:t>
      </w:r>
      <w:r w:rsidRPr="008E5CBE">
        <w:rPr>
          <w:rFonts w:ascii="Arial" w:hAnsi="Arial" w:cs="Arial"/>
        </w:rPr>
        <w:t xml:space="preserve">correspondiente al </w:t>
      </w:r>
      <w:r w:rsidRPr="008E5CBE">
        <w:rPr>
          <w:rFonts w:ascii="Arial" w:hAnsi="Arial" w:cs="Arial"/>
          <w:b/>
          <w:bCs/>
        </w:rPr>
        <w:t>EJERCICIO FISCAL 20</w:t>
      </w:r>
      <w:r w:rsidR="009230F4" w:rsidRPr="008E5CBE">
        <w:rPr>
          <w:rFonts w:ascii="Arial" w:hAnsi="Arial" w:cs="Arial"/>
          <w:b/>
          <w:bCs/>
        </w:rPr>
        <w:t>1</w:t>
      </w:r>
      <w:r w:rsidR="00C40602" w:rsidRPr="008E5CBE">
        <w:rPr>
          <w:rFonts w:ascii="Arial" w:hAnsi="Arial" w:cs="Arial"/>
          <w:b/>
          <w:bCs/>
        </w:rPr>
        <w:t>0</w:t>
      </w:r>
      <w:r w:rsidRPr="008E5CBE">
        <w:rPr>
          <w:rFonts w:ascii="Arial" w:hAnsi="Arial" w:cs="Arial"/>
        </w:rPr>
        <w:t xml:space="preserve">. </w:t>
      </w:r>
    </w:p>
    <w:p w:rsidR="00DE0B9F" w:rsidRPr="008E5CBE" w:rsidRDefault="00DE0B9F" w:rsidP="003066CA">
      <w:pPr>
        <w:spacing w:line="360" w:lineRule="auto"/>
        <w:ind w:firstLine="709"/>
        <w:jc w:val="both"/>
        <w:rPr>
          <w:rFonts w:ascii="Arial" w:hAnsi="Arial" w:cs="Arial"/>
          <w:lang w:val="es-MX"/>
        </w:rPr>
      </w:pPr>
      <w:r w:rsidRPr="008E5CBE">
        <w:rPr>
          <w:rFonts w:ascii="Arial" w:hAnsi="Arial" w:cs="Arial"/>
          <w:b/>
          <w:bCs/>
          <w:lang w:val="es-MX"/>
        </w:rPr>
        <w:t xml:space="preserve">TERCERO.- </w:t>
      </w:r>
      <w:r w:rsidRPr="008E5CBE">
        <w:rPr>
          <w:rFonts w:ascii="Arial" w:hAnsi="Arial" w:cs="Arial"/>
          <w:lang w:val="es-MX"/>
        </w:rPr>
        <w:t xml:space="preserve">Se instruye a la </w:t>
      </w:r>
      <w:r w:rsidRPr="008E5CBE">
        <w:rPr>
          <w:rFonts w:ascii="Arial" w:hAnsi="Arial" w:cs="Arial"/>
          <w:b/>
          <w:bCs/>
          <w:lang w:val="es-MX"/>
        </w:rPr>
        <w:t>AUDITORÍA SUPERIOR DEL ESTADO</w:t>
      </w:r>
      <w:r w:rsidRPr="008E5CBE">
        <w:rPr>
          <w:rFonts w:ascii="Arial" w:hAnsi="Arial" w:cs="Arial"/>
          <w:lang w:val="es-MX"/>
        </w:rPr>
        <w:t xml:space="preserve"> para que en los términos del artículo 52 de la Ley del Órgano de Fiscalización Superior del Estado de Nuevo León se sirva a exped</w:t>
      </w:r>
      <w:r w:rsidR="00572DB1" w:rsidRPr="008E5CBE">
        <w:rPr>
          <w:rFonts w:ascii="Arial" w:hAnsi="Arial" w:cs="Arial"/>
          <w:lang w:val="es-MX"/>
        </w:rPr>
        <w:t xml:space="preserve">ir el finiquito correspondiente, </w:t>
      </w:r>
      <w:r w:rsidR="00572DB1" w:rsidRPr="008E5CBE">
        <w:rPr>
          <w:rFonts w:ascii="Arial" w:hAnsi="Arial" w:cs="Arial"/>
        </w:rPr>
        <w:t>quedando a salvo los derechos del Órgano de Fiscalización en los términos del Artículo 49 de la Ley del Órgano de Fiscalización Superior del Estado de Nuevo León.</w:t>
      </w:r>
    </w:p>
    <w:p w:rsidR="00DE0B9F" w:rsidRPr="008E5CBE" w:rsidRDefault="00572DB1" w:rsidP="003066CA">
      <w:pPr>
        <w:spacing w:line="360" w:lineRule="auto"/>
        <w:ind w:firstLine="709"/>
        <w:jc w:val="both"/>
        <w:rPr>
          <w:rFonts w:ascii="Arial" w:hAnsi="Arial" w:cs="Arial"/>
          <w:lang w:val="es-MX"/>
        </w:rPr>
      </w:pPr>
      <w:r w:rsidRPr="008E5CBE">
        <w:rPr>
          <w:rFonts w:ascii="Arial" w:hAnsi="Arial" w:cs="Arial"/>
          <w:b/>
          <w:bCs/>
          <w:lang w:val="es-MX"/>
        </w:rPr>
        <w:t>CUAR</w:t>
      </w:r>
      <w:r w:rsidR="00DE0B9F" w:rsidRPr="008E5CBE">
        <w:rPr>
          <w:rFonts w:ascii="Arial" w:hAnsi="Arial" w:cs="Arial"/>
          <w:b/>
          <w:bCs/>
          <w:lang w:val="es-MX"/>
        </w:rPr>
        <w:t>TO.-</w:t>
      </w:r>
      <w:r w:rsidR="00DE0B9F" w:rsidRPr="008E5CBE">
        <w:rPr>
          <w:rFonts w:ascii="Arial" w:hAnsi="Arial" w:cs="Arial"/>
          <w:lang w:val="es-MX"/>
        </w:rPr>
        <w:t xml:space="preserve"> Remítase copia a la </w:t>
      </w:r>
      <w:r w:rsidR="00DE0B9F" w:rsidRPr="008E5CBE">
        <w:rPr>
          <w:rFonts w:ascii="Arial" w:hAnsi="Arial" w:cs="Arial"/>
          <w:b/>
          <w:bCs/>
          <w:lang w:val="es-MX"/>
        </w:rPr>
        <w:t>AUDITORÍA SUPERIOR DEL ESTADO</w:t>
      </w:r>
      <w:r w:rsidR="00DE0B9F" w:rsidRPr="008E5CBE">
        <w:rPr>
          <w:rFonts w:ascii="Arial" w:hAnsi="Arial" w:cs="Arial"/>
          <w:lang w:val="es-MX"/>
        </w:rPr>
        <w:t xml:space="preserve"> </w:t>
      </w:r>
      <w:r w:rsidR="00DE0B9F" w:rsidRPr="008E5CBE">
        <w:rPr>
          <w:rFonts w:ascii="Arial" w:hAnsi="Arial" w:cs="Arial"/>
          <w:b/>
          <w:bCs/>
          <w:lang w:val="es-MX"/>
        </w:rPr>
        <w:t xml:space="preserve">DE NUEVO LEÓN </w:t>
      </w:r>
      <w:r w:rsidR="00DE0B9F" w:rsidRPr="008E5CBE">
        <w:rPr>
          <w:rFonts w:ascii="Arial" w:hAnsi="Arial" w:cs="Arial"/>
          <w:lang w:val="es-MX"/>
        </w:rPr>
        <w:t>y al R. Ayuntamiento de</w:t>
      </w:r>
      <w:r w:rsidR="00AF6187" w:rsidRPr="008E5CBE">
        <w:rPr>
          <w:rFonts w:ascii="Arial" w:hAnsi="Arial" w:cs="Arial"/>
          <w:lang w:val="es-MX"/>
        </w:rPr>
        <w:t xml:space="preserve"> </w:t>
      </w:r>
      <w:r w:rsidR="00AF6187" w:rsidRPr="008E5CBE">
        <w:rPr>
          <w:rFonts w:ascii="Arial" w:hAnsi="Arial" w:cs="Arial"/>
          <w:b/>
          <w:bCs/>
        </w:rPr>
        <w:t>MONTEMORELOS</w:t>
      </w:r>
      <w:r w:rsidR="00DE0B9F" w:rsidRPr="008E5CBE">
        <w:rPr>
          <w:rFonts w:ascii="Arial" w:hAnsi="Arial" w:cs="Arial"/>
          <w:b/>
          <w:bCs/>
        </w:rPr>
        <w:t>,</w:t>
      </w:r>
      <w:r w:rsidR="00DE0B9F" w:rsidRPr="008E5CBE">
        <w:rPr>
          <w:rFonts w:ascii="Arial" w:hAnsi="Arial" w:cs="Arial"/>
          <w:b/>
          <w:bCs/>
          <w:lang w:val="es-MX"/>
        </w:rPr>
        <w:t xml:space="preserve"> NUEVO LEÓN</w:t>
      </w:r>
      <w:r w:rsidR="00DE0B9F" w:rsidRPr="008E5CBE">
        <w:rPr>
          <w:rFonts w:ascii="Arial" w:hAnsi="Arial" w:cs="Arial"/>
          <w:lang w:val="es-MX"/>
        </w:rPr>
        <w:t>, para su conocimiento y efectos legales a que haya lugar.</w:t>
      </w:r>
    </w:p>
    <w:p w:rsidR="00DE0B9F" w:rsidRPr="008E5CBE" w:rsidRDefault="00DE0B9F" w:rsidP="004C2F21">
      <w:pPr>
        <w:jc w:val="both"/>
        <w:rPr>
          <w:rFonts w:ascii="Arial" w:hAnsi="Arial" w:cs="Arial"/>
          <w:lang w:val="es-MX"/>
        </w:rPr>
      </w:pPr>
    </w:p>
    <w:p w:rsidR="00572DB1" w:rsidRPr="008E5CBE" w:rsidRDefault="00572DB1" w:rsidP="00572DB1">
      <w:pPr>
        <w:jc w:val="center"/>
        <w:rPr>
          <w:rFonts w:ascii="Arial" w:hAnsi="Arial" w:cs="Arial"/>
          <w:lang w:val="es-MX"/>
        </w:rPr>
      </w:pPr>
      <w:r w:rsidRPr="008E5CBE">
        <w:rPr>
          <w:rFonts w:ascii="Arial" w:hAnsi="Arial" w:cs="Arial"/>
          <w:lang w:val="es-MX"/>
        </w:rPr>
        <w:t xml:space="preserve">Monterrey, Nuevo León, a </w:t>
      </w:r>
      <w:r w:rsidR="00E95AA2">
        <w:rPr>
          <w:rFonts w:ascii="Arial" w:hAnsi="Arial" w:cs="Arial"/>
          <w:lang w:val="es-MX"/>
        </w:rPr>
        <w:t xml:space="preserve"> </w:t>
      </w:r>
      <w:bookmarkStart w:id="0" w:name="_GoBack"/>
      <w:bookmarkEnd w:id="0"/>
    </w:p>
    <w:p w:rsidR="00572DB1" w:rsidRPr="008E5CBE" w:rsidRDefault="00572DB1" w:rsidP="00572DB1">
      <w:pPr>
        <w:jc w:val="center"/>
        <w:rPr>
          <w:rFonts w:ascii="Arial" w:hAnsi="Arial" w:cs="Arial"/>
          <w:lang w:val="es-MX"/>
        </w:rPr>
      </w:pPr>
    </w:p>
    <w:p w:rsidR="00572DB1" w:rsidRPr="008E5CBE" w:rsidRDefault="00572DB1" w:rsidP="00572DB1">
      <w:pPr>
        <w:pStyle w:val="Ttulo1"/>
        <w:rPr>
          <w:rFonts w:ascii="Arial" w:eastAsia="Calibri" w:hAnsi="Arial" w:cs="Arial"/>
          <w:sz w:val="22"/>
          <w:szCs w:val="22"/>
          <w:u w:val="none"/>
        </w:rPr>
      </w:pPr>
      <w:r w:rsidRPr="008E5CBE">
        <w:rPr>
          <w:rFonts w:ascii="Arial" w:eastAsia="Calibri" w:hAnsi="Arial" w:cs="Arial"/>
          <w:sz w:val="22"/>
          <w:szCs w:val="22"/>
          <w:u w:val="none"/>
        </w:rPr>
        <w:t>COMISIÓN DE SEGUNDA DE HACIENDA  Y DESARROLLO MUNICIPAL</w:t>
      </w:r>
    </w:p>
    <w:p w:rsidR="00572DB1" w:rsidRPr="008E5CBE" w:rsidRDefault="00DF2B81" w:rsidP="00572DB1">
      <w:pPr>
        <w:pStyle w:val="Ttulo3"/>
        <w:jc w:val="center"/>
        <w:rPr>
          <w:rFonts w:ascii="Arial" w:eastAsia="Calibri" w:hAnsi="Arial" w:cs="Arial"/>
          <w:b w:val="0"/>
          <w:color w:val="auto"/>
        </w:rPr>
      </w:pPr>
      <w:r>
        <w:rPr>
          <w:rFonts w:ascii="Arial" w:eastAsia="Calibri" w:hAnsi="Arial" w:cs="Arial"/>
          <w:color w:val="auto"/>
        </w:rPr>
        <w:t>PRESIDENTA</w:t>
      </w:r>
    </w:p>
    <w:p w:rsidR="00572DB1" w:rsidRPr="008E5CBE" w:rsidRDefault="00572DB1" w:rsidP="00572DB1">
      <w:pPr>
        <w:spacing w:line="360" w:lineRule="auto"/>
        <w:rPr>
          <w:rFonts w:ascii="Arial" w:eastAsia="Times New Roman" w:hAnsi="Arial" w:cs="Arial"/>
          <w:caps/>
        </w:rPr>
      </w:pPr>
    </w:p>
    <w:p w:rsidR="00572DB1" w:rsidRPr="008E5CBE" w:rsidRDefault="00572DB1" w:rsidP="00572DB1">
      <w:pPr>
        <w:spacing w:line="360" w:lineRule="auto"/>
        <w:rPr>
          <w:rFonts w:ascii="Arial" w:hAnsi="Arial" w:cs="Arial"/>
          <w:caps/>
        </w:rPr>
      </w:pPr>
    </w:p>
    <w:p w:rsidR="00572DB1" w:rsidRPr="008E5CBE" w:rsidRDefault="00572DB1" w:rsidP="00572DB1">
      <w:pPr>
        <w:spacing w:line="360" w:lineRule="auto"/>
        <w:jc w:val="center"/>
        <w:rPr>
          <w:rFonts w:ascii="Arial" w:hAnsi="Arial" w:cs="Arial"/>
          <w:caps/>
        </w:rPr>
      </w:pPr>
      <w:r w:rsidRPr="008E5CBE">
        <w:rPr>
          <w:rFonts w:ascii="Arial" w:hAnsi="Arial" w:cs="Arial"/>
          <w:caps/>
        </w:rPr>
        <w:t>dip.</w:t>
      </w:r>
      <w:r w:rsidR="00A31CA4" w:rsidRPr="008E5CBE">
        <w:rPr>
          <w:rFonts w:ascii="Arial" w:hAnsi="Arial" w:cs="Arial"/>
          <w:caps/>
        </w:rPr>
        <w:t xml:space="preserve"> eva patricia salazar marroquín</w:t>
      </w:r>
    </w:p>
    <w:p w:rsidR="00572DB1" w:rsidRPr="008E5CBE" w:rsidRDefault="00572DB1" w:rsidP="00572DB1">
      <w:pPr>
        <w:spacing w:line="360" w:lineRule="auto"/>
        <w:ind w:left="-142"/>
        <w:jc w:val="center"/>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572DB1" w:rsidRPr="008E5CBE" w:rsidTr="0005763C">
        <w:trPr>
          <w:trHeight w:val="1016"/>
          <w:jc w:val="center"/>
        </w:trPr>
        <w:tc>
          <w:tcPr>
            <w:tcW w:w="3131" w:type="dxa"/>
          </w:tcPr>
          <w:p w:rsidR="00572DB1" w:rsidRPr="008E5CBE" w:rsidRDefault="00572DB1" w:rsidP="0005763C">
            <w:pPr>
              <w:spacing w:line="360" w:lineRule="auto"/>
              <w:rPr>
                <w:rFonts w:ascii="Arial" w:eastAsia="Times New Roman" w:hAnsi="Arial" w:cs="Arial"/>
                <w:b/>
                <w:bCs/>
                <w:lang w:val="es-MX"/>
              </w:rPr>
            </w:pPr>
            <w:r w:rsidRPr="008E5CBE">
              <w:rPr>
                <w:rFonts w:ascii="Arial" w:hAnsi="Arial" w:cs="Arial"/>
                <w:b/>
                <w:bCs/>
                <w:lang w:val="es-MX"/>
              </w:rPr>
              <w:lastRenderedPageBreak/>
              <w:t>DIP. VICEPRESIDENTE:</w:t>
            </w:r>
            <w:r w:rsidRPr="008E5CBE">
              <w:rPr>
                <w:rFonts w:ascii="Arial" w:hAnsi="Arial" w:cs="Arial"/>
                <w:b/>
                <w:bCs/>
                <w:lang w:val="es-MX"/>
              </w:rPr>
              <w:tab/>
            </w:r>
          </w:p>
          <w:p w:rsidR="00572DB1" w:rsidRPr="008E5CBE" w:rsidRDefault="00572DB1" w:rsidP="0005763C">
            <w:pPr>
              <w:spacing w:line="360" w:lineRule="auto"/>
              <w:ind w:left="74" w:hanging="72"/>
              <w:rPr>
                <w:rFonts w:ascii="Arial" w:eastAsia="Times New Roman" w:hAnsi="Arial" w:cs="Arial"/>
                <w:b/>
                <w:bCs/>
                <w:lang w:val="es-MX"/>
              </w:rPr>
            </w:pPr>
          </w:p>
        </w:tc>
        <w:tc>
          <w:tcPr>
            <w:tcW w:w="3733" w:type="dxa"/>
          </w:tcPr>
          <w:p w:rsidR="00572DB1" w:rsidRPr="008E5CBE" w:rsidRDefault="00572DB1" w:rsidP="0005763C">
            <w:pPr>
              <w:spacing w:line="360" w:lineRule="auto"/>
              <w:rPr>
                <w:rFonts w:ascii="Arial" w:hAnsi="Arial" w:cs="Arial"/>
                <w:b/>
                <w:bCs/>
              </w:rPr>
            </w:pPr>
            <w:r w:rsidRPr="008E5CBE">
              <w:rPr>
                <w:rFonts w:ascii="Arial" w:hAnsi="Arial" w:cs="Arial"/>
                <w:b/>
                <w:bCs/>
              </w:rPr>
              <w:t>DIP. SECRETARIO:</w:t>
            </w:r>
          </w:p>
          <w:p w:rsidR="00572DB1" w:rsidRPr="008E5CBE" w:rsidRDefault="00572DB1" w:rsidP="0005763C">
            <w:pPr>
              <w:spacing w:line="360" w:lineRule="auto"/>
              <w:rPr>
                <w:rFonts w:ascii="Arial" w:eastAsia="Times New Roman" w:hAnsi="Arial" w:cs="Arial"/>
                <w:b/>
                <w:bCs/>
              </w:rPr>
            </w:pPr>
          </w:p>
        </w:tc>
      </w:tr>
      <w:tr w:rsidR="00572DB1" w:rsidRPr="008E5CBE" w:rsidTr="0005763C">
        <w:trPr>
          <w:trHeight w:val="508"/>
          <w:jc w:val="center"/>
        </w:trPr>
        <w:tc>
          <w:tcPr>
            <w:tcW w:w="3131" w:type="dxa"/>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JOSÉ LUIS SANTOS MARTÍNEZ</w:t>
            </w:r>
          </w:p>
          <w:p w:rsidR="00572DB1" w:rsidRPr="008E5CBE" w:rsidRDefault="00572DB1" w:rsidP="0005763C">
            <w:pPr>
              <w:spacing w:line="360" w:lineRule="auto"/>
              <w:ind w:left="74"/>
              <w:rPr>
                <w:rFonts w:ascii="Arial" w:eastAsia="Times New Roman" w:hAnsi="Arial" w:cs="Arial"/>
              </w:rPr>
            </w:pPr>
          </w:p>
        </w:tc>
        <w:tc>
          <w:tcPr>
            <w:tcW w:w="3733" w:type="dxa"/>
            <w:hideMark/>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RÚBEN GONZÁLEZ CABRIELES</w:t>
            </w:r>
          </w:p>
        </w:tc>
      </w:tr>
      <w:tr w:rsidR="00572DB1" w:rsidRPr="008E5CBE" w:rsidTr="0005763C">
        <w:trPr>
          <w:trHeight w:val="1035"/>
          <w:jc w:val="center"/>
        </w:trPr>
        <w:tc>
          <w:tcPr>
            <w:tcW w:w="3131" w:type="dxa"/>
            <w:hideMark/>
          </w:tcPr>
          <w:p w:rsidR="00572DB1" w:rsidRPr="008E5CBE" w:rsidRDefault="00572DB1" w:rsidP="0005763C">
            <w:pPr>
              <w:spacing w:line="360" w:lineRule="auto"/>
              <w:ind w:left="74"/>
              <w:rPr>
                <w:rFonts w:ascii="Arial" w:eastAsia="Times New Roman" w:hAnsi="Arial" w:cs="Arial"/>
                <w:b/>
                <w:bCs/>
              </w:rPr>
            </w:pPr>
            <w:r w:rsidRPr="008E5CBE">
              <w:rPr>
                <w:rFonts w:ascii="Arial" w:hAnsi="Arial" w:cs="Arial"/>
                <w:b/>
                <w:bCs/>
              </w:rPr>
              <w:t xml:space="preserve">DIP. VOCAL: </w:t>
            </w:r>
          </w:p>
        </w:tc>
        <w:tc>
          <w:tcPr>
            <w:tcW w:w="3733" w:type="dxa"/>
          </w:tcPr>
          <w:p w:rsidR="00572DB1" w:rsidRPr="008E5CBE" w:rsidRDefault="00572DB1" w:rsidP="0005763C">
            <w:pPr>
              <w:spacing w:line="360" w:lineRule="auto"/>
              <w:ind w:left="74"/>
              <w:rPr>
                <w:rFonts w:ascii="Arial" w:eastAsia="Times New Roman" w:hAnsi="Arial" w:cs="Arial"/>
                <w:b/>
                <w:bCs/>
              </w:rPr>
            </w:pPr>
            <w:r w:rsidRPr="008E5CBE">
              <w:rPr>
                <w:rFonts w:ascii="Arial" w:hAnsi="Arial" w:cs="Arial"/>
                <w:b/>
                <w:bCs/>
              </w:rPr>
              <w:t>DIP. VOCAL:</w:t>
            </w:r>
          </w:p>
          <w:p w:rsidR="00572DB1" w:rsidRPr="008E5CBE" w:rsidRDefault="00572DB1" w:rsidP="0005763C">
            <w:pPr>
              <w:spacing w:line="360" w:lineRule="auto"/>
              <w:ind w:left="74"/>
              <w:rPr>
                <w:rFonts w:ascii="Arial" w:hAnsi="Arial" w:cs="Arial"/>
                <w:b/>
                <w:bCs/>
              </w:rPr>
            </w:pPr>
          </w:p>
          <w:p w:rsidR="00572DB1" w:rsidRPr="008E5CBE" w:rsidRDefault="00572DB1" w:rsidP="0005763C">
            <w:pPr>
              <w:spacing w:line="360" w:lineRule="auto"/>
              <w:ind w:left="74"/>
              <w:rPr>
                <w:rFonts w:ascii="Arial" w:eastAsia="Times New Roman" w:hAnsi="Arial" w:cs="Arial"/>
                <w:b/>
                <w:bCs/>
              </w:rPr>
            </w:pPr>
          </w:p>
        </w:tc>
      </w:tr>
      <w:tr w:rsidR="00572DB1" w:rsidRPr="008E5CBE" w:rsidTr="0005763C">
        <w:trPr>
          <w:trHeight w:val="752"/>
          <w:jc w:val="center"/>
        </w:trPr>
        <w:tc>
          <w:tcPr>
            <w:tcW w:w="3131" w:type="dxa"/>
          </w:tcPr>
          <w:p w:rsidR="00572DB1" w:rsidRPr="008E5CBE" w:rsidRDefault="00A31CA4" w:rsidP="0005763C">
            <w:pPr>
              <w:spacing w:line="360" w:lineRule="auto"/>
              <w:ind w:left="74"/>
              <w:rPr>
                <w:rFonts w:ascii="Arial" w:hAnsi="Arial" w:cs="Arial"/>
              </w:rPr>
            </w:pPr>
            <w:r w:rsidRPr="008E5CBE">
              <w:rPr>
                <w:rFonts w:ascii="Arial" w:hAnsi="Arial" w:cs="Arial"/>
              </w:rPr>
              <w:t>ANDRES MAURICIO CANTÚ RAMÍREZ</w:t>
            </w:r>
          </w:p>
          <w:p w:rsidR="00572DB1" w:rsidRPr="008E5CBE" w:rsidRDefault="00572DB1" w:rsidP="0005763C">
            <w:pPr>
              <w:spacing w:line="360" w:lineRule="auto"/>
              <w:ind w:left="74"/>
              <w:rPr>
                <w:rFonts w:ascii="Arial" w:hAnsi="Arial" w:cs="Arial"/>
              </w:rPr>
            </w:pPr>
          </w:p>
          <w:p w:rsidR="00572DB1" w:rsidRPr="008E5CBE" w:rsidRDefault="00572DB1" w:rsidP="0005763C">
            <w:pPr>
              <w:spacing w:line="360" w:lineRule="auto"/>
              <w:ind w:left="74"/>
              <w:rPr>
                <w:rFonts w:ascii="Arial" w:eastAsia="Times New Roman" w:hAnsi="Arial" w:cs="Arial"/>
              </w:rPr>
            </w:pPr>
          </w:p>
          <w:p w:rsidR="00572DB1" w:rsidRPr="008E5CBE" w:rsidRDefault="00572DB1" w:rsidP="0005763C">
            <w:pPr>
              <w:spacing w:line="360" w:lineRule="auto"/>
              <w:rPr>
                <w:rFonts w:ascii="Arial" w:eastAsia="Times New Roman" w:hAnsi="Arial" w:cs="Arial"/>
              </w:rPr>
            </w:pPr>
          </w:p>
        </w:tc>
        <w:tc>
          <w:tcPr>
            <w:tcW w:w="3733" w:type="dxa"/>
            <w:hideMark/>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ALICIA MARIBEL VILLALÓN GONZÁLEZ</w:t>
            </w:r>
          </w:p>
        </w:tc>
      </w:tr>
      <w:tr w:rsidR="00572DB1" w:rsidRPr="008E5CBE" w:rsidTr="0005763C">
        <w:trPr>
          <w:trHeight w:val="771"/>
          <w:jc w:val="center"/>
        </w:trPr>
        <w:tc>
          <w:tcPr>
            <w:tcW w:w="3131" w:type="dxa"/>
          </w:tcPr>
          <w:p w:rsidR="00572DB1" w:rsidRPr="008E5CBE" w:rsidRDefault="00572DB1" w:rsidP="0005763C">
            <w:pPr>
              <w:spacing w:line="360" w:lineRule="auto"/>
              <w:rPr>
                <w:rFonts w:ascii="Arial" w:eastAsia="Times New Roman" w:hAnsi="Arial" w:cs="Arial"/>
                <w:b/>
                <w:bCs/>
              </w:rPr>
            </w:pPr>
            <w:r w:rsidRPr="008E5CBE">
              <w:rPr>
                <w:rFonts w:ascii="Arial" w:hAnsi="Arial" w:cs="Arial"/>
                <w:b/>
                <w:bCs/>
              </w:rPr>
              <w:t>DIP. VOCAL:</w:t>
            </w:r>
          </w:p>
          <w:p w:rsidR="00572DB1" w:rsidRPr="008E5CBE" w:rsidRDefault="00572DB1" w:rsidP="0005763C">
            <w:pPr>
              <w:spacing w:line="360" w:lineRule="auto"/>
              <w:rPr>
                <w:rFonts w:ascii="Arial" w:eastAsia="Times New Roman" w:hAnsi="Arial" w:cs="Arial"/>
                <w:b/>
                <w:bCs/>
              </w:rPr>
            </w:pPr>
          </w:p>
        </w:tc>
        <w:tc>
          <w:tcPr>
            <w:tcW w:w="3733" w:type="dxa"/>
          </w:tcPr>
          <w:p w:rsidR="00572DB1" w:rsidRPr="008E5CBE" w:rsidRDefault="00572DB1" w:rsidP="0005763C">
            <w:pPr>
              <w:spacing w:line="360" w:lineRule="auto"/>
              <w:rPr>
                <w:rFonts w:ascii="Arial" w:eastAsia="Times New Roman" w:hAnsi="Arial" w:cs="Arial"/>
                <w:b/>
                <w:bCs/>
              </w:rPr>
            </w:pPr>
            <w:r w:rsidRPr="008E5CBE">
              <w:rPr>
                <w:rFonts w:ascii="Arial" w:hAnsi="Arial" w:cs="Arial"/>
                <w:b/>
                <w:bCs/>
              </w:rPr>
              <w:t>DIP. VOCAL:</w:t>
            </w:r>
          </w:p>
          <w:p w:rsidR="00572DB1" w:rsidRPr="008E5CBE" w:rsidRDefault="00572DB1" w:rsidP="0005763C">
            <w:pPr>
              <w:spacing w:line="360" w:lineRule="auto"/>
              <w:rPr>
                <w:rFonts w:ascii="Arial" w:hAnsi="Arial" w:cs="Arial"/>
                <w:b/>
                <w:bCs/>
              </w:rPr>
            </w:pPr>
          </w:p>
          <w:p w:rsidR="00572DB1" w:rsidRPr="008E5CBE" w:rsidRDefault="00572DB1" w:rsidP="0005763C">
            <w:pPr>
              <w:spacing w:line="360" w:lineRule="auto"/>
              <w:ind w:left="74"/>
              <w:rPr>
                <w:rFonts w:ascii="Arial" w:eastAsia="Times New Roman" w:hAnsi="Arial" w:cs="Arial"/>
                <w:b/>
                <w:bCs/>
              </w:rPr>
            </w:pPr>
          </w:p>
        </w:tc>
      </w:tr>
      <w:tr w:rsidR="00572DB1" w:rsidRPr="008E5CBE" w:rsidTr="0005763C">
        <w:trPr>
          <w:trHeight w:val="508"/>
          <w:jc w:val="center"/>
        </w:trPr>
        <w:tc>
          <w:tcPr>
            <w:tcW w:w="3131" w:type="dxa"/>
            <w:hideMark/>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 xml:space="preserve">GABRIEL TLALOC CANTÚ CANTÚ </w:t>
            </w:r>
          </w:p>
        </w:tc>
        <w:tc>
          <w:tcPr>
            <w:tcW w:w="3733" w:type="dxa"/>
            <w:hideMark/>
          </w:tcPr>
          <w:p w:rsidR="00572DB1" w:rsidRPr="008E5CBE" w:rsidRDefault="00A31CA4" w:rsidP="00E95AA2">
            <w:pPr>
              <w:spacing w:line="360" w:lineRule="auto"/>
              <w:ind w:left="74"/>
              <w:rPr>
                <w:rFonts w:ascii="Arial" w:eastAsia="Times New Roman" w:hAnsi="Arial" w:cs="Arial"/>
              </w:rPr>
            </w:pPr>
            <w:r w:rsidRPr="008E5CBE">
              <w:rPr>
                <w:rFonts w:ascii="Arial" w:hAnsi="Arial" w:cs="Arial"/>
              </w:rPr>
              <w:t>ROSAL</w:t>
            </w:r>
            <w:r w:rsidR="00E95AA2">
              <w:rPr>
                <w:rFonts w:ascii="Arial" w:hAnsi="Arial" w:cs="Arial"/>
              </w:rPr>
              <w:t>V</w:t>
            </w:r>
            <w:r w:rsidRPr="008E5CBE">
              <w:rPr>
                <w:rFonts w:ascii="Arial" w:hAnsi="Arial" w:cs="Arial"/>
              </w:rPr>
              <w:t xml:space="preserve">A LLANES RIVERA </w:t>
            </w:r>
          </w:p>
        </w:tc>
      </w:tr>
      <w:tr w:rsidR="00572DB1" w:rsidRPr="008E5CBE" w:rsidTr="0005763C">
        <w:trPr>
          <w:trHeight w:val="1016"/>
          <w:jc w:val="center"/>
        </w:trPr>
        <w:tc>
          <w:tcPr>
            <w:tcW w:w="3131" w:type="dxa"/>
            <w:hideMark/>
          </w:tcPr>
          <w:p w:rsidR="00572DB1" w:rsidRPr="008E5CBE" w:rsidRDefault="00572DB1" w:rsidP="0005763C">
            <w:pPr>
              <w:spacing w:line="360" w:lineRule="auto"/>
              <w:rPr>
                <w:rFonts w:ascii="Arial" w:eastAsia="Times New Roman" w:hAnsi="Arial" w:cs="Arial"/>
                <w:b/>
                <w:bCs/>
              </w:rPr>
            </w:pPr>
            <w:r w:rsidRPr="008E5CBE">
              <w:rPr>
                <w:rFonts w:ascii="Arial" w:hAnsi="Arial" w:cs="Arial"/>
                <w:b/>
                <w:bCs/>
              </w:rPr>
              <w:lastRenderedPageBreak/>
              <w:t>DIP. VOCAL:</w:t>
            </w:r>
            <w:r w:rsidRPr="008E5CBE">
              <w:rPr>
                <w:rFonts w:ascii="Arial" w:hAnsi="Arial" w:cs="Arial"/>
                <w:b/>
                <w:bCs/>
              </w:rPr>
              <w:tab/>
            </w:r>
          </w:p>
        </w:tc>
        <w:tc>
          <w:tcPr>
            <w:tcW w:w="3733" w:type="dxa"/>
          </w:tcPr>
          <w:p w:rsidR="00572DB1" w:rsidRPr="008E5CBE" w:rsidRDefault="00572DB1" w:rsidP="0005763C">
            <w:pPr>
              <w:spacing w:line="360" w:lineRule="auto"/>
              <w:rPr>
                <w:rFonts w:ascii="Arial" w:eastAsia="Times New Roman" w:hAnsi="Arial" w:cs="Arial"/>
                <w:b/>
                <w:bCs/>
              </w:rPr>
            </w:pPr>
            <w:r w:rsidRPr="008E5CBE">
              <w:rPr>
                <w:rFonts w:ascii="Arial" w:hAnsi="Arial" w:cs="Arial"/>
                <w:b/>
                <w:bCs/>
              </w:rPr>
              <w:t>DIP. VOCAL:</w:t>
            </w:r>
          </w:p>
          <w:p w:rsidR="00572DB1" w:rsidRPr="008E5CBE" w:rsidRDefault="00572DB1" w:rsidP="0005763C">
            <w:pPr>
              <w:spacing w:line="360" w:lineRule="auto"/>
              <w:ind w:left="74"/>
              <w:rPr>
                <w:rFonts w:ascii="Arial" w:hAnsi="Arial" w:cs="Arial"/>
                <w:b/>
                <w:bCs/>
              </w:rPr>
            </w:pPr>
          </w:p>
          <w:p w:rsidR="00572DB1" w:rsidRPr="008E5CBE" w:rsidRDefault="00572DB1" w:rsidP="0005763C">
            <w:pPr>
              <w:spacing w:line="360" w:lineRule="auto"/>
              <w:ind w:left="74"/>
              <w:rPr>
                <w:rFonts w:ascii="Arial" w:eastAsia="Times New Roman" w:hAnsi="Arial" w:cs="Arial"/>
                <w:b/>
                <w:bCs/>
              </w:rPr>
            </w:pPr>
          </w:p>
        </w:tc>
      </w:tr>
      <w:tr w:rsidR="00572DB1" w:rsidRPr="008E5CBE" w:rsidTr="0005763C">
        <w:trPr>
          <w:trHeight w:val="527"/>
          <w:jc w:val="center"/>
        </w:trPr>
        <w:tc>
          <w:tcPr>
            <w:tcW w:w="3131" w:type="dxa"/>
            <w:hideMark/>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ÁNGEL ALBERTO BARROSO CORREA</w:t>
            </w:r>
          </w:p>
        </w:tc>
        <w:tc>
          <w:tcPr>
            <w:tcW w:w="3733" w:type="dxa"/>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 xml:space="preserve">LETICIA MARLENE BENVENUTTI VILLARREAL </w:t>
            </w:r>
          </w:p>
          <w:p w:rsidR="00572DB1" w:rsidRPr="008E5CBE" w:rsidRDefault="00572DB1" w:rsidP="0005763C">
            <w:pPr>
              <w:spacing w:line="360" w:lineRule="auto"/>
              <w:ind w:left="74"/>
              <w:rPr>
                <w:rFonts w:ascii="Arial" w:eastAsia="Times New Roman" w:hAnsi="Arial" w:cs="Arial"/>
              </w:rPr>
            </w:pPr>
          </w:p>
        </w:tc>
      </w:tr>
      <w:tr w:rsidR="00572DB1" w:rsidRPr="008E5CBE" w:rsidTr="0005763C">
        <w:trPr>
          <w:trHeight w:val="1016"/>
          <w:jc w:val="center"/>
        </w:trPr>
        <w:tc>
          <w:tcPr>
            <w:tcW w:w="3131" w:type="dxa"/>
            <w:hideMark/>
          </w:tcPr>
          <w:p w:rsidR="00572DB1" w:rsidRPr="008E5CBE" w:rsidRDefault="00572DB1" w:rsidP="0005763C">
            <w:pPr>
              <w:spacing w:line="360" w:lineRule="auto"/>
              <w:ind w:left="74"/>
              <w:rPr>
                <w:rFonts w:ascii="Arial" w:eastAsia="Times New Roman" w:hAnsi="Arial" w:cs="Arial"/>
                <w:b/>
                <w:bCs/>
              </w:rPr>
            </w:pPr>
            <w:r w:rsidRPr="008E5CBE">
              <w:rPr>
                <w:rFonts w:ascii="Arial" w:hAnsi="Arial" w:cs="Arial"/>
                <w:b/>
                <w:bCs/>
              </w:rPr>
              <w:t>DIP. VOCAL:</w:t>
            </w:r>
          </w:p>
        </w:tc>
        <w:tc>
          <w:tcPr>
            <w:tcW w:w="3733" w:type="dxa"/>
          </w:tcPr>
          <w:p w:rsidR="00572DB1" w:rsidRPr="008E5CBE" w:rsidRDefault="00572DB1" w:rsidP="0005763C">
            <w:pPr>
              <w:spacing w:line="360" w:lineRule="auto"/>
              <w:ind w:left="74"/>
              <w:rPr>
                <w:rFonts w:ascii="Arial" w:eastAsia="Times New Roman" w:hAnsi="Arial" w:cs="Arial"/>
                <w:b/>
                <w:bCs/>
              </w:rPr>
            </w:pPr>
            <w:r w:rsidRPr="008E5CBE">
              <w:rPr>
                <w:rFonts w:ascii="Arial" w:hAnsi="Arial" w:cs="Arial"/>
                <w:b/>
                <w:bCs/>
              </w:rPr>
              <w:t>DIP. VOCAL:</w:t>
            </w:r>
          </w:p>
          <w:p w:rsidR="00572DB1" w:rsidRPr="008E5CBE" w:rsidRDefault="00572DB1" w:rsidP="0005763C">
            <w:pPr>
              <w:spacing w:line="360" w:lineRule="auto"/>
              <w:ind w:left="74"/>
              <w:rPr>
                <w:rFonts w:ascii="Arial" w:hAnsi="Arial" w:cs="Arial"/>
                <w:b/>
                <w:bCs/>
              </w:rPr>
            </w:pPr>
          </w:p>
          <w:p w:rsidR="00572DB1" w:rsidRPr="008E5CBE" w:rsidRDefault="00572DB1" w:rsidP="0005763C">
            <w:pPr>
              <w:spacing w:line="360" w:lineRule="auto"/>
              <w:rPr>
                <w:rFonts w:ascii="Arial" w:eastAsia="Times New Roman" w:hAnsi="Arial" w:cs="Arial"/>
                <w:b/>
                <w:bCs/>
              </w:rPr>
            </w:pPr>
          </w:p>
        </w:tc>
      </w:tr>
      <w:tr w:rsidR="00572DB1" w:rsidTr="0005763C">
        <w:trPr>
          <w:trHeight w:val="508"/>
          <w:jc w:val="center"/>
        </w:trPr>
        <w:tc>
          <w:tcPr>
            <w:tcW w:w="3131" w:type="dxa"/>
            <w:hideMark/>
          </w:tcPr>
          <w:p w:rsidR="00572DB1" w:rsidRPr="008E5CBE" w:rsidRDefault="00A31CA4" w:rsidP="0005763C">
            <w:pPr>
              <w:spacing w:line="360" w:lineRule="auto"/>
              <w:ind w:left="74"/>
              <w:rPr>
                <w:rFonts w:ascii="Arial" w:eastAsia="Times New Roman" w:hAnsi="Arial" w:cs="Arial"/>
              </w:rPr>
            </w:pPr>
            <w:r w:rsidRPr="008E5CBE">
              <w:rPr>
                <w:rFonts w:ascii="Arial" w:hAnsi="Arial" w:cs="Arial"/>
              </w:rPr>
              <w:t>DANIEL CARRILLO MARTÍNEZ</w:t>
            </w:r>
          </w:p>
        </w:tc>
        <w:tc>
          <w:tcPr>
            <w:tcW w:w="3733" w:type="dxa"/>
            <w:hideMark/>
          </w:tcPr>
          <w:p w:rsidR="00572DB1" w:rsidRDefault="00A31CA4" w:rsidP="0005763C">
            <w:pPr>
              <w:spacing w:line="360" w:lineRule="auto"/>
              <w:ind w:left="74"/>
              <w:rPr>
                <w:rFonts w:ascii="Arial" w:eastAsia="Times New Roman" w:hAnsi="Arial" w:cs="Arial"/>
              </w:rPr>
            </w:pPr>
            <w:r w:rsidRPr="008E5CBE">
              <w:rPr>
                <w:rFonts w:ascii="Arial" w:hAnsi="Arial" w:cs="Arial"/>
              </w:rPr>
              <w:t>COSME JULIÁN LEAL CANTÚ</w:t>
            </w:r>
          </w:p>
        </w:tc>
      </w:tr>
    </w:tbl>
    <w:p w:rsidR="00DE0B9F" w:rsidRPr="008B2380" w:rsidRDefault="00DE0B9F" w:rsidP="00903B5E">
      <w:pPr>
        <w:ind w:left="-142"/>
        <w:jc w:val="center"/>
        <w:rPr>
          <w:rFonts w:ascii="Arial" w:hAnsi="Arial" w:cs="Arial"/>
          <w:caps/>
        </w:rPr>
      </w:pPr>
    </w:p>
    <w:p w:rsidR="00DE0B9F" w:rsidRPr="008B2380" w:rsidRDefault="00DE0B9F" w:rsidP="004C2F21">
      <w:pPr>
        <w:jc w:val="center"/>
        <w:rPr>
          <w:rFonts w:ascii="Arial" w:hAnsi="Arial" w:cs="Arial"/>
        </w:rPr>
      </w:pPr>
    </w:p>
    <w:sectPr w:rsidR="00DE0B9F" w:rsidRPr="008B2380" w:rsidSect="00E95AA2">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0A" w:rsidRDefault="0091710A" w:rsidP="005003EB">
      <w:pPr>
        <w:spacing w:after="0" w:line="240" w:lineRule="auto"/>
      </w:pPr>
      <w:r>
        <w:separator/>
      </w:r>
    </w:p>
  </w:endnote>
  <w:endnote w:type="continuationSeparator" w:id="0">
    <w:p w:rsidR="0091710A" w:rsidRDefault="0091710A"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D2" w:rsidRPr="00A267EC" w:rsidRDefault="005F6C4E">
    <w:pPr>
      <w:pStyle w:val="Piedepgina"/>
      <w:jc w:val="right"/>
      <w:rPr>
        <w:rFonts w:ascii="Arial" w:hAnsi="Arial" w:cs="Arial"/>
        <w:sz w:val="16"/>
        <w:szCs w:val="16"/>
      </w:rPr>
    </w:pPr>
    <w:r w:rsidRPr="00A267EC">
      <w:rPr>
        <w:rFonts w:ascii="Arial" w:hAnsi="Arial" w:cs="Arial"/>
        <w:sz w:val="16"/>
        <w:szCs w:val="16"/>
      </w:rPr>
      <w:fldChar w:fldCharType="begin"/>
    </w:r>
    <w:r w:rsidR="00112CD2" w:rsidRPr="00A267EC">
      <w:rPr>
        <w:rFonts w:ascii="Arial" w:hAnsi="Arial" w:cs="Arial"/>
        <w:sz w:val="16"/>
        <w:szCs w:val="16"/>
      </w:rPr>
      <w:instrText xml:space="preserve"> PAGE   \* MERGEFORMAT </w:instrText>
    </w:r>
    <w:r w:rsidRPr="00A267EC">
      <w:rPr>
        <w:rFonts w:ascii="Arial" w:hAnsi="Arial" w:cs="Arial"/>
        <w:sz w:val="16"/>
        <w:szCs w:val="16"/>
      </w:rPr>
      <w:fldChar w:fldCharType="separate"/>
    </w:r>
    <w:r w:rsidR="00E95AA2">
      <w:rPr>
        <w:rFonts w:ascii="Arial" w:hAnsi="Arial" w:cs="Arial"/>
        <w:noProof/>
        <w:sz w:val="16"/>
        <w:szCs w:val="16"/>
      </w:rPr>
      <w:t>23</w:t>
    </w:r>
    <w:r w:rsidRPr="00A267EC">
      <w:rPr>
        <w:rFonts w:ascii="Arial" w:hAnsi="Arial" w:cs="Arial"/>
        <w:sz w:val="16"/>
        <w:szCs w:val="16"/>
      </w:rPr>
      <w:fldChar w:fldCharType="end"/>
    </w:r>
  </w:p>
  <w:p w:rsidR="00112CD2" w:rsidRPr="00A267EC" w:rsidRDefault="00112CD2" w:rsidP="005003EB">
    <w:pPr>
      <w:pStyle w:val="Piedepgina"/>
      <w:jc w:val="center"/>
      <w:rPr>
        <w:rFonts w:ascii="Arial" w:hAnsi="Arial" w:cs="Arial"/>
        <w:sz w:val="16"/>
        <w:szCs w:val="16"/>
      </w:rPr>
    </w:pPr>
    <w:r w:rsidRPr="00A267EC">
      <w:rPr>
        <w:rFonts w:ascii="Arial" w:hAnsi="Arial" w:cs="Arial"/>
        <w:sz w:val="16"/>
        <w:szCs w:val="16"/>
      </w:rPr>
      <w:t>Comisión Segunda de Hacienda y Desarrollo Municipal</w:t>
    </w:r>
  </w:p>
  <w:p w:rsidR="00112CD2" w:rsidRPr="00A267EC" w:rsidRDefault="00A267EC" w:rsidP="005003EB">
    <w:pPr>
      <w:pStyle w:val="Piedepgina"/>
      <w:jc w:val="center"/>
      <w:rPr>
        <w:rFonts w:ascii="Arial" w:hAnsi="Arial" w:cs="Arial"/>
        <w:sz w:val="16"/>
        <w:szCs w:val="16"/>
      </w:rPr>
    </w:pPr>
    <w:r>
      <w:rPr>
        <w:rFonts w:ascii="Arial" w:hAnsi="Arial" w:cs="Arial"/>
        <w:sz w:val="16"/>
        <w:szCs w:val="16"/>
      </w:rPr>
      <w:t xml:space="preserve">Dictamen del </w:t>
    </w:r>
    <w:r w:rsidR="00175ACC" w:rsidRPr="00A267EC">
      <w:rPr>
        <w:rFonts w:ascii="Arial" w:hAnsi="Arial" w:cs="Arial"/>
        <w:sz w:val="16"/>
        <w:szCs w:val="16"/>
      </w:rPr>
      <w:t>Expediente 7096</w:t>
    </w:r>
    <w:r w:rsidR="00F47640" w:rsidRPr="00A267EC">
      <w:rPr>
        <w:rFonts w:ascii="Arial" w:hAnsi="Arial" w:cs="Arial"/>
        <w:sz w:val="16"/>
        <w:szCs w:val="16"/>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0A" w:rsidRDefault="0091710A" w:rsidP="005003EB">
      <w:pPr>
        <w:spacing w:after="0" w:line="240" w:lineRule="auto"/>
      </w:pPr>
      <w:r>
        <w:separator/>
      </w:r>
    </w:p>
  </w:footnote>
  <w:footnote w:type="continuationSeparator" w:id="0">
    <w:p w:rsidR="0091710A" w:rsidRDefault="0091710A"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6"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2"/>
  </w:num>
  <w:num w:numId="5">
    <w:abstractNumId w:val="4"/>
  </w:num>
  <w:num w:numId="6">
    <w:abstractNumId w:val="17"/>
  </w:num>
  <w:num w:numId="7">
    <w:abstractNumId w:val="27"/>
  </w:num>
  <w:num w:numId="8">
    <w:abstractNumId w:val="38"/>
  </w:num>
  <w:num w:numId="9">
    <w:abstractNumId w:val="19"/>
  </w:num>
  <w:num w:numId="10">
    <w:abstractNumId w:val="37"/>
  </w:num>
  <w:num w:numId="11">
    <w:abstractNumId w:val="6"/>
  </w:num>
  <w:num w:numId="12">
    <w:abstractNumId w:val="26"/>
  </w:num>
  <w:num w:numId="13">
    <w:abstractNumId w:val="44"/>
  </w:num>
  <w:num w:numId="14">
    <w:abstractNumId w:val="32"/>
  </w:num>
  <w:num w:numId="15">
    <w:abstractNumId w:val="22"/>
  </w:num>
  <w:num w:numId="16">
    <w:abstractNumId w:val="3"/>
  </w:num>
  <w:num w:numId="17">
    <w:abstractNumId w:val="40"/>
  </w:num>
  <w:num w:numId="18">
    <w:abstractNumId w:val="5"/>
  </w:num>
  <w:num w:numId="19">
    <w:abstractNumId w:val="31"/>
  </w:num>
  <w:num w:numId="20">
    <w:abstractNumId w:val="8"/>
  </w:num>
  <w:num w:numId="21">
    <w:abstractNumId w:val="15"/>
  </w:num>
  <w:num w:numId="22">
    <w:abstractNumId w:val="0"/>
  </w:num>
  <w:num w:numId="23">
    <w:abstractNumId w:val="36"/>
  </w:num>
  <w:num w:numId="24">
    <w:abstractNumId w:val="9"/>
  </w:num>
  <w:num w:numId="25">
    <w:abstractNumId w:val="39"/>
  </w:num>
  <w:num w:numId="26">
    <w:abstractNumId w:val="30"/>
  </w:num>
  <w:num w:numId="27">
    <w:abstractNumId w:val="13"/>
  </w:num>
  <w:num w:numId="28">
    <w:abstractNumId w:val="1"/>
  </w:num>
  <w:num w:numId="29">
    <w:abstractNumId w:val="14"/>
  </w:num>
  <w:num w:numId="30">
    <w:abstractNumId w:val="7"/>
  </w:num>
  <w:num w:numId="31">
    <w:abstractNumId w:val="35"/>
  </w:num>
  <w:num w:numId="32">
    <w:abstractNumId w:val="11"/>
  </w:num>
  <w:num w:numId="33">
    <w:abstractNumId w:val="10"/>
  </w:num>
  <w:num w:numId="34">
    <w:abstractNumId w:val="41"/>
  </w:num>
  <w:num w:numId="35">
    <w:abstractNumId w:val="29"/>
  </w:num>
  <w:num w:numId="36">
    <w:abstractNumId w:val="20"/>
  </w:num>
  <w:num w:numId="37">
    <w:abstractNumId w:val="18"/>
  </w:num>
  <w:num w:numId="38">
    <w:abstractNumId w:val="28"/>
  </w:num>
  <w:num w:numId="39">
    <w:abstractNumId w:val="43"/>
  </w:num>
  <w:num w:numId="40">
    <w:abstractNumId w:val="25"/>
  </w:num>
  <w:num w:numId="41">
    <w:abstractNumId w:val="45"/>
  </w:num>
  <w:num w:numId="42">
    <w:abstractNumId w:val="16"/>
  </w:num>
  <w:num w:numId="43">
    <w:abstractNumId w:val="46"/>
  </w:num>
  <w:num w:numId="44">
    <w:abstractNumId w:val="42"/>
  </w:num>
  <w:num w:numId="45">
    <w:abstractNumId w:val="3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6469"/>
    <w:rsid w:val="00010F14"/>
    <w:rsid w:val="00011D4F"/>
    <w:rsid w:val="000126BE"/>
    <w:rsid w:val="00014672"/>
    <w:rsid w:val="00014756"/>
    <w:rsid w:val="00016716"/>
    <w:rsid w:val="00022C35"/>
    <w:rsid w:val="00024100"/>
    <w:rsid w:val="000270BA"/>
    <w:rsid w:val="00030357"/>
    <w:rsid w:val="00030F07"/>
    <w:rsid w:val="00035CE3"/>
    <w:rsid w:val="00036186"/>
    <w:rsid w:val="00040D81"/>
    <w:rsid w:val="00047CCC"/>
    <w:rsid w:val="00047FEB"/>
    <w:rsid w:val="00050916"/>
    <w:rsid w:val="00051286"/>
    <w:rsid w:val="000522D8"/>
    <w:rsid w:val="00056BF6"/>
    <w:rsid w:val="0005714F"/>
    <w:rsid w:val="00057B3D"/>
    <w:rsid w:val="00063CBA"/>
    <w:rsid w:val="00064961"/>
    <w:rsid w:val="00072102"/>
    <w:rsid w:val="00073E2A"/>
    <w:rsid w:val="00074ACC"/>
    <w:rsid w:val="0007518A"/>
    <w:rsid w:val="0007621A"/>
    <w:rsid w:val="00076EBE"/>
    <w:rsid w:val="00080EC4"/>
    <w:rsid w:val="000812FC"/>
    <w:rsid w:val="000813D2"/>
    <w:rsid w:val="00081AFE"/>
    <w:rsid w:val="00085061"/>
    <w:rsid w:val="0008573C"/>
    <w:rsid w:val="00087527"/>
    <w:rsid w:val="00092263"/>
    <w:rsid w:val="00093C5B"/>
    <w:rsid w:val="00096111"/>
    <w:rsid w:val="000A2518"/>
    <w:rsid w:val="000A2DE6"/>
    <w:rsid w:val="000A59BF"/>
    <w:rsid w:val="000A63E0"/>
    <w:rsid w:val="000A6FDF"/>
    <w:rsid w:val="000B16E4"/>
    <w:rsid w:val="000B2E4E"/>
    <w:rsid w:val="000B3778"/>
    <w:rsid w:val="000B516E"/>
    <w:rsid w:val="000C02F1"/>
    <w:rsid w:val="000C03A1"/>
    <w:rsid w:val="000C1023"/>
    <w:rsid w:val="000C18C6"/>
    <w:rsid w:val="000C1977"/>
    <w:rsid w:val="000C2061"/>
    <w:rsid w:val="000C2D6F"/>
    <w:rsid w:val="000C3A06"/>
    <w:rsid w:val="000C676C"/>
    <w:rsid w:val="000D34D5"/>
    <w:rsid w:val="000D5EEA"/>
    <w:rsid w:val="000D7680"/>
    <w:rsid w:val="000E00D7"/>
    <w:rsid w:val="000E29BC"/>
    <w:rsid w:val="000E3121"/>
    <w:rsid w:val="000E729A"/>
    <w:rsid w:val="000F2EBE"/>
    <w:rsid w:val="000F3F71"/>
    <w:rsid w:val="000F5448"/>
    <w:rsid w:val="000F5619"/>
    <w:rsid w:val="000F5D6E"/>
    <w:rsid w:val="00100351"/>
    <w:rsid w:val="00100C21"/>
    <w:rsid w:val="00100C4C"/>
    <w:rsid w:val="00102664"/>
    <w:rsid w:val="001042B4"/>
    <w:rsid w:val="00104468"/>
    <w:rsid w:val="00106FA7"/>
    <w:rsid w:val="0010753E"/>
    <w:rsid w:val="001112E2"/>
    <w:rsid w:val="00112CD2"/>
    <w:rsid w:val="00114296"/>
    <w:rsid w:val="0012029B"/>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1467"/>
    <w:rsid w:val="00162737"/>
    <w:rsid w:val="00164696"/>
    <w:rsid w:val="00164899"/>
    <w:rsid w:val="00165DF5"/>
    <w:rsid w:val="00167803"/>
    <w:rsid w:val="00171621"/>
    <w:rsid w:val="00175ACC"/>
    <w:rsid w:val="00182A12"/>
    <w:rsid w:val="00182FA2"/>
    <w:rsid w:val="001839AA"/>
    <w:rsid w:val="00186CB2"/>
    <w:rsid w:val="00191679"/>
    <w:rsid w:val="001938B4"/>
    <w:rsid w:val="001954A2"/>
    <w:rsid w:val="00195AE8"/>
    <w:rsid w:val="0019773E"/>
    <w:rsid w:val="001A0CAB"/>
    <w:rsid w:val="001A5212"/>
    <w:rsid w:val="001A727A"/>
    <w:rsid w:val="001B47DA"/>
    <w:rsid w:val="001B56BC"/>
    <w:rsid w:val="001B77AA"/>
    <w:rsid w:val="001C1F1F"/>
    <w:rsid w:val="001C66A8"/>
    <w:rsid w:val="001D253D"/>
    <w:rsid w:val="001D33E0"/>
    <w:rsid w:val="001D6082"/>
    <w:rsid w:val="001E20FC"/>
    <w:rsid w:val="001E6EEF"/>
    <w:rsid w:val="001F1226"/>
    <w:rsid w:val="001F1771"/>
    <w:rsid w:val="001F1D27"/>
    <w:rsid w:val="001F35FE"/>
    <w:rsid w:val="001F3F56"/>
    <w:rsid w:val="001F60D3"/>
    <w:rsid w:val="001F6974"/>
    <w:rsid w:val="001F7316"/>
    <w:rsid w:val="001F78E4"/>
    <w:rsid w:val="001F7B8F"/>
    <w:rsid w:val="0020008B"/>
    <w:rsid w:val="002021F3"/>
    <w:rsid w:val="00203F64"/>
    <w:rsid w:val="002040DB"/>
    <w:rsid w:val="002110F6"/>
    <w:rsid w:val="00211972"/>
    <w:rsid w:val="002144B3"/>
    <w:rsid w:val="002161DE"/>
    <w:rsid w:val="0021623F"/>
    <w:rsid w:val="00217FA5"/>
    <w:rsid w:val="002201B9"/>
    <w:rsid w:val="00223FA0"/>
    <w:rsid w:val="002241F6"/>
    <w:rsid w:val="0022657A"/>
    <w:rsid w:val="00226F49"/>
    <w:rsid w:val="00230540"/>
    <w:rsid w:val="00232FA1"/>
    <w:rsid w:val="00233963"/>
    <w:rsid w:val="00236D72"/>
    <w:rsid w:val="00240932"/>
    <w:rsid w:val="00240AC6"/>
    <w:rsid w:val="00240EAD"/>
    <w:rsid w:val="002437E4"/>
    <w:rsid w:val="00244602"/>
    <w:rsid w:val="00245BC8"/>
    <w:rsid w:val="002520EE"/>
    <w:rsid w:val="00252CCD"/>
    <w:rsid w:val="0025547B"/>
    <w:rsid w:val="00256831"/>
    <w:rsid w:val="00256905"/>
    <w:rsid w:val="0025754A"/>
    <w:rsid w:val="00257B06"/>
    <w:rsid w:val="00260AC1"/>
    <w:rsid w:val="00262FD5"/>
    <w:rsid w:val="002669EF"/>
    <w:rsid w:val="00270E97"/>
    <w:rsid w:val="0027331D"/>
    <w:rsid w:val="00283BB4"/>
    <w:rsid w:val="00285116"/>
    <w:rsid w:val="002877DC"/>
    <w:rsid w:val="00292A20"/>
    <w:rsid w:val="00295469"/>
    <w:rsid w:val="00297B3F"/>
    <w:rsid w:val="002A112F"/>
    <w:rsid w:val="002A19E9"/>
    <w:rsid w:val="002A5B45"/>
    <w:rsid w:val="002A5FB3"/>
    <w:rsid w:val="002A623F"/>
    <w:rsid w:val="002A7822"/>
    <w:rsid w:val="002B19EF"/>
    <w:rsid w:val="002B2D70"/>
    <w:rsid w:val="002B330B"/>
    <w:rsid w:val="002B4EA7"/>
    <w:rsid w:val="002B6026"/>
    <w:rsid w:val="002C13EF"/>
    <w:rsid w:val="002C41D0"/>
    <w:rsid w:val="002C57CD"/>
    <w:rsid w:val="002D7AE4"/>
    <w:rsid w:val="002E1EAE"/>
    <w:rsid w:val="002E6F5D"/>
    <w:rsid w:val="002F1915"/>
    <w:rsid w:val="002F2B6D"/>
    <w:rsid w:val="002F34DA"/>
    <w:rsid w:val="002F41EB"/>
    <w:rsid w:val="002F5C7D"/>
    <w:rsid w:val="002F7886"/>
    <w:rsid w:val="003059DB"/>
    <w:rsid w:val="00305F18"/>
    <w:rsid w:val="003066CA"/>
    <w:rsid w:val="0030675A"/>
    <w:rsid w:val="00310909"/>
    <w:rsid w:val="00310DD5"/>
    <w:rsid w:val="00312652"/>
    <w:rsid w:val="003219B2"/>
    <w:rsid w:val="00322144"/>
    <w:rsid w:val="00323D24"/>
    <w:rsid w:val="003277F5"/>
    <w:rsid w:val="00330CB7"/>
    <w:rsid w:val="00332790"/>
    <w:rsid w:val="0033280D"/>
    <w:rsid w:val="00333ACD"/>
    <w:rsid w:val="00334810"/>
    <w:rsid w:val="00334CA4"/>
    <w:rsid w:val="0033659E"/>
    <w:rsid w:val="003430BD"/>
    <w:rsid w:val="00343193"/>
    <w:rsid w:val="00346AB9"/>
    <w:rsid w:val="00346CD8"/>
    <w:rsid w:val="00351B05"/>
    <w:rsid w:val="0035235C"/>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EDA"/>
    <w:rsid w:val="00387BDD"/>
    <w:rsid w:val="0039209E"/>
    <w:rsid w:val="003939C8"/>
    <w:rsid w:val="00393F80"/>
    <w:rsid w:val="00394448"/>
    <w:rsid w:val="00397279"/>
    <w:rsid w:val="003977EA"/>
    <w:rsid w:val="003A0649"/>
    <w:rsid w:val="003A24BC"/>
    <w:rsid w:val="003A408C"/>
    <w:rsid w:val="003A6179"/>
    <w:rsid w:val="003A6BBE"/>
    <w:rsid w:val="003B1337"/>
    <w:rsid w:val="003B4CC5"/>
    <w:rsid w:val="003B4FDC"/>
    <w:rsid w:val="003B61B3"/>
    <w:rsid w:val="003C10A7"/>
    <w:rsid w:val="003C289C"/>
    <w:rsid w:val="003C2C57"/>
    <w:rsid w:val="003C2EA1"/>
    <w:rsid w:val="003C3FCD"/>
    <w:rsid w:val="003C41D0"/>
    <w:rsid w:val="003D4168"/>
    <w:rsid w:val="003D440B"/>
    <w:rsid w:val="003E0D97"/>
    <w:rsid w:val="003E577F"/>
    <w:rsid w:val="003F0110"/>
    <w:rsid w:val="003F3977"/>
    <w:rsid w:val="004029FD"/>
    <w:rsid w:val="00404E96"/>
    <w:rsid w:val="00405ACF"/>
    <w:rsid w:val="00407EE2"/>
    <w:rsid w:val="004104DB"/>
    <w:rsid w:val="00413C7F"/>
    <w:rsid w:val="00414E39"/>
    <w:rsid w:val="00414F86"/>
    <w:rsid w:val="00422BB1"/>
    <w:rsid w:val="004235E7"/>
    <w:rsid w:val="00424F17"/>
    <w:rsid w:val="0042588A"/>
    <w:rsid w:val="00434D69"/>
    <w:rsid w:val="004412AD"/>
    <w:rsid w:val="004427B1"/>
    <w:rsid w:val="004431B4"/>
    <w:rsid w:val="00443275"/>
    <w:rsid w:val="00445101"/>
    <w:rsid w:val="00446628"/>
    <w:rsid w:val="004556E8"/>
    <w:rsid w:val="004556EC"/>
    <w:rsid w:val="00460442"/>
    <w:rsid w:val="004652F5"/>
    <w:rsid w:val="0046702B"/>
    <w:rsid w:val="00467B01"/>
    <w:rsid w:val="00474218"/>
    <w:rsid w:val="00475E05"/>
    <w:rsid w:val="004770EE"/>
    <w:rsid w:val="00482830"/>
    <w:rsid w:val="00485C6B"/>
    <w:rsid w:val="00486F06"/>
    <w:rsid w:val="004906EB"/>
    <w:rsid w:val="00492509"/>
    <w:rsid w:val="004A317C"/>
    <w:rsid w:val="004A34DB"/>
    <w:rsid w:val="004A4EA7"/>
    <w:rsid w:val="004B126C"/>
    <w:rsid w:val="004B5D5F"/>
    <w:rsid w:val="004C14CB"/>
    <w:rsid w:val="004C2F21"/>
    <w:rsid w:val="004C7596"/>
    <w:rsid w:val="004D0E0D"/>
    <w:rsid w:val="004D3E79"/>
    <w:rsid w:val="004D4DBF"/>
    <w:rsid w:val="004D5CD7"/>
    <w:rsid w:val="004D68FE"/>
    <w:rsid w:val="004D7B9B"/>
    <w:rsid w:val="004E0459"/>
    <w:rsid w:val="004E6656"/>
    <w:rsid w:val="004F2CC6"/>
    <w:rsid w:val="004F5CC7"/>
    <w:rsid w:val="005003EB"/>
    <w:rsid w:val="005017C9"/>
    <w:rsid w:val="005038BA"/>
    <w:rsid w:val="00505563"/>
    <w:rsid w:val="00506F3E"/>
    <w:rsid w:val="00507D7B"/>
    <w:rsid w:val="00511CE0"/>
    <w:rsid w:val="005123EC"/>
    <w:rsid w:val="00512DC2"/>
    <w:rsid w:val="005134DB"/>
    <w:rsid w:val="00513934"/>
    <w:rsid w:val="0051571D"/>
    <w:rsid w:val="00517765"/>
    <w:rsid w:val="0052149E"/>
    <w:rsid w:val="00522668"/>
    <w:rsid w:val="005244DA"/>
    <w:rsid w:val="00530066"/>
    <w:rsid w:val="0053102B"/>
    <w:rsid w:val="00533125"/>
    <w:rsid w:val="0053721A"/>
    <w:rsid w:val="005403AD"/>
    <w:rsid w:val="00540ED9"/>
    <w:rsid w:val="005421C3"/>
    <w:rsid w:val="0054613E"/>
    <w:rsid w:val="00546A1A"/>
    <w:rsid w:val="0054782B"/>
    <w:rsid w:val="0055454C"/>
    <w:rsid w:val="0055474B"/>
    <w:rsid w:val="00562C2C"/>
    <w:rsid w:val="00564516"/>
    <w:rsid w:val="00564DF7"/>
    <w:rsid w:val="00572DB1"/>
    <w:rsid w:val="005733B4"/>
    <w:rsid w:val="0057555C"/>
    <w:rsid w:val="005758DD"/>
    <w:rsid w:val="00580490"/>
    <w:rsid w:val="0058315F"/>
    <w:rsid w:val="00583762"/>
    <w:rsid w:val="0058672B"/>
    <w:rsid w:val="00586733"/>
    <w:rsid w:val="0058707D"/>
    <w:rsid w:val="00587498"/>
    <w:rsid w:val="005902D3"/>
    <w:rsid w:val="005932DE"/>
    <w:rsid w:val="005975C4"/>
    <w:rsid w:val="005A10DB"/>
    <w:rsid w:val="005A11F3"/>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3C8D"/>
    <w:rsid w:val="005E4E25"/>
    <w:rsid w:val="005E6B3E"/>
    <w:rsid w:val="005F6C4E"/>
    <w:rsid w:val="005F6F02"/>
    <w:rsid w:val="006029A0"/>
    <w:rsid w:val="006139C5"/>
    <w:rsid w:val="00613AED"/>
    <w:rsid w:val="00617EAA"/>
    <w:rsid w:val="00621A98"/>
    <w:rsid w:val="00622F82"/>
    <w:rsid w:val="00623D27"/>
    <w:rsid w:val="006264F4"/>
    <w:rsid w:val="00630BCE"/>
    <w:rsid w:val="006312AB"/>
    <w:rsid w:val="006326D6"/>
    <w:rsid w:val="00633465"/>
    <w:rsid w:val="00634667"/>
    <w:rsid w:val="00640E9E"/>
    <w:rsid w:val="006448CC"/>
    <w:rsid w:val="0064678A"/>
    <w:rsid w:val="00646A5A"/>
    <w:rsid w:val="00651F19"/>
    <w:rsid w:val="0065266D"/>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1626"/>
    <w:rsid w:val="006A4AC6"/>
    <w:rsid w:val="006A55C9"/>
    <w:rsid w:val="006A6A7A"/>
    <w:rsid w:val="006A7015"/>
    <w:rsid w:val="006A7FAC"/>
    <w:rsid w:val="006B34F8"/>
    <w:rsid w:val="006B355B"/>
    <w:rsid w:val="006B4693"/>
    <w:rsid w:val="006B5348"/>
    <w:rsid w:val="006B6153"/>
    <w:rsid w:val="006C0B46"/>
    <w:rsid w:val="006C2543"/>
    <w:rsid w:val="006C59DE"/>
    <w:rsid w:val="006D2336"/>
    <w:rsid w:val="006D4BFA"/>
    <w:rsid w:val="006E18E2"/>
    <w:rsid w:val="006E5188"/>
    <w:rsid w:val="006E6339"/>
    <w:rsid w:val="006E681F"/>
    <w:rsid w:val="006F06DE"/>
    <w:rsid w:val="006F1A5C"/>
    <w:rsid w:val="006F2D61"/>
    <w:rsid w:val="006F2F9B"/>
    <w:rsid w:val="006F3859"/>
    <w:rsid w:val="007041CA"/>
    <w:rsid w:val="00704294"/>
    <w:rsid w:val="0070470C"/>
    <w:rsid w:val="00705C21"/>
    <w:rsid w:val="007126EB"/>
    <w:rsid w:val="00715405"/>
    <w:rsid w:val="00715592"/>
    <w:rsid w:val="007174B1"/>
    <w:rsid w:val="00720BAB"/>
    <w:rsid w:val="00723571"/>
    <w:rsid w:val="007255C4"/>
    <w:rsid w:val="00726E1D"/>
    <w:rsid w:val="0072751A"/>
    <w:rsid w:val="00733024"/>
    <w:rsid w:val="00733504"/>
    <w:rsid w:val="0073464A"/>
    <w:rsid w:val="007354DA"/>
    <w:rsid w:val="00735F30"/>
    <w:rsid w:val="0073621E"/>
    <w:rsid w:val="007427A0"/>
    <w:rsid w:val="007449AB"/>
    <w:rsid w:val="00744E6F"/>
    <w:rsid w:val="00750E20"/>
    <w:rsid w:val="00752145"/>
    <w:rsid w:val="007521A1"/>
    <w:rsid w:val="007523C9"/>
    <w:rsid w:val="007529C9"/>
    <w:rsid w:val="00756A48"/>
    <w:rsid w:val="0075701C"/>
    <w:rsid w:val="0075736A"/>
    <w:rsid w:val="00757498"/>
    <w:rsid w:val="007608FD"/>
    <w:rsid w:val="007626EE"/>
    <w:rsid w:val="0076292E"/>
    <w:rsid w:val="00763360"/>
    <w:rsid w:val="00764416"/>
    <w:rsid w:val="00764AB7"/>
    <w:rsid w:val="007710A8"/>
    <w:rsid w:val="00771FB5"/>
    <w:rsid w:val="00775146"/>
    <w:rsid w:val="0078078B"/>
    <w:rsid w:val="00782DD5"/>
    <w:rsid w:val="00784BB0"/>
    <w:rsid w:val="0079024E"/>
    <w:rsid w:val="00793F07"/>
    <w:rsid w:val="00796F49"/>
    <w:rsid w:val="00797556"/>
    <w:rsid w:val="00797723"/>
    <w:rsid w:val="007A0BE6"/>
    <w:rsid w:val="007A3B65"/>
    <w:rsid w:val="007A41BB"/>
    <w:rsid w:val="007B00B3"/>
    <w:rsid w:val="007B3E00"/>
    <w:rsid w:val="007B6AC5"/>
    <w:rsid w:val="007B6DAD"/>
    <w:rsid w:val="007C10F5"/>
    <w:rsid w:val="007C297E"/>
    <w:rsid w:val="007C6659"/>
    <w:rsid w:val="007D2925"/>
    <w:rsid w:val="007D52DA"/>
    <w:rsid w:val="007D6C69"/>
    <w:rsid w:val="007E1654"/>
    <w:rsid w:val="007E1B67"/>
    <w:rsid w:val="007E2235"/>
    <w:rsid w:val="007E70AD"/>
    <w:rsid w:val="007F392D"/>
    <w:rsid w:val="007F4213"/>
    <w:rsid w:val="007F65A0"/>
    <w:rsid w:val="007F6A8B"/>
    <w:rsid w:val="008006C0"/>
    <w:rsid w:val="00801740"/>
    <w:rsid w:val="00801A09"/>
    <w:rsid w:val="0080297E"/>
    <w:rsid w:val="00802C12"/>
    <w:rsid w:val="00806BE7"/>
    <w:rsid w:val="0080715F"/>
    <w:rsid w:val="00816E5B"/>
    <w:rsid w:val="00817A35"/>
    <w:rsid w:val="00817DC5"/>
    <w:rsid w:val="0082476F"/>
    <w:rsid w:val="00825268"/>
    <w:rsid w:val="0082584B"/>
    <w:rsid w:val="00832615"/>
    <w:rsid w:val="008327D4"/>
    <w:rsid w:val="00833808"/>
    <w:rsid w:val="0083672B"/>
    <w:rsid w:val="0084251D"/>
    <w:rsid w:val="00845F45"/>
    <w:rsid w:val="00846BE3"/>
    <w:rsid w:val="00846EB9"/>
    <w:rsid w:val="00847C4B"/>
    <w:rsid w:val="0085040A"/>
    <w:rsid w:val="00853F9E"/>
    <w:rsid w:val="0085460A"/>
    <w:rsid w:val="0085613D"/>
    <w:rsid w:val="0085645F"/>
    <w:rsid w:val="00861C46"/>
    <w:rsid w:val="008621AD"/>
    <w:rsid w:val="00862FC4"/>
    <w:rsid w:val="008645A5"/>
    <w:rsid w:val="00865154"/>
    <w:rsid w:val="00865C5D"/>
    <w:rsid w:val="00871226"/>
    <w:rsid w:val="008730A6"/>
    <w:rsid w:val="008732B7"/>
    <w:rsid w:val="00875A36"/>
    <w:rsid w:val="0088072B"/>
    <w:rsid w:val="00881A39"/>
    <w:rsid w:val="00882BC8"/>
    <w:rsid w:val="008848BC"/>
    <w:rsid w:val="008870BF"/>
    <w:rsid w:val="00887D59"/>
    <w:rsid w:val="00890A77"/>
    <w:rsid w:val="00890C0E"/>
    <w:rsid w:val="00891B08"/>
    <w:rsid w:val="00893DB4"/>
    <w:rsid w:val="008955F6"/>
    <w:rsid w:val="00895621"/>
    <w:rsid w:val="00895CDE"/>
    <w:rsid w:val="00896C17"/>
    <w:rsid w:val="008A271C"/>
    <w:rsid w:val="008A4282"/>
    <w:rsid w:val="008A510E"/>
    <w:rsid w:val="008B1660"/>
    <w:rsid w:val="008B2380"/>
    <w:rsid w:val="008B23F3"/>
    <w:rsid w:val="008B2FEE"/>
    <w:rsid w:val="008B3769"/>
    <w:rsid w:val="008B3FCA"/>
    <w:rsid w:val="008B488D"/>
    <w:rsid w:val="008B6336"/>
    <w:rsid w:val="008B74DC"/>
    <w:rsid w:val="008C72AC"/>
    <w:rsid w:val="008D361B"/>
    <w:rsid w:val="008D3CE3"/>
    <w:rsid w:val="008D6F09"/>
    <w:rsid w:val="008E06C8"/>
    <w:rsid w:val="008E2586"/>
    <w:rsid w:val="008E5CBE"/>
    <w:rsid w:val="008F0BC2"/>
    <w:rsid w:val="008F20CB"/>
    <w:rsid w:val="008F2571"/>
    <w:rsid w:val="008F337F"/>
    <w:rsid w:val="008F36A7"/>
    <w:rsid w:val="008F62E6"/>
    <w:rsid w:val="008F7DD1"/>
    <w:rsid w:val="00901FA9"/>
    <w:rsid w:val="00902BD8"/>
    <w:rsid w:val="00903B5E"/>
    <w:rsid w:val="00906B39"/>
    <w:rsid w:val="009076D3"/>
    <w:rsid w:val="00912B80"/>
    <w:rsid w:val="00914506"/>
    <w:rsid w:val="009147C7"/>
    <w:rsid w:val="00916C1A"/>
    <w:rsid w:val="0091710A"/>
    <w:rsid w:val="00922D4E"/>
    <w:rsid w:val="009230F4"/>
    <w:rsid w:val="00925F85"/>
    <w:rsid w:val="00926583"/>
    <w:rsid w:val="0093023E"/>
    <w:rsid w:val="009332F6"/>
    <w:rsid w:val="00933BD8"/>
    <w:rsid w:val="00933CC2"/>
    <w:rsid w:val="00933D08"/>
    <w:rsid w:val="00933FA4"/>
    <w:rsid w:val="00934A48"/>
    <w:rsid w:val="009364AB"/>
    <w:rsid w:val="0093758C"/>
    <w:rsid w:val="009409A5"/>
    <w:rsid w:val="00942CE8"/>
    <w:rsid w:val="0094694E"/>
    <w:rsid w:val="00946B07"/>
    <w:rsid w:val="0094785E"/>
    <w:rsid w:val="00953777"/>
    <w:rsid w:val="0095612E"/>
    <w:rsid w:val="00956E73"/>
    <w:rsid w:val="009610E5"/>
    <w:rsid w:val="00961459"/>
    <w:rsid w:val="00965C0C"/>
    <w:rsid w:val="00966307"/>
    <w:rsid w:val="00966E8A"/>
    <w:rsid w:val="00971694"/>
    <w:rsid w:val="0097732A"/>
    <w:rsid w:val="00977868"/>
    <w:rsid w:val="0098126D"/>
    <w:rsid w:val="009819E9"/>
    <w:rsid w:val="00983180"/>
    <w:rsid w:val="00985318"/>
    <w:rsid w:val="009859E8"/>
    <w:rsid w:val="00987264"/>
    <w:rsid w:val="00994E1D"/>
    <w:rsid w:val="00995E6A"/>
    <w:rsid w:val="009961B8"/>
    <w:rsid w:val="00996430"/>
    <w:rsid w:val="00997BFA"/>
    <w:rsid w:val="009B10A9"/>
    <w:rsid w:val="009B3B09"/>
    <w:rsid w:val="009B47CC"/>
    <w:rsid w:val="009B5B26"/>
    <w:rsid w:val="009C1AAF"/>
    <w:rsid w:val="009C60E5"/>
    <w:rsid w:val="009C70B6"/>
    <w:rsid w:val="009D310D"/>
    <w:rsid w:val="009D578B"/>
    <w:rsid w:val="009E0735"/>
    <w:rsid w:val="009E0DCA"/>
    <w:rsid w:val="009E0E18"/>
    <w:rsid w:val="009E1F58"/>
    <w:rsid w:val="009E2648"/>
    <w:rsid w:val="009E4B01"/>
    <w:rsid w:val="009E7BBC"/>
    <w:rsid w:val="009F03D7"/>
    <w:rsid w:val="009F15E0"/>
    <w:rsid w:val="009F2118"/>
    <w:rsid w:val="009F4FEE"/>
    <w:rsid w:val="009F512A"/>
    <w:rsid w:val="009F5F15"/>
    <w:rsid w:val="00A01D73"/>
    <w:rsid w:val="00A05652"/>
    <w:rsid w:val="00A058B7"/>
    <w:rsid w:val="00A10998"/>
    <w:rsid w:val="00A118B4"/>
    <w:rsid w:val="00A1223D"/>
    <w:rsid w:val="00A2468E"/>
    <w:rsid w:val="00A25331"/>
    <w:rsid w:val="00A267EC"/>
    <w:rsid w:val="00A27746"/>
    <w:rsid w:val="00A31CA4"/>
    <w:rsid w:val="00A32686"/>
    <w:rsid w:val="00A350F2"/>
    <w:rsid w:val="00A3647C"/>
    <w:rsid w:val="00A36641"/>
    <w:rsid w:val="00A4005B"/>
    <w:rsid w:val="00A41555"/>
    <w:rsid w:val="00A42D7A"/>
    <w:rsid w:val="00A42F7D"/>
    <w:rsid w:val="00A46599"/>
    <w:rsid w:val="00A47444"/>
    <w:rsid w:val="00A5117A"/>
    <w:rsid w:val="00A57201"/>
    <w:rsid w:val="00A61E65"/>
    <w:rsid w:val="00A650C3"/>
    <w:rsid w:val="00A67CCA"/>
    <w:rsid w:val="00A707B2"/>
    <w:rsid w:val="00A709F7"/>
    <w:rsid w:val="00A732F9"/>
    <w:rsid w:val="00A74CAE"/>
    <w:rsid w:val="00A75071"/>
    <w:rsid w:val="00A7734E"/>
    <w:rsid w:val="00A80F35"/>
    <w:rsid w:val="00A82C95"/>
    <w:rsid w:val="00A82CAB"/>
    <w:rsid w:val="00A8446E"/>
    <w:rsid w:val="00A84D8D"/>
    <w:rsid w:val="00A84E0D"/>
    <w:rsid w:val="00A85478"/>
    <w:rsid w:val="00A8634F"/>
    <w:rsid w:val="00A87A8A"/>
    <w:rsid w:val="00A9282B"/>
    <w:rsid w:val="00A96E45"/>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D0EA3"/>
    <w:rsid w:val="00AD2800"/>
    <w:rsid w:val="00AD5649"/>
    <w:rsid w:val="00AD70F9"/>
    <w:rsid w:val="00AE26AF"/>
    <w:rsid w:val="00AE3BA2"/>
    <w:rsid w:val="00AE6A73"/>
    <w:rsid w:val="00AF083C"/>
    <w:rsid w:val="00AF18E3"/>
    <w:rsid w:val="00AF31E7"/>
    <w:rsid w:val="00AF3CA2"/>
    <w:rsid w:val="00AF5DA7"/>
    <w:rsid w:val="00AF6187"/>
    <w:rsid w:val="00B001B4"/>
    <w:rsid w:val="00B01893"/>
    <w:rsid w:val="00B04FBD"/>
    <w:rsid w:val="00B07CD9"/>
    <w:rsid w:val="00B126B2"/>
    <w:rsid w:val="00B13026"/>
    <w:rsid w:val="00B21FC3"/>
    <w:rsid w:val="00B2476E"/>
    <w:rsid w:val="00B26D84"/>
    <w:rsid w:val="00B2707D"/>
    <w:rsid w:val="00B306D3"/>
    <w:rsid w:val="00B3602D"/>
    <w:rsid w:val="00B36F51"/>
    <w:rsid w:val="00B4136A"/>
    <w:rsid w:val="00B41C92"/>
    <w:rsid w:val="00B43E08"/>
    <w:rsid w:val="00B459D4"/>
    <w:rsid w:val="00B461CE"/>
    <w:rsid w:val="00B47A33"/>
    <w:rsid w:val="00B53341"/>
    <w:rsid w:val="00B54F65"/>
    <w:rsid w:val="00B607B5"/>
    <w:rsid w:val="00B615F9"/>
    <w:rsid w:val="00B61DDF"/>
    <w:rsid w:val="00B66210"/>
    <w:rsid w:val="00B702FE"/>
    <w:rsid w:val="00B7037A"/>
    <w:rsid w:val="00B72F26"/>
    <w:rsid w:val="00B74320"/>
    <w:rsid w:val="00B759C7"/>
    <w:rsid w:val="00B759DD"/>
    <w:rsid w:val="00B7610A"/>
    <w:rsid w:val="00B76A1E"/>
    <w:rsid w:val="00B77048"/>
    <w:rsid w:val="00B77D70"/>
    <w:rsid w:val="00B80B55"/>
    <w:rsid w:val="00B837BC"/>
    <w:rsid w:val="00B83A71"/>
    <w:rsid w:val="00B84DCE"/>
    <w:rsid w:val="00B85695"/>
    <w:rsid w:val="00B9047B"/>
    <w:rsid w:val="00B92054"/>
    <w:rsid w:val="00B93132"/>
    <w:rsid w:val="00BA0212"/>
    <w:rsid w:val="00BA1FE0"/>
    <w:rsid w:val="00BA26E0"/>
    <w:rsid w:val="00BA5254"/>
    <w:rsid w:val="00BA729D"/>
    <w:rsid w:val="00BB0A4C"/>
    <w:rsid w:val="00BB6553"/>
    <w:rsid w:val="00BB79C2"/>
    <w:rsid w:val="00BC1C71"/>
    <w:rsid w:val="00BC3ED5"/>
    <w:rsid w:val="00BD3181"/>
    <w:rsid w:val="00BD367E"/>
    <w:rsid w:val="00BD5005"/>
    <w:rsid w:val="00BD6723"/>
    <w:rsid w:val="00BD7816"/>
    <w:rsid w:val="00BE0B77"/>
    <w:rsid w:val="00BE1187"/>
    <w:rsid w:val="00BE1BEA"/>
    <w:rsid w:val="00BE40CA"/>
    <w:rsid w:val="00BF44BF"/>
    <w:rsid w:val="00BF490A"/>
    <w:rsid w:val="00BF54E1"/>
    <w:rsid w:val="00BF69BE"/>
    <w:rsid w:val="00C03FB2"/>
    <w:rsid w:val="00C040E7"/>
    <w:rsid w:val="00C0737D"/>
    <w:rsid w:val="00C12C29"/>
    <w:rsid w:val="00C144FF"/>
    <w:rsid w:val="00C14A35"/>
    <w:rsid w:val="00C2080C"/>
    <w:rsid w:val="00C22004"/>
    <w:rsid w:val="00C304A9"/>
    <w:rsid w:val="00C30B91"/>
    <w:rsid w:val="00C35135"/>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43C8"/>
    <w:rsid w:val="00C64FB8"/>
    <w:rsid w:val="00C65822"/>
    <w:rsid w:val="00C71A28"/>
    <w:rsid w:val="00C71B78"/>
    <w:rsid w:val="00C72810"/>
    <w:rsid w:val="00C73BFB"/>
    <w:rsid w:val="00C777DF"/>
    <w:rsid w:val="00C77AB2"/>
    <w:rsid w:val="00C8160D"/>
    <w:rsid w:val="00C818EF"/>
    <w:rsid w:val="00C81DEB"/>
    <w:rsid w:val="00C84E06"/>
    <w:rsid w:val="00C85A78"/>
    <w:rsid w:val="00C85C29"/>
    <w:rsid w:val="00C905B4"/>
    <w:rsid w:val="00C93AC6"/>
    <w:rsid w:val="00C93CA1"/>
    <w:rsid w:val="00C959AD"/>
    <w:rsid w:val="00C9747C"/>
    <w:rsid w:val="00CA33D6"/>
    <w:rsid w:val="00CA6EC1"/>
    <w:rsid w:val="00CB0259"/>
    <w:rsid w:val="00CB15C1"/>
    <w:rsid w:val="00CB2C22"/>
    <w:rsid w:val="00CB4BCF"/>
    <w:rsid w:val="00CB4CC1"/>
    <w:rsid w:val="00CB5DFE"/>
    <w:rsid w:val="00CB695F"/>
    <w:rsid w:val="00CC7611"/>
    <w:rsid w:val="00CD1BB6"/>
    <w:rsid w:val="00CD3FC2"/>
    <w:rsid w:val="00CD41F1"/>
    <w:rsid w:val="00CD6862"/>
    <w:rsid w:val="00CD6C61"/>
    <w:rsid w:val="00CD72E3"/>
    <w:rsid w:val="00CE0488"/>
    <w:rsid w:val="00CE341D"/>
    <w:rsid w:val="00CE46A3"/>
    <w:rsid w:val="00CE6C30"/>
    <w:rsid w:val="00CF2F63"/>
    <w:rsid w:val="00CF55C8"/>
    <w:rsid w:val="00CF58E0"/>
    <w:rsid w:val="00CF5A1B"/>
    <w:rsid w:val="00CF76C6"/>
    <w:rsid w:val="00D0293D"/>
    <w:rsid w:val="00D029B6"/>
    <w:rsid w:val="00D03895"/>
    <w:rsid w:val="00D13EDC"/>
    <w:rsid w:val="00D1601A"/>
    <w:rsid w:val="00D20104"/>
    <w:rsid w:val="00D26CDD"/>
    <w:rsid w:val="00D2728F"/>
    <w:rsid w:val="00D30A10"/>
    <w:rsid w:val="00D318FB"/>
    <w:rsid w:val="00D32921"/>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4BF4"/>
    <w:rsid w:val="00D74D4C"/>
    <w:rsid w:val="00D74DA6"/>
    <w:rsid w:val="00D7509C"/>
    <w:rsid w:val="00D75BEF"/>
    <w:rsid w:val="00D81302"/>
    <w:rsid w:val="00D83C96"/>
    <w:rsid w:val="00D8709C"/>
    <w:rsid w:val="00DA2D48"/>
    <w:rsid w:val="00DA7456"/>
    <w:rsid w:val="00DB175F"/>
    <w:rsid w:val="00DB40BE"/>
    <w:rsid w:val="00DB4B03"/>
    <w:rsid w:val="00DB6B81"/>
    <w:rsid w:val="00DB751D"/>
    <w:rsid w:val="00DB7BFE"/>
    <w:rsid w:val="00DC5145"/>
    <w:rsid w:val="00DD0225"/>
    <w:rsid w:val="00DD1FF7"/>
    <w:rsid w:val="00DD2915"/>
    <w:rsid w:val="00DD2CC9"/>
    <w:rsid w:val="00DE0B9F"/>
    <w:rsid w:val="00DE34A1"/>
    <w:rsid w:val="00DE43FB"/>
    <w:rsid w:val="00DE587B"/>
    <w:rsid w:val="00DE726A"/>
    <w:rsid w:val="00DF0C87"/>
    <w:rsid w:val="00DF2B81"/>
    <w:rsid w:val="00DF2FC4"/>
    <w:rsid w:val="00DF4D6F"/>
    <w:rsid w:val="00E0164E"/>
    <w:rsid w:val="00E01DB1"/>
    <w:rsid w:val="00E04C5D"/>
    <w:rsid w:val="00E04CAF"/>
    <w:rsid w:val="00E05828"/>
    <w:rsid w:val="00E07A8D"/>
    <w:rsid w:val="00E1289B"/>
    <w:rsid w:val="00E153F4"/>
    <w:rsid w:val="00E17E42"/>
    <w:rsid w:val="00E205E1"/>
    <w:rsid w:val="00E21635"/>
    <w:rsid w:val="00E2240E"/>
    <w:rsid w:val="00E22B86"/>
    <w:rsid w:val="00E27EBA"/>
    <w:rsid w:val="00E30656"/>
    <w:rsid w:val="00E406BC"/>
    <w:rsid w:val="00E409BD"/>
    <w:rsid w:val="00E52B4A"/>
    <w:rsid w:val="00E60368"/>
    <w:rsid w:val="00E614E6"/>
    <w:rsid w:val="00E639F4"/>
    <w:rsid w:val="00E649C4"/>
    <w:rsid w:val="00E729C0"/>
    <w:rsid w:val="00E75852"/>
    <w:rsid w:val="00E75C0C"/>
    <w:rsid w:val="00E76994"/>
    <w:rsid w:val="00E77599"/>
    <w:rsid w:val="00E80437"/>
    <w:rsid w:val="00E8362C"/>
    <w:rsid w:val="00E913EE"/>
    <w:rsid w:val="00E94591"/>
    <w:rsid w:val="00E95AA2"/>
    <w:rsid w:val="00E962A7"/>
    <w:rsid w:val="00EA065C"/>
    <w:rsid w:val="00EB0777"/>
    <w:rsid w:val="00EB3B48"/>
    <w:rsid w:val="00EB557E"/>
    <w:rsid w:val="00EB69DD"/>
    <w:rsid w:val="00EB7BA3"/>
    <w:rsid w:val="00EB7ECC"/>
    <w:rsid w:val="00ED17C5"/>
    <w:rsid w:val="00ED28A8"/>
    <w:rsid w:val="00ED2A8D"/>
    <w:rsid w:val="00ED3608"/>
    <w:rsid w:val="00ED521D"/>
    <w:rsid w:val="00EE1C81"/>
    <w:rsid w:val="00EE6DBF"/>
    <w:rsid w:val="00EE6EDE"/>
    <w:rsid w:val="00EF1672"/>
    <w:rsid w:val="00EF4907"/>
    <w:rsid w:val="00EF4FC2"/>
    <w:rsid w:val="00F01344"/>
    <w:rsid w:val="00F02869"/>
    <w:rsid w:val="00F05220"/>
    <w:rsid w:val="00F070A2"/>
    <w:rsid w:val="00F132B1"/>
    <w:rsid w:val="00F246E4"/>
    <w:rsid w:val="00F25433"/>
    <w:rsid w:val="00F26039"/>
    <w:rsid w:val="00F32C7D"/>
    <w:rsid w:val="00F363DB"/>
    <w:rsid w:val="00F37B2C"/>
    <w:rsid w:val="00F40082"/>
    <w:rsid w:val="00F4156C"/>
    <w:rsid w:val="00F43D23"/>
    <w:rsid w:val="00F444E7"/>
    <w:rsid w:val="00F44B53"/>
    <w:rsid w:val="00F455E8"/>
    <w:rsid w:val="00F45AAB"/>
    <w:rsid w:val="00F4639E"/>
    <w:rsid w:val="00F47640"/>
    <w:rsid w:val="00F5073D"/>
    <w:rsid w:val="00F50DEF"/>
    <w:rsid w:val="00F57A76"/>
    <w:rsid w:val="00F57DEF"/>
    <w:rsid w:val="00F60175"/>
    <w:rsid w:val="00F61C21"/>
    <w:rsid w:val="00F658A2"/>
    <w:rsid w:val="00F659C1"/>
    <w:rsid w:val="00F66900"/>
    <w:rsid w:val="00F707FF"/>
    <w:rsid w:val="00F72D02"/>
    <w:rsid w:val="00F73FA1"/>
    <w:rsid w:val="00F77F3C"/>
    <w:rsid w:val="00F8086E"/>
    <w:rsid w:val="00F80BE7"/>
    <w:rsid w:val="00F813A1"/>
    <w:rsid w:val="00F82A7B"/>
    <w:rsid w:val="00F83D40"/>
    <w:rsid w:val="00F859A6"/>
    <w:rsid w:val="00F87719"/>
    <w:rsid w:val="00F87DCC"/>
    <w:rsid w:val="00F9054A"/>
    <w:rsid w:val="00F90DF9"/>
    <w:rsid w:val="00F91EEE"/>
    <w:rsid w:val="00F9393D"/>
    <w:rsid w:val="00F97213"/>
    <w:rsid w:val="00FA26F9"/>
    <w:rsid w:val="00FB1137"/>
    <w:rsid w:val="00FB13A8"/>
    <w:rsid w:val="00FB2036"/>
    <w:rsid w:val="00FB4D9E"/>
    <w:rsid w:val="00FC5D02"/>
    <w:rsid w:val="00FC765B"/>
    <w:rsid w:val="00FD15BC"/>
    <w:rsid w:val="00FE16B7"/>
    <w:rsid w:val="00FE61B4"/>
    <w:rsid w:val="00FE776C"/>
    <w:rsid w:val="00FE79A8"/>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15E72-98C8-4965-A731-9E95B842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A31CA4"/>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A31CA4"/>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969D-A299-4040-B8AF-0AFC3B1A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5659</Words>
  <Characters>31126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36712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2</cp:revision>
  <cp:lastPrinted>2016-03-03T17:30:00Z</cp:lastPrinted>
  <dcterms:created xsi:type="dcterms:W3CDTF">2016-03-15T16:06:00Z</dcterms:created>
  <dcterms:modified xsi:type="dcterms:W3CDTF">2016-03-15T16:06:00Z</dcterms:modified>
</cp:coreProperties>
</file>