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5D5636">
        <w:rPr>
          <w:rFonts w:ascii="Arial" w:hAnsi="Arial" w:cs="Arial"/>
        </w:rPr>
        <w:t>28</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A53619">
        <w:rPr>
          <w:rFonts w:ascii="Arial" w:hAnsi="Arial" w:cs="Arial"/>
        </w:rPr>
        <w:t>4</w:t>
      </w:r>
      <w:r w:rsidRPr="00A50FEB">
        <w:rPr>
          <w:rFonts w:ascii="Arial" w:hAnsi="Arial" w:cs="Arial"/>
        </w:rPr>
        <w:t xml:space="preserve">, le fue turnado para su estudio y dictamen, el expediente número </w:t>
      </w:r>
      <w:r w:rsidR="005D5636">
        <w:rPr>
          <w:rFonts w:ascii="Arial" w:hAnsi="Arial" w:cs="Arial"/>
          <w:b/>
        </w:rPr>
        <w:t>8949</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00F87F65">
        <w:rPr>
          <w:rFonts w:ascii="Arial" w:hAnsi="Arial" w:cs="Arial"/>
          <w:b/>
        </w:rPr>
        <w:t xml:space="preserve">Instituto </w:t>
      </w:r>
      <w:r w:rsidR="00205AD2">
        <w:rPr>
          <w:rFonts w:ascii="Arial" w:hAnsi="Arial" w:cs="Arial"/>
          <w:b/>
        </w:rPr>
        <w:t xml:space="preserve">Municipal </w:t>
      </w:r>
      <w:r w:rsidR="00F87F65">
        <w:rPr>
          <w:rFonts w:ascii="Arial" w:hAnsi="Arial" w:cs="Arial"/>
          <w:b/>
        </w:rPr>
        <w:t>de la Juventud</w:t>
      </w:r>
      <w:r w:rsidRPr="00A05975">
        <w:rPr>
          <w:rFonts w:ascii="Arial" w:hAnsi="Arial" w:cs="Arial"/>
          <w:b/>
        </w:rPr>
        <w:t xml:space="preserve"> de</w:t>
      </w:r>
      <w:r w:rsidR="006171EF">
        <w:rPr>
          <w:rFonts w:ascii="Arial" w:hAnsi="Arial" w:cs="Arial"/>
          <w:b/>
        </w:rPr>
        <w:t xml:space="preserve"> </w:t>
      </w:r>
      <w:r w:rsidR="00B1485B">
        <w:rPr>
          <w:rFonts w:ascii="Arial" w:hAnsi="Arial" w:cs="Arial"/>
          <w:b/>
        </w:rPr>
        <w:t>Apodaca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5D5636">
        <w:rPr>
          <w:rFonts w:ascii="Arial" w:hAnsi="Arial" w:cs="Arial"/>
          <w:b/>
        </w:rPr>
        <w:t>Ejercicio Fiscal 2013</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de la Juventud de Apodaca</w:t>
      </w:r>
      <w:r>
        <w:rPr>
          <w:rFonts w:ascii="Arial" w:hAnsi="Arial" w:cs="Arial"/>
        </w:rPr>
        <w:t>, Nuevo León, presentó el</w:t>
      </w:r>
      <w:r w:rsidR="005D5636">
        <w:rPr>
          <w:rFonts w:ascii="Arial" w:hAnsi="Arial" w:cs="Arial"/>
        </w:rPr>
        <w:t xml:space="preserve"> 12 de marzo de 2014</w:t>
      </w:r>
      <w:r w:rsidR="00744D70">
        <w:rPr>
          <w:rFonts w:ascii="Arial" w:hAnsi="Arial" w:cs="Arial"/>
        </w:rPr>
        <w:t xml:space="preserve"> ante esta Soberanía, su Cuenta Pública correspondiente al Ejercicio Fiscal 201</w:t>
      </w:r>
      <w:r w:rsidR="005D5636">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5D5636">
        <w:rPr>
          <w:rFonts w:ascii="Arial" w:hAnsi="Arial" w:cs="Arial"/>
        </w:rPr>
        <w:t>3</w:t>
      </w:r>
      <w:r w:rsidRPr="001D64E8">
        <w:rPr>
          <w:rFonts w:ascii="Arial" w:hAnsi="Arial" w:cs="Arial"/>
        </w:rPr>
        <w:t xml:space="preserve"> del </w:t>
      </w:r>
      <w:r w:rsidR="00340232" w:rsidRPr="00340232">
        <w:rPr>
          <w:rFonts w:ascii="Arial" w:hAnsi="Arial" w:cs="Arial"/>
        </w:rPr>
        <w:t>Instituto</w:t>
      </w:r>
      <w:r w:rsidR="00205AD2">
        <w:rPr>
          <w:rFonts w:ascii="Arial" w:hAnsi="Arial" w:cs="Arial"/>
        </w:rPr>
        <w:t xml:space="preserve"> Municipal</w:t>
      </w:r>
      <w:r w:rsidR="00340232" w:rsidRPr="00340232">
        <w:rPr>
          <w:rFonts w:ascii="Arial" w:hAnsi="Arial" w:cs="Arial"/>
        </w:rPr>
        <w:t xml:space="preserve"> de la Juventud de 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w:t>
      </w:r>
      <w:r w:rsidRPr="001D64E8">
        <w:rPr>
          <w:rFonts w:ascii="Arial" w:hAnsi="Arial" w:cs="Arial"/>
        </w:rPr>
        <w:lastRenderedPageBreak/>
        <w:t>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5D5636">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de la Juventud de Apodaca</w:t>
      </w:r>
      <w:r>
        <w:rPr>
          <w:rFonts w:ascii="Arial" w:hAnsi="Arial" w:cs="Arial"/>
          <w:color w:val="000000"/>
        </w:rPr>
        <w:t xml:space="preserve">, Nuevo León, </w:t>
      </w:r>
      <w:r w:rsidRPr="001D64E8">
        <w:rPr>
          <w:rFonts w:ascii="Arial" w:hAnsi="Arial" w:cs="Arial"/>
        </w:rPr>
        <w:t>como Cuenta Pública correspondiente al ejercicio de 201</w:t>
      </w:r>
      <w:r w:rsidR="005D5636">
        <w:rPr>
          <w:rFonts w:ascii="Arial" w:hAnsi="Arial" w:cs="Arial"/>
        </w:rPr>
        <w:t>3</w:t>
      </w:r>
      <w:r w:rsidRPr="001D64E8">
        <w:rPr>
          <w:rFonts w:ascii="Arial" w:hAnsi="Arial" w:cs="Arial"/>
        </w:rPr>
        <w:t xml:space="preserve">, presenta razonablemente </w:t>
      </w:r>
      <w:r w:rsidRPr="001D64E8">
        <w:rPr>
          <w:rFonts w:ascii="Arial" w:hAnsi="Arial" w:cs="Arial"/>
        </w:rPr>
        <w:lastRenderedPageBreak/>
        <w:t>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w:t>
      </w:r>
      <w:r w:rsidR="00340232">
        <w:rPr>
          <w:rFonts w:ascii="Arial" w:hAnsi="Arial" w:cs="Arial"/>
          <w:b/>
        </w:rPr>
        <w:t xml:space="preserve">ado en el capítulo </w:t>
      </w:r>
      <w:r>
        <w:rPr>
          <w:rFonts w:ascii="Arial" w:hAnsi="Arial" w:cs="Arial"/>
          <w:b/>
        </w:rPr>
        <w:t>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22916">
        <w:rPr>
          <w:rFonts w:ascii="Arial" w:hAnsi="Arial" w:cs="Arial"/>
        </w:rPr>
        <w:t>Apodaca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1A01D6"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2013</w:t>
            </w:r>
          </w:p>
        </w:tc>
      </w:tr>
      <w:tr w:rsidR="00744D70" w:rsidRPr="00833567" w:rsidTr="003A2713">
        <w:trPr>
          <w:trHeight w:val="338"/>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Aportaciones Municipales</w:t>
            </w:r>
          </w:p>
        </w:tc>
        <w:tc>
          <w:tcPr>
            <w:tcW w:w="2019" w:type="dxa"/>
            <w:shd w:val="clear" w:color="auto" w:fill="auto"/>
            <w:noWrap/>
            <w:vAlign w:val="bottom"/>
            <w:hideMark/>
          </w:tcPr>
          <w:p w:rsidR="00744D70" w:rsidRPr="00833567" w:rsidRDefault="005D5636"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$1,916,046</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340232" w:rsidP="005D5636">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w:t>
            </w:r>
            <w:r w:rsidR="005D5636">
              <w:rPr>
                <w:rFonts w:ascii="Arial" w:eastAsia="Times New Roman" w:hAnsi="Arial" w:cs="Arial"/>
                <w:color w:val="000000"/>
                <w:lang w:val="es-MX" w:eastAsia="es-MX"/>
              </w:rPr>
              <w:t>916,046</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1A01D6">
              <w:rPr>
                <w:rFonts w:ascii="Arial" w:eastAsia="Times New Roman" w:hAnsi="Arial" w:cs="Arial"/>
                <w:b/>
                <w:bCs/>
                <w:color w:val="000000"/>
                <w:lang w:eastAsia="es-MX"/>
              </w:rPr>
              <w:t>3</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Personales</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5D563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$991,390</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lastRenderedPageBreak/>
              <w:t>Materiales y Suministros</w:t>
            </w:r>
          </w:p>
        </w:tc>
        <w:tc>
          <w:tcPr>
            <w:tcW w:w="1560" w:type="dxa"/>
            <w:shd w:val="clear" w:color="auto" w:fill="auto"/>
            <w:noWrap/>
            <w:vAlign w:val="center"/>
          </w:tcPr>
          <w:p w:rsidR="00744D70" w:rsidRPr="00833567" w:rsidRDefault="005D563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434,918</w:t>
            </w:r>
          </w:p>
        </w:tc>
      </w:tr>
      <w:tr w:rsidR="00744D70" w:rsidRPr="00374F3F" w:rsidTr="00FB4419">
        <w:trPr>
          <w:trHeight w:val="145"/>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Generales</w:t>
            </w:r>
          </w:p>
        </w:tc>
        <w:tc>
          <w:tcPr>
            <w:tcW w:w="1560" w:type="dxa"/>
            <w:shd w:val="clear" w:color="auto" w:fill="auto"/>
            <w:noWrap/>
            <w:vAlign w:val="center"/>
          </w:tcPr>
          <w:p w:rsidR="00744D70" w:rsidRPr="00833567" w:rsidRDefault="005D563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87,265</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5D5636"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1,513,573</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3B3827" w:rsidRDefault="003B3827" w:rsidP="00744D70">
      <w:pPr>
        <w:spacing w:after="0" w:line="360" w:lineRule="auto"/>
        <w:ind w:firstLine="708"/>
        <w:jc w:val="both"/>
        <w:rPr>
          <w:rFonts w:ascii="Arial" w:hAnsi="Arial" w:cs="Arial"/>
        </w:rPr>
      </w:pPr>
      <w:r>
        <w:rPr>
          <w:rFonts w:ascii="Arial" w:hAnsi="Arial" w:cs="Arial"/>
          <w:b/>
        </w:rPr>
        <w:t xml:space="preserve">CUARTO.- </w:t>
      </w:r>
      <w:r>
        <w:rPr>
          <w:rFonts w:ascii="Arial" w:hAnsi="Arial" w:cs="Arial"/>
        </w:rPr>
        <w:t>En el apartado IV del Informe de Resultados, se descripción de elementos revisados y resultados obtenidos.</w:t>
      </w:r>
    </w:p>
    <w:p w:rsidR="005B1BF1" w:rsidRPr="003B3827" w:rsidRDefault="005B1BF1" w:rsidP="00744D70">
      <w:pPr>
        <w:spacing w:after="0" w:line="360" w:lineRule="auto"/>
        <w:ind w:firstLine="708"/>
        <w:jc w:val="both"/>
        <w:rPr>
          <w:rFonts w:ascii="Arial" w:hAnsi="Arial" w:cs="Arial"/>
        </w:rPr>
      </w:pPr>
    </w:p>
    <w:p w:rsidR="00744D70" w:rsidRDefault="00C01B14" w:rsidP="00744D70">
      <w:pPr>
        <w:spacing w:after="0" w:line="360" w:lineRule="auto"/>
        <w:ind w:firstLine="708"/>
        <w:jc w:val="both"/>
        <w:rPr>
          <w:rFonts w:ascii="Arial" w:hAnsi="Arial" w:cs="Arial"/>
        </w:rPr>
      </w:pPr>
      <w:r>
        <w:rPr>
          <w:rFonts w:ascii="Arial" w:hAnsi="Arial" w:cs="Arial"/>
          <w:b/>
        </w:rPr>
        <w:t>QUINTO</w:t>
      </w:r>
      <w:r w:rsidR="00744D70" w:rsidRPr="001D64E8">
        <w:rPr>
          <w:rFonts w:ascii="Arial" w:hAnsi="Arial" w:cs="Arial"/>
          <w:b/>
        </w:rPr>
        <w:t>.-</w:t>
      </w:r>
      <w:r w:rsidR="00744D70" w:rsidRPr="001D64E8">
        <w:rPr>
          <w:rFonts w:ascii="Arial" w:hAnsi="Arial" w:cs="Arial"/>
        </w:rPr>
        <w:t xml:space="preserve"> </w:t>
      </w:r>
      <w:r>
        <w:rPr>
          <w:rFonts w:ascii="Arial" w:hAnsi="Arial" w:cs="Arial"/>
        </w:rPr>
        <w:t xml:space="preserve">En el apartado </w:t>
      </w:r>
      <w:r w:rsidR="00744D70">
        <w:rPr>
          <w:rFonts w:ascii="Arial" w:hAnsi="Arial" w:cs="Arial"/>
        </w:rPr>
        <w:t>V del I</w:t>
      </w:r>
      <w:r w:rsidR="00744D70"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744D70">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5D5636" w:rsidRDefault="005D5636" w:rsidP="005D5636">
      <w:pPr>
        <w:spacing w:after="0" w:line="360" w:lineRule="auto"/>
        <w:jc w:val="both"/>
        <w:rPr>
          <w:rFonts w:ascii="Arial" w:hAnsi="Arial" w:cs="Arial"/>
          <w:b/>
          <w:bCs/>
          <w:lang w:val="es-MX"/>
        </w:rPr>
      </w:pPr>
      <w:r w:rsidRPr="005D5636">
        <w:rPr>
          <w:rFonts w:ascii="Arial" w:hAnsi="Arial" w:cs="Arial"/>
          <w:b/>
          <w:bCs/>
          <w:lang w:val="es-MX"/>
        </w:rPr>
        <w:t>GESTIÓN FINANCIERA</w:t>
      </w:r>
    </w:p>
    <w:p w:rsidR="005D5636" w:rsidRDefault="005D5636" w:rsidP="005D5636">
      <w:pPr>
        <w:autoSpaceDE w:val="0"/>
        <w:autoSpaceDN w:val="0"/>
        <w:adjustRightInd w:val="0"/>
        <w:spacing w:after="0" w:line="360" w:lineRule="auto"/>
        <w:jc w:val="both"/>
        <w:rPr>
          <w:rFonts w:ascii="Arial,Bold" w:eastAsiaTheme="minorHAnsi" w:hAnsi="Arial,Bold" w:cs="Arial,Bold"/>
          <w:b/>
          <w:bCs/>
          <w:lang w:val="es-MX"/>
        </w:rPr>
      </w:pPr>
      <w:r w:rsidRPr="005D5636">
        <w:rPr>
          <w:rFonts w:ascii="Arial,Bold" w:eastAsiaTheme="minorHAnsi" w:hAnsi="Arial,Bold" w:cs="Arial,Bold"/>
          <w:b/>
          <w:bCs/>
          <w:lang w:val="es-MX"/>
        </w:rPr>
        <w:t>LEY GENERAL DE CONTABILIDAD GUBERNAMENTAL</w:t>
      </w:r>
    </w:p>
    <w:p w:rsidR="005D5636" w:rsidRPr="005D5636" w:rsidRDefault="005D5636" w:rsidP="005D5636">
      <w:pPr>
        <w:autoSpaceDE w:val="0"/>
        <w:autoSpaceDN w:val="0"/>
        <w:adjustRightInd w:val="0"/>
        <w:spacing w:after="0" w:line="360" w:lineRule="auto"/>
        <w:jc w:val="both"/>
        <w:rPr>
          <w:rFonts w:ascii="Arial,Bold" w:eastAsiaTheme="minorHAnsi" w:hAnsi="Arial,Bold" w:cs="Arial,Bold"/>
          <w:b/>
          <w:bCs/>
          <w:lang w:val="es-MX"/>
        </w:rPr>
      </w:pPr>
      <w:r>
        <w:rPr>
          <w:rFonts w:ascii="Arial,Bold" w:eastAsiaTheme="minorHAnsi" w:hAnsi="Arial,Bold" w:cs="Arial,Bold"/>
          <w:b/>
          <w:bCs/>
          <w:lang w:val="es-MX"/>
        </w:rPr>
        <w:t xml:space="preserve"> </w:t>
      </w:r>
    </w:p>
    <w:p w:rsid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r w:rsidRPr="005D5636">
        <w:rPr>
          <w:rFonts w:ascii="Arial" w:eastAsiaTheme="minorHAnsi" w:hAnsi="Arial" w:cs="Arial"/>
          <w:lang w:val="es-MX"/>
        </w:rPr>
        <w:t>En fecha 1 de enero de 2009, entró en vigor la Ley General de Contabilidad Gubernamental</w:t>
      </w:r>
      <w:r>
        <w:rPr>
          <w:rFonts w:ascii="Arial" w:eastAsiaTheme="minorHAnsi" w:hAnsi="Arial" w:cs="Arial"/>
          <w:lang w:val="es-MX"/>
        </w:rPr>
        <w:t xml:space="preserve"> </w:t>
      </w:r>
      <w:r w:rsidRPr="005D5636">
        <w:rPr>
          <w:rFonts w:ascii="Arial" w:eastAsiaTheme="minorHAnsi" w:hAnsi="Arial" w:cs="Arial"/>
          <w:lang w:val="es-MX"/>
        </w:rPr>
        <w:t>(en adelante LGCG), la cual, en su numeral 1, tiene por objeto establecer los criterios</w:t>
      </w:r>
      <w:r>
        <w:rPr>
          <w:rFonts w:ascii="Arial" w:eastAsiaTheme="minorHAnsi" w:hAnsi="Arial" w:cs="Arial"/>
          <w:lang w:val="es-MX"/>
        </w:rPr>
        <w:t xml:space="preserve"> </w:t>
      </w:r>
      <w:r w:rsidRPr="005D5636">
        <w:rPr>
          <w:rFonts w:ascii="Arial" w:eastAsiaTheme="minorHAnsi" w:hAnsi="Arial" w:cs="Arial"/>
          <w:lang w:val="es-MX"/>
        </w:rPr>
        <w:t>generales que regirán la contabilidad gubernamental y la emisión de información financiera</w:t>
      </w:r>
      <w:r>
        <w:rPr>
          <w:rFonts w:ascii="Arial" w:eastAsiaTheme="minorHAnsi" w:hAnsi="Arial" w:cs="Arial"/>
          <w:lang w:val="es-MX"/>
        </w:rPr>
        <w:t xml:space="preserve"> </w:t>
      </w:r>
      <w:r w:rsidRPr="005D5636">
        <w:rPr>
          <w:rFonts w:ascii="Arial" w:eastAsiaTheme="minorHAnsi" w:hAnsi="Arial" w:cs="Arial"/>
          <w:lang w:val="es-MX"/>
        </w:rPr>
        <w:t>de los entes públicos, con el fin de lograr su adecuada armonización; refiriendo además</w:t>
      </w:r>
      <w:r>
        <w:rPr>
          <w:rFonts w:ascii="Arial" w:eastAsiaTheme="minorHAnsi" w:hAnsi="Arial" w:cs="Arial"/>
          <w:lang w:val="es-MX"/>
        </w:rPr>
        <w:t xml:space="preserve"> </w:t>
      </w:r>
      <w:r w:rsidRPr="005D5636">
        <w:rPr>
          <w:rFonts w:ascii="Arial" w:eastAsiaTheme="minorHAnsi" w:hAnsi="Arial" w:cs="Arial"/>
          <w:lang w:val="es-MX"/>
        </w:rPr>
        <w:t>que es de observancia obligatoria para los poderes Ejecutivo, Legislativo y Judicial de los</w:t>
      </w:r>
      <w:r>
        <w:rPr>
          <w:rFonts w:ascii="Arial" w:eastAsiaTheme="minorHAnsi" w:hAnsi="Arial" w:cs="Arial"/>
          <w:lang w:val="es-MX"/>
        </w:rPr>
        <w:t xml:space="preserve"> </w:t>
      </w:r>
      <w:r w:rsidRPr="005D5636">
        <w:rPr>
          <w:rFonts w:ascii="Arial" w:eastAsiaTheme="minorHAnsi" w:hAnsi="Arial" w:cs="Arial"/>
          <w:lang w:val="es-MX"/>
        </w:rPr>
        <w:t>estados, los ayuntamientos de los municipios, las entidades de la administración pública</w:t>
      </w:r>
      <w:r>
        <w:rPr>
          <w:rFonts w:ascii="Arial" w:eastAsiaTheme="minorHAnsi" w:hAnsi="Arial" w:cs="Arial"/>
          <w:lang w:val="es-MX"/>
        </w:rPr>
        <w:t xml:space="preserve"> </w:t>
      </w:r>
      <w:r w:rsidRPr="005D5636">
        <w:rPr>
          <w:rFonts w:ascii="Arial" w:eastAsiaTheme="minorHAnsi" w:hAnsi="Arial" w:cs="Arial"/>
          <w:lang w:val="es-MX"/>
        </w:rPr>
        <w:t>paraestatal, ya sean federales, estatales o municipales y los órganos autónomos federales</w:t>
      </w:r>
      <w:r>
        <w:rPr>
          <w:rFonts w:ascii="Arial" w:eastAsiaTheme="minorHAnsi" w:hAnsi="Arial" w:cs="Arial"/>
          <w:lang w:val="es-MX"/>
        </w:rPr>
        <w:t xml:space="preserve"> </w:t>
      </w:r>
      <w:r w:rsidRPr="005D5636">
        <w:rPr>
          <w:rFonts w:ascii="Arial" w:eastAsiaTheme="minorHAnsi" w:hAnsi="Arial" w:cs="Arial"/>
          <w:lang w:val="es-MX"/>
        </w:rPr>
        <w:t>y estatales.</w:t>
      </w:r>
    </w:p>
    <w:p w:rsidR="005D5636" w:rsidRP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p>
    <w:p w:rsid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r w:rsidRPr="005D5636">
        <w:rPr>
          <w:rFonts w:ascii="Arial" w:eastAsiaTheme="minorHAnsi" w:hAnsi="Arial" w:cs="Arial"/>
          <w:lang w:val="es-MX"/>
        </w:rPr>
        <w:t>Al efecto, cabe precisar que conforme al régimen transitorio del decreto por el que se expidió</w:t>
      </w:r>
      <w:r>
        <w:rPr>
          <w:rFonts w:ascii="Arial" w:eastAsiaTheme="minorHAnsi" w:hAnsi="Arial" w:cs="Arial"/>
          <w:lang w:val="es-MX"/>
        </w:rPr>
        <w:t xml:space="preserve"> </w:t>
      </w:r>
      <w:r w:rsidRPr="005D5636">
        <w:rPr>
          <w:rFonts w:ascii="Arial" w:eastAsiaTheme="minorHAnsi" w:hAnsi="Arial" w:cs="Arial"/>
          <w:lang w:val="es-MX"/>
        </w:rPr>
        <w:t>la LGCG, se determinó que el sistema de contabilidad que regula, se sujetaría a un proceso</w:t>
      </w:r>
      <w:r>
        <w:rPr>
          <w:rFonts w:ascii="Arial" w:eastAsiaTheme="minorHAnsi" w:hAnsi="Arial" w:cs="Arial"/>
          <w:lang w:val="es-MX"/>
        </w:rPr>
        <w:t xml:space="preserve"> </w:t>
      </w:r>
      <w:r w:rsidRPr="005D5636">
        <w:rPr>
          <w:rFonts w:ascii="Arial" w:eastAsiaTheme="minorHAnsi" w:hAnsi="Arial" w:cs="Arial"/>
          <w:lang w:val="es-MX"/>
        </w:rPr>
        <w:t xml:space="preserve">gradual para su implementación, al respecto, y con la finalidad </w:t>
      </w:r>
      <w:r w:rsidRPr="005D5636">
        <w:rPr>
          <w:rFonts w:ascii="Arial" w:eastAsiaTheme="minorHAnsi" w:hAnsi="Arial" w:cs="Arial"/>
          <w:lang w:val="es-MX"/>
        </w:rPr>
        <w:lastRenderedPageBreak/>
        <w:t>de esclarecer las fechas límite</w:t>
      </w:r>
      <w:r>
        <w:rPr>
          <w:rFonts w:ascii="Arial" w:eastAsiaTheme="minorHAnsi" w:hAnsi="Arial" w:cs="Arial"/>
          <w:lang w:val="es-MX"/>
        </w:rPr>
        <w:t xml:space="preserve"> </w:t>
      </w:r>
      <w:r w:rsidRPr="005D5636">
        <w:rPr>
          <w:rFonts w:ascii="Arial" w:eastAsiaTheme="minorHAnsi" w:hAnsi="Arial" w:cs="Arial"/>
          <w:lang w:val="es-MX"/>
        </w:rPr>
        <w:t>para el cumplimiento del citado proceso, el Consejo Nacional de Armonización Contable (en</w:t>
      </w:r>
      <w:r>
        <w:rPr>
          <w:rFonts w:ascii="Arial" w:eastAsiaTheme="minorHAnsi" w:hAnsi="Arial" w:cs="Arial"/>
          <w:lang w:val="es-MX"/>
        </w:rPr>
        <w:t xml:space="preserve"> </w:t>
      </w:r>
      <w:r w:rsidRPr="005D5636">
        <w:rPr>
          <w:rFonts w:ascii="Arial" w:eastAsiaTheme="minorHAnsi" w:hAnsi="Arial" w:cs="Arial"/>
          <w:lang w:val="es-MX"/>
        </w:rPr>
        <w:t>adelante CONAC), emitió el Acuerdo de Interpretación Sobre las Obligaciones Establecidas</w:t>
      </w:r>
      <w:r>
        <w:rPr>
          <w:rFonts w:ascii="Arial" w:eastAsiaTheme="minorHAnsi" w:hAnsi="Arial" w:cs="Arial"/>
          <w:lang w:val="es-MX"/>
        </w:rPr>
        <w:t xml:space="preserve"> </w:t>
      </w:r>
      <w:r w:rsidRPr="005D5636">
        <w:rPr>
          <w:rFonts w:ascii="Arial" w:eastAsiaTheme="minorHAnsi" w:hAnsi="Arial" w:cs="Arial"/>
          <w:lang w:val="es-MX"/>
        </w:rPr>
        <w:t>en los Artículos Transitorios de la LGCG.</w:t>
      </w:r>
    </w:p>
    <w:p w:rsidR="005D5636" w:rsidRP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p>
    <w:p w:rsid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r w:rsidRPr="005D5636">
        <w:rPr>
          <w:rFonts w:ascii="Arial" w:eastAsiaTheme="minorHAnsi" w:hAnsi="Arial" w:cs="Arial"/>
          <w:lang w:val="es-MX"/>
        </w:rPr>
        <w:t>El 12 de noviembre de 2012 y 9 de diciembre de 2013, se publicaron en el Diario Oficial</w:t>
      </w:r>
      <w:r>
        <w:rPr>
          <w:rFonts w:ascii="Arial" w:eastAsiaTheme="minorHAnsi" w:hAnsi="Arial" w:cs="Arial"/>
          <w:lang w:val="es-MX"/>
        </w:rPr>
        <w:t xml:space="preserve"> </w:t>
      </w:r>
      <w:r w:rsidRPr="005D5636">
        <w:rPr>
          <w:rFonts w:ascii="Arial" w:eastAsiaTheme="minorHAnsi" w:hAnsi="Arial" w:cs="Arial"/>
          <w:lang w:val="es-MX"/>
        </w:rPr>
        <w:t>de la Federación, decretos de reforma a la LGCG, los cuales entraron en vigor el primer</w:t>
      </w:r>
      <w:r>
        <w:rPr>
          <w:rFonts w:ascii="Arial" w:eastAsiaTheme="minorHAnsi" w:hAnsi="Arial" w:cs="Arial"/>
          <w:lang w:val="es-MX"/>
        </w:rPr>
        <w:t xml:space="preserve"> </w:t>
      </w:r>
      <w:r w:rsidRPr="005D5636">
        <w:rPr>
          <w:rFonts w:ascii="Arial" w:eastAsiaTheme="minorHAnsi" w:hAnsi="Arial" w:cs="Arial"/>
          <w:lang w:val="es-MX"/>
        </w:rPr>
        <w:t>día del año siguiente al de su publicación; no obstante ello, se dispuso en sus preceptos</w:t>
      </w:r>
      <w:r>
        <w:rPr>
          <w:rFonts w:ascii="Arial" w:eastAsiaTheme="minorHAnsi" w:hAnsi="Arial" w:cs="Arial"/>
          <w:lang w:val="es-MX"/>
        </w:rPr>
        <w:t xml:space="preserve"> </w:t>
      </w:r>
      <w:r w:rsidRPr="005D5636">
        <w:rPr>
          <w:rFonts w:ascii="Arial" w:eastAsiaTheme="minorHAnsi" w:hAnsi="Arial" w:cs="Arial"/>
          <w:lang w:val="es-MX"/>
        </w:rPr>
        <w:t>transitorios diversas fechas para que los entes públicos cumplieran las exigencias previstas</w:t>
      </w:r>
      <w:r>
        <w:rPr>
          <w:rFonts w:ascii="Arial" w:eastAsiaTheme="minorHAnsi" w:hAnsi="Arial" w:cs="Arial"/>
          <w:lang w:val="es-MX"/>
        </w:rPr>
        <w:t xml:space="preserve"> </w:t>
      </w:r>
      <w:r w:rsidRPr="005D5636">
        <w:rPr>
          <w:rFonts w:ascii="Arial" w:eastAsiaTheme="minorHAnsi" w:hAnsi="Arial" w:cs="Arial"/>
          <w:lang w:val="es-MX"/>
        </w:rPr>
        <w:t>en los preceptos adicionados o modificados.</w:t>
      </w:r>
    </w:p>
    <w:p w:rsidR="005D5636" w:rsidRP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p>
    <w:p w:rsid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r w:rsidRPr="005D5636">
        <w:rPr>
          <w:rFonts w:ascii="Arial" w:eastAsiaTheme="minorHAnsi" w:hAnsi="Arial" w:cs="Arial"/>
          <w:lang w:val="es-MX"/>
        </w:rPr>
        <w:t>En el 2013 el CONAC, decidió establecer nuevos plazos para cumplir con lo señalado en</w:t>
      </w:r>
      <w:r>
        <w:rPr>
          <w:rFonts w:ascii="Arial" w:eastAsiaTheme="minorHAnsi" w:hAnsi="Arial" w:cs="Arial"/>
          <w:lang w:val="es-MX"/>
        </w:rPr>
        <w:t xml:space="preserve"> </w:t>
      </w:r>
      <w:r w:rsidRPr="005D5636">
        <w:rPr>
          <w:rFonts w:ascii="Arial" w:eastAsiaTheme="minorHAnsi" w:hAnsi="Arial" w:cs="Arial"/>
          <w:lang w:val="es-MX"/>
        </w:rPr>
        <w:t>los artículos cuarto transitorio, fracción III, y séptimo transitorio del referido decreto, según</w:t>
      </w:r>
      <w:r>
        <w:rPr>
          <w:rFonts w:ascii="Arial" w:eastAsiaTheme="minorHAnsi" w:hAnsi="Arial" w:cs="Arial"/>
          <w:lang w:val="es-MX"/>
        </w:rPr>
        <w:t xml:space="preserve"> </w:t>
      </w:r>
      <w:r w:rsidRPr="005D5636">
        <w:rPr>
          <w:rFonts w:ascii="Arial" w:eastAsiaTheme="minorHAnsi" w:hAnsi="Arial" w:cs="Arial"/>
          <w:lang w:val="es-MX"/>
        </w:rPr>
        <w:t>consta en el Acuerdo 1 aprobado por dicho Consejo, en su reunión del 3 de mayo de 2013,</w:t>
      </w:r>
      <w:r>
        <w:rPr>
          <w:rFonts w:ascii="Arial" w:eastAsiaTheme="minorHAnsi" w:hAnsi="Arial" w:cs="Arial"/>
          <w:lang w:val="es-MX"/>
        </w:rPr>
        <w:t xml:space="preserve"> </w:t>
      </w:r>
      <w:r w:rsidRPr="005D5636">
        <w:rPr>
          <w:rFonts w:ascii="Arial" w:eastAsiaTheme="minorHAnsi" w:hAnsi="Arial" w:cs="Arial"/>
          <w:lang w:val="es-MX"/>
        </w:rPr>
        <w:t>publicado en el Diario Oficial de la Federación de fecha 16 de mayo de 2013, en su primera</w:t>
      </w:r>
      <w:r>
        <w:rPr>
          <w:rFonts w:ascii="Arial" w:eastAsiaTheme="minorHAnsi" w:hAnsi="Arial" w:cs="Arial"/>
          <w:lang w:val="es-MX"/>
        </w:rPr>
        <w:t xml:space="preserve"> </w:t>
      </w:r>
      <w:r w:rsidRPr="005D5636">
        <w:rPr>
          <w:rFonts w:ascii="Arial" w:eastAsiaTheme="minorHAnsi" w:hAnsi="Arial" w:cs="Arial"/>
          <w:lang w:val="es-MX"/>
        </w:rPr>
        <w:t>sección; así como en el Acuerdo por el que se determina la norma de información financiera</w:t>
      </w:r>
      <w:r>
        <w:rPr>
          <w:rFonts w:ascii="Arial" w:eastAsiaTheme="minorHAnsi" w:hAnsi="Arial" w:cs="Arial"/>
          <w:lang w:val="es-MX"/>
        </w:rPr>
        <w:t xml:space="preserve"> </w:t>
      </w:r>
      <w:r w:rsidRPr="005D5636">
        <w:rPr>
          <w:rFonts w:ascii="Arial" w:eastAsiaTheme="minorHAnsi" w:hAnsi="Arial" w:cs="Arial"/>
          <w:lang w:val="es-MX"/>
        </w:rPr>
        <w:t>para precisar los alcances del Acuerdo 1 aprobado por el CONAC, publicado el 8 de agosto</w:t>
      </w:r>
      <w:r>
        <w:rPr>
          <w:rFonts w:ascii="Arial" w:eastAsiaTheme="minorHAnsi" w:hAnsi="Arial" w:cs="Arial"/>
          <w:lang w:val="es-MX"/>
        </w:rPr>
        <w:t xml:space="preserve"> </w:t>
      </w:r>
      <w:r w:rsidRPr="005D5636">
        <w:rPr>
          <w:rFonts w:ascii="Arial" w:eastAsiaTheme="minorHAnsi" w:hAnsi="Arial" w:cs="Arial"/>
          <w:lang w:val="es-MX"/>
        </w:rPr>
        <w:t>de 2013 en el Diario Oficial de la Federación.</w:t>
      </w:r>
    </w:p>
    <w:p w:rsidR="005D5636" w:rsidRPr="005D5636" w:rsidRDefault="005D5636" w:rsidP="005D5636">
      <w:pPr>
        <w:autoSpaceDE w:val="0"/>
        <w:autoSpaceDN w:val="0"/>
        <w:adjustRightInd w:val="0"/>
        <w:spacing w:after="0" w:line="360" w:lineRule="auto"/>
        <w:ind w:firstLine="709"/>
        <w:jc w:val="both"/>
        <w:rPr>
          <w:rFonts w:ascii="Arial" w:eastAsiaTheme="minorHAnsi" w:hAnsi="Arial" w:cs="Arial"/>
          <w:lang w:val="es-MX"/>
        </w:rPr>
      </w:pPr>
    </w:p>
    <w:p w:rsidR="005D5636" w:rsidRDefault="005D5636" w:rsidP="005D5636">
      <w:pPr>
        <w:autoSpaceDE w:val="0"/>
        <w:autoSpaceDN w:val="0"/>
        <w:adjustRightInd w:val="0"/>
        <w:spacing w:after="0" w:line="360" w:lineRule="auto"/>
        <w:ind w:firstLine="709"/>
        <w:jc w:val="both"/>
        <w:rPr>
          <w:rFonts w:ascii="Arial" w:eastAsiaTheme="minorHAnsi" w:hAnsi="Arial" w:cs="Arial"/>
          <w:szCs w:val="24"/>
          <w:lang w:val="es-MX"/>
        </w:rPr>
      </w:pPr>
      <w:r w:rsidRPr="005D5636">
        <w:rPr>
          <w:rFonts w:ascii="Arial" w:eastAsiaTheme="minorHAnsi" w:hAnsi="Arial" w:cs="Arial"/>
          <w:lang w:val="es-MX"/>
        </w:rPr>
        <w:t>Considerando los acuerdos y disposiciones transitorias antes referidas, se revisó la</w:t>
      </w:r>
      <w:r>
        <w:rPr>
          <w:rFonts w:ascii="Arial" w:eastAsiaTheme="minorHAnsi" w:hAnsi="Arial" w:cs="Arial"/>
          <w:lang w:val="es-MX"/>
        </w:rPr>
        <w:t xml:space="preserve"> </w:t>
      </w:r>
      <w:r w:rsidRPr="005D5636">
        <w:rPr>
          <w:rFonts w:ascii="Arial" w:eastAsiaTheme="minorHAnsi" w:hAnsi="Arial" w:cs="Arial"/>
          <w:lang w:val="es-MX"/>
        </w:rPr>
        <w:t>observancia de la LGCG, advirtiéndose incumplimientos por parte del ente público, a las</w:t>
      </w:r>
      <w:r>
        <w:rPr>
          <w:rFonts w:ascii="Arial" w:eastAsiaTheme="minorHAnsi" w:hAnsi="Arial" w:cs="Arial"/>
          <w:lang w:val="es-MX"/>
        </w:rPr>
        <w:t xml:space="preserve"> </w:t>
      </w:r>
      <w:r w:rsidRPr="005D5636">
        <w:rPr>
          <w:rFonts w:ascii="Arial" w:eastAsiaTheme="minorHAnsi" w:hAnsi="Arial" w:cs="Arial"/>
          <w:szCs w:val="24"/>
          <w:lang w:val="es-MX"/>
        </w:rPr>
        <w:t>obligaciones que diversos preceptos de la referida Ley le imponen, acorde con lo que se</w:t>
      </w:r>
      <w:r>
        <w:rPr>
          <w:rFonts w:ascii="Arial" w:eastAsiaTheme="minorHAnsi" w:hAnsi="Arial" w:cs="Arial"/>
          <w:szCs w:val="24"/>
          <w:lang w:val="es-MX"/>
        </w:rPr>
        <w:t xml:space="preserve"> </w:t>
      </w:r>
      <w:r w:rsidRPr="005D5636">
        <w:rPr>
          <w:rFonts w:ascii="Arial" w:eastAsiaTheme="minorHAnsi" w:hAnsi="Arial" w:cs="Arial"/>
          <w:szCs w:val="24"/>
          <w:lang w:val="es-MX"/>
        </w:rPr>
        <w:t>enuncia a continuación:</w:t>
      </w:r>
    </w:p>
    <w:p w:rsidR="005D5636" w:rsidRPr="005D5636" w:rsidRDefault="005D5636" w:rsidP="005D5636">
      <w:pPr>
        <w:autoSpaceDE w:val="0"/>
        <w:autoSpaceDN w:val="0"/>
        <w:adjustRightInd w:val="0"/>
        <w:spacing w:after="0" w:line="360" w:lineRule="auto"/>
        <w:ind w:firstLine="709"/>
        <w:jc w:val="both"/>
        <w:rPr>
          <w:rFonts w:ascii="Arial" w:eastAsiaTheme="minorHAnsi" w:hAnsi="Arial" w:cs="Arial"/>
          <w:szCs w:val="24"/>
          <w:lang w:val="es-MX"/>
        </w:rPr>
      </w:pPr>
    </w:p>
    <w:p w:rsidR="005D5636" w:rsidRPr="005D5636" w:rsidRDefault="005D5636" w:rsidP="005D5636">
      <w:pPr>
        <w:autoSpaceDE w:val="0"/>
        <w:autoSpaceDN w:val="0"/>
        <w:adjustRightInd w:val="0"/>
        <w:spacing w:after="0" w:line="360" w:lineRule="auto"/>
        <w:jc w:val="both"/>
        <w:rPr>
          <w:rFonts w:ascii="Arial,Bold" w:eastAsiaTheme="minorHAnsi" w:hAnsi="Arial,Bold" w:cs="Arial,Bold"/>
          <w:b/>
          <w:bCs/>
          <w:szCs w:val="24"/>
          <w:lang w:val="es-MX"/>
        </w:rPr>
      </w:pPr>
      <w:r w:rsidRPr="005D5636">
        <w:rPr>
          <w:rFonts w:ascii="Arial" w:eastAsiaTheme="minorHAnsi" w:hAnsi="Arial" w:cs="Arial"/>
          <w:szCs w:val="24"/>
          <w:lang w:val="es-MX"/>
        </w:rPr>
        <w:t xml:space="preserve">I. </w:t>
      </w:r>
      <w:r w:rsidRPr="005D5636">
        <w:rPr>
          <w:rFonts w:ascii="Arial,Bold" w:eastAsiaTheme="minorHAnsi" w:hAnsi="Arial,Bold" w:cs="Arial,Bold"/>
          <w:b/>
          <w:bCs/>
          <w:szCs w:val="24"/>
          <w:lang w:val="es-MX"/>
        </w:rPr>
        <w:t>Generales</w:t>
      </w:r>
    </w:p>
    <w:p w:rsidR="005D5636" w:rsidRPr="003679D3" w:rsidRDefault="005D5636" w:rsidP="003679D3">
      <w:pPr>
        <w:pStyle w:val="Prrafodelista"/>
        <w:numPr>
          <w:ilvl w:val="0"/>
          <w:numId w:val="16"/>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lastRenderedPageBreak/>
        <w:t>Contar con manuales de contabilidad (artículo 20).</w:t>
      </w:r>
    </w:p>
    <w:p w:rsidR="005D5636" w:rsidRDefault="005D5636" w:rsidP="00A45907">
      <w:pPr>
        <w:pStyle w:val="Prrafodelista"/>
        <w:numPr>
          <w:ilvl w:val="0"/>
          <w:numId w:val="16"/>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Disponer de clasificadores presupuestarios armonizados, listas de cuentas y</w:t>
      </w:r>
      <w:r w:rsidR="003679D3">
        <w:rPr>
          <w:rFonts w:ascii="Arial" w:eastAsiaTheme="minorHAnsi" w:hAnsi="Arial" w:cs="Arial"/>
          <w:szCs w:val="24"/>
          <w:lang w:val="es-MX"/>
        </w:rPr>
        <w:t xml:space="preserve"> </w:t>
      </w:r>
      <w:r w:rsidRPr="003679D3">
        <w:rPr>
          <w:rFonts w:ascii="Arial" w:eastAsiaTheme="minorHAnsi" w:hAnsi="Arial" w:cs="Arial"/>
          <w:szCs w:val="24"/>
          <w:lang w:val="es-MX"/>
        </w:rPr>
        <w:t>catálogos de bienes (artículo 41).</w:t>
      </w:r>
    </w:p>
    <w:p w:rsidR="003679D3" w:rsidRPr="003679D3" w:rsidRDefault="003679D3" w:rsidP="003679D3">
      <w:pPr>
        <w:autoSpaceDE w:val="0"/>
        <w:autoSpaceDN w:val="0"/>
        <w:adjustRightInd w:val="0"/>
        <w:spacing w:after="0" w:line="360" w:lineRule="auto"/>
        <w:jc w:val="both"/>
        <w:rPr>
          <w:rFonts w:ascii="Arial" w:eastAsiaTheme="minorHAnsi" w:hAnsi="Arial" w:cs="Arial"/>
          <w:szCs w:val="24"/>
          <w:lang w:val="es-MX"/>
        </w:rPr>
      </w:pPr>
    </w:p>
    <w:p w:rsidR="005D5636" w:rsidRPr="005D5636" w:rsidRDefault="005D5636" w:rsidP="005D5636">
      <w:pPr>
        <w:autoSpaceDE w:val="0"/>
        <w:autoSpaceDN w:val="0"/>
        <w:adjustRightInd w:val="0"/>
        <w:spacing w:after="0" w:line="360" w:lineRule="auto"/>
        <w:jc w:val="both"/>
        <w:rPr>
          <w:rFonts w:ascii="Arial,Bold" w:eastAsiaTheme="minorHAnsi" w:hAnsi="Arial,Bold" w:cs="Arial,Bold"/>
          <w:b/>
          <w:bCs/>
          <w:szCs w:val="24"/>
          <w:lang w:val="es-MX"/>
        </w:rPr>
      </w:pPr>
      <w:r w:rsidRPr="005D5636">
        <w:rPr>
          <w:rFonts w:ascii="Arial" w:eastAsiaTheme="minorHAnsi" w:hAnsi="Arial" w:cs="Arial"/>
          <w:szCs w:val="24"/>
          <w:lang w:val="es-MX"/>
        </w:rPr>
        <w:t xml:space="preserve">II. </w:t>
      </w:r>
      <w:r w:rsidRPr="005D5636">
        <w:rPr>
          <w:rFonts w:ascii="Arial,Bold" w:eastAsiaTheme="minorHAnsi" w:hAnsi="Arial,Bold" w:cs="Arial,Bold"/>
          <w:b/>
          <w:bCs/>
          <w:szCs w:val="24"/>
          <w:lang w:val="es-MX"/>
        </w:rPr>
        <w:t>Registro y control patrimonial de los activos fijos</w:t>
      </w:r>
    </w:p>
    <w:p w:rsidR="005D5636" w:rsidRPr="003679D3" w:rsidRDefault="005D5636" w:rsidP="00473EA3">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Registrar en cuentas específicas de activo los bienes muebles e inmuebles (artículos</w:t>
      </w:r>
      <w:r w:rsidR="003679D3">
        <w:rPr>
          <w:rFonts w:ascii="Arial" w:eastAsiaTheme="minorHAnsi" w:hAnsi="Arial" w:cs="Arial"/>
          <w:szCs w:val="24"/>
          <w:lang w:val="es-MX"/>
        </w:rPr>
        <w:t xml:space="preserve"> </w:t>
      </w:r>
      <w:r w:rsidRPr="003679D3">
        <w:rPr>
          <w:rFonts w:ascii="Arial" w:eastAsiaTheme="minorHAnsi" w:hAnsi="Arial" w:cs="Arial"/>
          <w:szCs w:val="24"/>
          <w:lang w:val="es-MX"/>
        </w:rPr>
        <w:t>23 y 24).</w:t>
      </w:r>
    </w:p>
    <w:p w:rsidR="005D5636" w:rsidRPr="003679D3" w:rsidRDefault="005D5636" w:rsidP="00C5786F">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Elaborar un registro auxiliar sujeto a inventario de los bienes muebles o inmuebles</w:t>
      </w:r>
      <w:r w:rsidR="003679D3" w:rsidRPr="003679D3">
        <w:rPr>
          <w:rFonts w:ascii="Arial" w:eastAsiaTheme="minorHAnsi" w:hAnsi="Arial" w:cs="Arial"/>
          <w:szCs w:val="24"/>
          <w:lang w:val="es-MX"/>
        </w:rPr>
        <w:t xml:space="preserve"> </w:t>
      </w:r>
      <w:r w:rsidRPr="003679D3">
        <w:rPr>
          <w:rFonts w:ascii="Arial" w:eastAsiaTheme="minorHAnsi" w:hAnsi="Arial" w:cs="Arial"/>
          <w:szCs w:val="24"/>
          <w:lang w:val="es-MX"/>
        </w:rPr>
        <w:t>bajo su custodia que, por su naturaleza, sean inalienables e imprescriptibles, como</w:t>
      </w:r>
      <w:r w:rsidR="003679D3">
        <w:rPr>
          <w:rFonts w:ascii="Arial" w:eastAsiaTheme="minorHAnsi" w:hAnsi="Arial" w:cs="Arial"/>
          <w:szCs w:val="24"/>
          <w:lang w:val="es-MX"/>
        </w:rPr>
        <w:t xml:space="preserve"> </w:t>
      </w:r>
      <w:r w:rsidRPr="003679D3">
        <w:rPr>
          <w:rFonts w:ascii="Arial" w:eastAsiaTheme="minorHAnsi" w:hAnsi="Arial" w:cs="Arial"/>
          <w:szCs w:val="24"/>
          <w:lang w:val="es-MX"/>
        </w:rPr>
        <w:t>lo son los monumentos arqueológicos, artísticos e históricos (artículo 25).</w:t>
      </w:r>
    </w:p>
    <w:p w:rsidR="005D5636" w:rsidRPr="003679D3" w:rsidRDefault="005D5636" w:rsidP="00BC221F">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Registrar contablemente las inversiones en bienes de dominio público (artículo 26</w:t>
      </w:r>
      <w:r w:rsidR="003679D3">
        <w:rPr>
          <w:rFonts w:ascii="Arial" w:eastAsiaTheme="minorHAnsi" w:hAnsi="Arial" w:cs="Arial"/>
          <w:szCs w:val="24"/>
          <w:lang w:val="es-MX"/>
        </w:rPr>
        <w:t xml:space="preserve"> </w:t>
      </w:r>
      <w:r w:rsidRPr="003679D3">
        <w:rPr>
          <w:rFonts w:ascii="Arial" w:eastAsiaTheme="minorHAnsi" w:hAnsi="Arial" w:cs="Arial"/>
          <w:szCs w:val="24"/>
          <w:lang w:val="es-MX"/>
        </w:rPr>
        <w:t>párrafo segundo).</w:t>
      </w:r>
    </w:p>
    <w:p w:rsidR="005D5636" w:rsidRPr="003679D3" w:rsidRDefault="005D5636" w:rsidP="00354B70">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Llevar a cabo el levantamiento físico del inventario de los bienes muebles e</w:t>
      </w:r>
      <w:r w:rsidR="003679D3" w:rsidRPr="003679D3">
        <w:rPr>
          <w:rFonts w:ascii="Arial" w:eastAsiaTheme="minorHAnsi" w:hAnsi="Arial" w:cs="Arial"/>
          <w:szCs w:val="24"/>
          <w:lang w:val="es-MX"/>
        </w:rPr>
        <w:t xml:space="preserve"> </w:t>
      </w:r>
      <w:r w:rsidRPr="003679D3">
        <w:rPr>
          <w:rFonts w:ascii="Arial" w:eastAsiaTheme="minorHAnsi" w:hAnsi="Arial" w:cs="Arial"/>
          <w:szCs w:val="24"/>
          <w:lang w:val="es-MX"/>
        </w:rPr>
        <w:t>inmuebles, publicarlo en internet; además registrar en un plazo de 30 días hábiles</w:t>
      </w:r>
      <w:r w:rsidR="003679D3">
        <w:rPr>
          <w:rFonts w:ascii="Arial" w:eastAsiaTheme="minorHAnsi" w:hAnsi="Arial" w:cs="Arial"/>
          <w:szCs w:val="24"/>
          <w:lang w:val="es-MX"/>
        </w:rPr>
        <w:t xml:space="preserve"> </w:t>
      </w:r>
      <w:r w:rsidRPr="003679D3">
        <w:rPr>
          <w:rFonts w:ascii="Arial" w:eastAsiaTheme="minorHAnsi" w:hAnsi="Arial" w:cs="Arial"/>
          <w:szCs w:val="24"/>
          <w:lang w:val="es-MX"/>
        </w:rPr>
        <w:t>los bienes que se adquieran (artículos 23 y 27).</w:t>
      </w:r>
    </w:p>
    <w:p w:rsidR="005D5636" w:rsidRDefault="005D5636" w:rsidP="003679D3">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Realizar la baja de bienes muebles e inmuebles (artículo 28).</w:t>
      </w:r>
    </w:p>
    <w:p w:rsidR="003679D3" w:rsidRPr="003679D3" w:rsidRDefault="003679D3" w:rsidP="003679D3">
      <w:pPr>
        <w:autoSpaceDE w:val="0"/>
        <w:autoSpaceDN w:val="0"/>
        <w:adjustRightInd w:val="0"/>
        <w:spacing w:after="0" w:line="360" w:lineRule="auto"/>
        <w:jc w:val="both"/>
        <w:rPr>
          <w:rFonts w:ascii="Arial" w:eastAsiaTheme="minorHAnsi" w:hAnsi="Arial" w:cs="Arial"/>
          <w:szCs w:val="24"/>
          <w:lang w:val="es-MX"/>
        </w:rPr>
      </w:pPr>
    </w:p>
    <w:p w:rsidR="005D5636" w:rsidRPr="005D5636" w:rsidRDefault="005D5636" w:rsidP="005D5636">
      <w:pPr>
        <w:autoSpaceDE w:val="0"/>
        <w:autoSpaceDN w:val="0"/>
        <w:adjustRightInd w:val="0"/>
        <w:spacing w:after="0" w:line="360" w:lineRule="auto"/>
        <w:jc w:val="both"/>
        <w:rPr>
          <w:rFonts w:ascii="Arial,Bold" w:eastAsiaTheme="minorHAnsi" w:hAnsi="Arial,Bold" w:cs="Arial,Bold"/>
          <w:b/>
          <w:bCs/>
          <w:szCs w:val="24"/>
          <w:lang w:val="es-MX"/>
        </w:rPr>
      </w:pPr>
      <w:r w:rsidRPr="005D5636">
        <w:rPr>
          <w:rFonts w:ascii="Arial" w:eastAsiaTheme="minorHAnsi" w:hAnsi="Arial" w:cs="Arial"/>
          <w:szCs w:val="24"/>
          <w:lang w:val="es-MX"/>
        </w:rPr>
        <w:t xml:space="preserve">III. </w:t>
      </w:r>
      <w:r w:rsidRPr="005D5636">
        <w:rPr>
          <w:rFonts w:ascii="Arial,Bold" w:eastAsiaTheme="minorHAnsi" w:hAnsi="Arial,Bold" w:cs="Arial,Bold"/>
          <w:b/>
          <w:bCs/>
          <w:szCs w:val="24"/>
          <w:lang w:val="es-MX"/>
        </w:rPr>
        <w:t>Registro contable de las operaciones</w:t>
      </w:r>
    </w:p>
    <w:p w:rsidR="005D5636" w:rsidRPr="003679D3" w:rsidRDefault="005D5636" w:rsidP="00AB366B">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Realizar los registros contables con base acumulativa, el gasto conforme a su fecha</w:t>
      </w:r>
      <w:r w:rsidR="003679D3" w:rsidRPr="003679D3">
        <w:rPr>
          <w:rFonts w:ascii="Arial" w:eastAsiaTheme="minorHAnsi" w:hAnsi="Arial" w:cs="Arial"/>
          <w:szCs w:val="24"/>
          <w:lang w:val="es-MX"/>
        </w:rPr>
        <w:t xml:space="preserve"> </w:t>
      </w:r>
      <w:r w:rsidRPr="003679D3">
        <w:rPr>
          <w:rFonts w:ascii="Arial" w:eastAsiaTheme="minorHAnsi" w:hAnsi="Arial" w:cs="Arial"/>
          <w:szCs w:val="24"/>
          <w:lang w:val="es-MX"/>
        </w:rPr>
        <w:t>de realización y el ingreso cuando exista jurídicamente derecho de cobro (artículo</w:t>
      </w:r>
      <w:r w:rsidR="003679D3">
        <w:rPr>
          <w:rFonts w:ascii="Arial" w:eastAsiaTheme="minorHAnsi" w:hAnsi="Arial" w:cs="Arial"/>
          <w:szCs w:val="24"/>
          <w:lang w:val="es-MX"/>
        </w:rPr>
        <w:t xml:space="preserve"> </w:t>
      </w:r>
      <w:r w:rsidRPr="003679D3">
        <w:rPr>
          <w:rFonts w:ascii="Arial" w:eastAsiaTheme="minorHAnsi" w:hAnsi="Arial" w:cs="Arial"/>
          <w:szCs w:val="24"/>
          <w:lang w:val="es-MX"/>
        </w:rPr>
        <w:t>34).</w:t>
      </w:r>
    </w:p>
    <w:p w:rsidR="003679D3" w:rsidRDefault="005D5636" w:rsidP="003679D3">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Mantener un registro histórico de sus operaciones en los libros diario, mayor e</w:t>
      </w:r>
      <w:r w:rsidR="003679D3">
        <w:rPr>
          <w:rFonts w:ascii="Arial" w:eastAsiaTheme="minorHAnsi" w:hAnsi="Arial" w:cs="Arial"/>
          <w:szCs w:val="24"/>
          <w:lang w:val="es-MX"/>
        </w:rPr>
        <w:t xml:space="preserve"> </w:t>
      </w:r>
      <w:r w:rsidRPr="003679D3">
        <w:rPr>
          <w:rFonts w:ascii="Arial" w:eastAsiaTheme="minorHAnsi" w:hAnsi="Arial" w:cs="Arial"/>
          <w:szCs w:val="24"/>
          <w:lang w:val="es-MX"/>
        </w:rPr>
        <w:t>inventarios y balances (artículo 35).</w:t>
      </w:r>
    </w:p>
    <w:p w:rsidR="003679D3" w:rsidRDefault="005D5636" w:rsidP="003679D3">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Exhibir en los registros auxiliares los avances presupuestarios y contables (artículo</w:t>
      </w:r>
      <w:r w:rsidR="003679D3" w:rsidRPr="003679D3">
        <w:rPr>
          <w:rFonts w:ascii="Arial" w:eastAsiaTheme="minorHAnsi" w:hAnsi="Arial" w:cs="Arial"/>
          <w:szCs w:val="24"/>
          <w:lang w:val="es-MX"/>
        </w:rPr>
        <w:t xml:space="preserve"> </w:t>
      </w:r>
      <w:r w:rsidRPr="003679D3">
        <w:rPr>
          <w:rFonts w:ascii="Arial" w:eastAsiaTheme="minorHAnsi" w:hAnsi="Arial" w:cs="Arial"/>
          <w:szCs w:val="24"/>
          <w:lang w:val="es-MX"/>
        </w:rPr>
        <w:t>36).</w:t>
      </w:r>
    </w:p>
    <w:p w:rsidR="003679D3" w:rsidRDefault="003679D3" w:rsidP="00265E18">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lastRenderedPageBreak/>
        <w:t>Establecer una lista de cuentas alineadas al plan de cuentas emitido por el CONAC (artículo 37).</w:t>
      </w:r>
    </w:p>
    <w:p w:rsidR="003679D3" w:rsidRDefault="003679D3" w:rsidP="00472A90">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Realizar los registros en las etapas del presupuesto de egresos en aprobado, modificado, comprometido, devengado, ejercido y pagado y del ingreso en estimado, modificado, devengado y recaudado (artículo 38).</w:t>
      </w:r>
    </w:p>
    <w:p w:rsidR="003679D3" w:rsidRDefault="003679D3" w:rsidP="0086646D">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Constituir provisiones, revisarlas y ajustarlas periódicamente para mantener su vigencia (artículo 39).</w:t>
      </w:r>
    </w:p>
    <w:p w:rsidR="003679D3" w:rsidRDefault="003679D3" w:rsidP="00EA011D">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Respaldar la contabilización de las operaciones presupuestarias y contables con la documentación original que compruebe y justifique los registros que se efectúen</w:t>
      </w:r>
      <w:r>
        <w:rPr>
          <w:rFonts w:ascii="Arial" w:eastAsiaTheme="minorHAnsi" w:hAnsi="Arial" w:cs="Arial"/>
          <w:szCs w:val="24"/>
          <w:lang w:val="es-MX"/>
        </w:rPr>
        <w:t xml:space="preserve"> </w:t>
      </w:r>
      <w:r w:rsidRPr="003679D3">
        <w:rPr>
          <w:rFonts w:ascii="Arial" w:eastAsiaTheme="minorHAnsi" w:hAnsi="Arial" w:cs="Arial"/>
          <w:szCs w:val="24"/>
          <w:lang w:val="es-MX"/>
        </w:rPr>
        <w:t>(artículo 42).</w:t>
      </w:r>
    </w:p>
    <w:p w:rsidR="003679D3" w:rsidRPr="003679D3" w:rsidRDefault="003679D3" w:rsidP="003679D3">
      <w:pPr>
        <w:autoSpaceDE w:val="0"/>
        <w:autoSpaceDN w:val="0"/>
        <w:adjustRightInd w:val="0"/>
        <w:spacing w:after="0" w:line="360" w:lineRule="auto"/>
        <w:jc w:val="both"/>
        <w:rPr>
          <w:rFonts w:ascii="Arial" w:eastAsiaTheme="minorHAnsi" w:hAnsi="Arial" w:cs="Arial"/>
          <w:szCs w:val="24"/>
          <w:lang w:val="es-MX"/>
        </w:rPr>
      </w:pPr>
    </w:p>
    <w:p w:rsidR="003679D3" w:rsidRP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r w:rsidRPr="003679D3">
        <w:rPr>
          <w:rFonts w:ascii="Arial" w:eastAsiaTheme="minorHAnsi" w:hAnsi="Arial" w:cs="Arial"/>
          <w:szCs w:val="24"/>
          <w:lang w:val="es-MX"/>
        </w:rPr>
        <w:t>IV.</w:t>
      </w:r>
      <w:r>
        <w:rPr>
          <w:rFonts w:ascii="Arial" w:eastAsiaTheme="minorHAnsi" w:hAnsi="Arial" w:cs="Arial"/>
          <w:szCs w:val="24"/>
          <w:lang w:val="es-MX"/>
        </w:rPr>
        <w:t xml:space="preserve"> </w:t>
      </w:r>
      <w:r w:rsidRPr="003679D3">
        <w:rPr>
          <w:rFonts w:ascii="Arial,Bold" w:eastAsiaTheme="minorHAnsi" w:hAnsi="Arial,Bold" w:cs="Arial,Bold"/>
          <w:b/>
          <w:bCs/>
          <w:szCs w:val="24"/>
          <w:lang w:val="es-MX"/>
        </w:rPr>
        <w:t>Disposición de la información financiera</w:t>
      </w:r>
    </w:p>
    <w:p w:rsidR="003679D3" w:rsidRDefault="003679D3" w:rsidP="00910E7E">
      <w:pPr>
        <w:pStyle w:val="Prrafodelista"/>
        <w:numPr>
          <w:ilvl w:val="0"/>
          <w:numId w:val="20"/>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Presentar y valuar los pasivos en los estados financieros (artículo 45).</w:t>
      </w:r>
    </w:p>
    <w:p w:rsidR="003679D3" w:rsidRDefault="003679D3" w:rsidP="001027D9">
      <w:pPr>
        <w:pStyle w:val="Prrafodelista"/>
        <w:numPr>
          <w:ilvl w:val="0"/>
          <w:numId w:val="20"/>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Generar los estados financieros, conforme a las normas emitidas por el CONAC: estado de situación financiera, estado de actividades, estado de variación en la hacienda pública, estado de cambios en la situación financiera (estado de flujos de efectivo), notas a los estados financieros, estado analítico del activo, estado analítico de ingresos, estado analítico del ejercicio del presupuesto de egresos que incluya la clasificación administrativa, económica y por objeto del gasto (artículo 48 primer párrafo en relación con el 46 fracción I incisos a, b, c, e y f; y fracción II incisos a y b; así como las Normas y Metodología para la Emisión de Información Financiera y Estructura de los Estados Financieros Básicos del Ente Público y Características de sus Notas publicadas en el Diario Oficial de la Federación del 9 de diciembre de 2009).</w:t>
      </w:r>
    </w:p>
    <w:p w:rsidR="003679D3" w:rsidRDefault="003679D3" w:rsidP="00EC3228">
      <w:pPr>
        <w:pStyle w:val="Prrafodelista"/>
        <w:numPr>
          <w:ilvl w:val="0"/>
          <w:numId w:val="20"/>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Elaborar la cuenta pública con base en la información financiera, presupuestaria y contable (artículo 52, primer párrafo).</w:t>
      </w:r>
    </w:p>
    <w:p w:rsidR="003679D3" w:rsidRDefault="003679D3" w:rsidP="003A7A04">
      <w:pPr>
        <w:pStyle w:val="Prrafodelista"/>
        <w:numPr>
          <w:ilvl w:val="0"/>
          <w:numId w:val="20"/>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lastRenderedPageBreak/>
        <w:t>Relacionar la información presupuestaria con los objetivos y prioridades de la planeación del desarrollo, que forme parte de la cuenta pública, e incluir los Resultados de la Evaluación del Desempeño (artículo 54, primer párrafo).</w:t>
      </w:r>
    </w:p>
    <w:p w:rsidR="003679D3" w:rsidRDefault="003679D3" w:rsidP="00271402">
      <w:pPr>
        <w:pStyle w:val="Prrafodelista"/>
        <w:numPr>
          <w:ilvl w:val="0"/>
          <w:numId w:val="20"/>
        </w:numPr>
        <w:autoSpaceDE w:val="0"/>
        <w:autoSpaceDN w:val="0"/>
        <w:adjustRightInd w:val="0"/>
        <w:spacing w:after="0" w:line="360" w:lineRule="auto"/>
        <w:jc w:val="both"/>
        <w:rPr>
          <w:rFonts w:ascii="Arial" w:eastAsiaTheme="minorHAnsi" w:hAnsi="Arial" w:cs="Arial"/>
          <w:szCs w:val="24"/>
          <w:lang w:val="es-MX"/>
        </w:rPr>
      </w:pPr>
      <w:r w:rsidRPr="003679D3">
        <w:rPr>
          <w:rFonts w:ascii="Arial" w:eastAsiaTheme="minorHAnsi" w:hAnsi="Arial" w:cs="Arial"/>
          <w:szCs w:val="24"/>
          <w:lang w:val="es-MX"/>
        </w:rPr>
        <w:t>Incluir en la cuenta pública la relación de los bienes que componen su patrimonio</w:t>
      </w:r>
      <w:r>
        <w:rPr>
          <w:rFonts w:ascii="Arial" w:eastAsiaTheme="minorHAnsi" w:hAnsi="Arial" w:cs="Arial"/>
          <w:szCs w:val="24"/>
          <w:lang w:val="es-MX"/>
        </w:rPr>
        <w:t xml:space="preserve"> </w:t>
      </w:r>
      <w:r w:rsidRPr="003679D3">
        <w:rPr>
          <w:rFonts w:ascii="Arial" w:eastAsiaTheme="minorHAnsi" w:hAnsi="Arial" w:cs="Arial"/>
          <w:szCs w:val="24"/>
          <w:lang w:val="es-MX"/>
        </w:rPr>
        <w:t>(artículo 23 último párrafo).</w:t>
      </w:r>
    </w:p>
    <w:p w:rsidR="003679D3" w:rsidRDefault="003679D3" w:rsidP="003679D3">
      <w:pPr>
        <w:autoSpaceDE w:val="0"/>
        <w:autoSpaceDN w:val="0"/>
        <w:adjustRightInd w:val="0"/>
        <w:spacing w:after="0" w:line="360" w:lineRule="auto"/>
        <w:jc w:val="both"/>
        <w:rPr>
          <w:rFonts w:ascii="Arial" w:eastAsiaTheme="minorHAnsi" w:hAnsi="Arial" w:cs="Arial"/>
          <w:szCs w:val="24"/>
          <w:lang w:val="es-MX"/>
        </w:rPr>
      </w:pPr>
    </w:p>
    <w:p w:rsidR="003679D3" w:rsidRP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r w:rsidRPr="003679D3">
        <w:rPr>
          <w:rFonts w:ascii="Arial,Bold" w:eastAsiaTheme="minorHAnsi" w:hAnsi="Arial,Bold" w:cs="Arial,Bold"/>
          <w:b/>
          <w:bCs/>
          <w:szCs w:val="24"/>
          <w:lang w:val="es-MX"/>
        </w:rPr>
        <w:t>INGRESOS</w:t>
      </w:r>
    </w:p>
    <w:p w:rsid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r w:rsidRPr="003679D3">
        <w:rPr>
          <w:rFonts w:ascii="Arial,Bold" w:eastAsiaTheme="minorHAnsi" w:hAnsi="Arial,Bold" w:cs="Arial,Bold"/>
          <w:b/>
          <w:bCs/>
          <w:szCs w:val="24"/>
          <w:lang w:val="es-MX"/>
        </w:rPr>
        <w:t>APORTACIONES MUNICIPALES</w:t>
      </w:r>
    </w:p>
    <w:p w:rsidR="003679D3" w:rsidRP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p>
    <w:p w:rsidR="003679D3" w:rsidRDefault="003679D3" w:rsidP="003679D3">
      <w:pPr>
        <w:autoSpaceDE w:val="0"/>
        <w:autoSpaceDN w:val="0"/>
        <w:adjustRightInd w:val="0"/>
        <w:spacing w:after="0" w:line="360" w:lineRule="auto"/>
        <w:ind w:firstLine="709"/>
        <w:jc w:val="both"/>
        <w:rPr>
          <w:rFonts w:ascii="Arial" w:eastAsiaTheme="minorHAnsi" w:hAnsi="Arial" w:cs="Arial"/>
          <w:szCs w:val="24"/>
          <w:lang w:val="es-MX"/>
        </w:rPr>
      </w:pPr>
      <w:r w:rsidRPr="003679D3">
        <w:rPr>
          <w:rFonts w:ascii="Arial" w:eastAsiaTheme="minorHAnsi" w:hAnsi="Arial" w:cs="Arial"/>
          <w:szCs w:val="24"/>
          <w:lang w:val="es-MX"/>
        </w:rPr>
        <w:t>Se registraron pólizas de ingresos por $1,282,800 por concepto de transferencias</w:t>
      </w:r>
      <w:r>
        <w:rPr>
          <w:rFonts w:ascii="Arial" w:eastAsiaTheme="minorHAnsi" w:hAnsi="Arial" w:cs="Arial"/>
          <w:szCs w:val="24"/>
          <w:lang w:val="es-MX"/>
        </w:rPr>
        <w:t xml:space="preserve"> </w:t>
      </w:r>
      <w:r w:rsidRPr="003679D3">
        <w:rPr>
          <w:rFonts w:ascii="Arial" w:eastAsiaTheme="minorHAnsi" w:hAnsi="Arial" w:cs="Arial"/>
          <w:szCs w:val="24"/>
          <w:lang w:val="es-MX"/>
        </w:rPr>
        <w:t>mensuales de enero a agosto del Municipio de Apodaca, Nuevo León al Instituto</w:t>
      </w:r>
      <w:r w:rsidR="00205AD2">
        <w:rPr>
          <w:rFonts w:ascii="Arial" w:eastAsiaTheme="minorHAnsi" w:hAnsi="Arial" w:cs="Arial"/>
          <w:szCs w:val="24"/>
          <w:lang w:val="es-MX"/>
        </w:rPr>
        <w:t xml:space="preserve"> Municipal</w:t>
      </w:r>
      <w:r w:rsidRPr="003679D3">
        <w:rPr>
          <w:rFonts w:ascii="Arial" w:eastAsiaTheme="minorHAnsi" w:hAnsi="Arial" w:cs="Arial"/>
          <w:szCs w:val="24"/>
          <w:lang w:val="es-MX"/>
        </w:rPr>
        <w:t>, no</w:t>
      </w:r>
      <w:r>
        <w:rPr>
          <w:rFonts w:ascii="Arial" w:eastAsiaTheme="minorHAnsi" w:hAnsi="Arial" w:cs="Arial"/>
          <w:szCs w:val="24"/>
          <w:lang w:val="es-MX"/>
        </w:rPr>
        <w:t xml:space="preserve"> </w:t>
      </w:r>
      <w:r w:rsidRPr="003679D3">
        <w:rPr>
          <w:rFonts w:ascii="Arial" w:eastAsiaTheme="minorHAnsi" w:hAnsi="Arial" w:cs="Arial"/>
          <w:szCs w:val="24"/>
          <w:lang w:val="es-MX"/>
        </w:rPr>
        <w:t>localizando los traspasos correspondientes de septiembre a diciembre por $641,400, así</w:t>
      </w:r>
      <w:r>
        <w:rPr>
          <w:rFonts w:ascii="Arial" w:eastAsiaTheme="minorHAnsi" w:hAnsi="Arial" w:cs="Arial"/>
          <w:szCs w:val="24"/>
          <w:lang w:val="es-MX"/>
        </w:rPr>
        <w:t xml:space="preserve"> </w:t>
      </w:r>
      <w:r w:rsidRPr="003679D3">
        <w:rPr>
          <w:rFonts w:ascii="Arial" w:eastAsiaTheme="minorHAnsi" w:hAnsi="Arial" w:cs="Arial"/>
          <w:szCs w:val="24"/>
          <w:lang w:val="es-MX"/>
        </w:rPr>
        <w:t>mismo las pólizas carecen de los recibos de ingresos que amparen su registro y que</w:t>
      </w:r>
      <w:r>
        <w:rPr>
          <w:rFonts w:ascii="Arial" w:eastAsiaTheme="minorHAnsi" w:hAnsi="Arial" w:cs="Arial"/>
          <w:szCs w:val="24"/>
          <w:lang w:val="es-MX"/>
        </w:rPr>
        <w:t xml:space="preserve"> </w:t>
      </w:r>
      <w:r w:rsidRPr="003679D3">
        <w:rPr>
          <w:rFonts w:ascii="Arial" w:eastAsiaTheme="minorHAnsi" w:hAnsi="Arial" w:cs="Arial"/>
          <w:szCs w:val="24"/>
          <w:lang w:val="es-MX"/>
        </w:rPr>
        <w:t>permitan el control adecuado de los ingresos recibidos y validar el</w:t>
      </w:r>
      <w:r>
        <w:rPr>
          <w:rFonts w:ascii="Arial" w:eastAsiaTheme="minorHAnsi" w:hAnsi="Arial" w:cs="Arial"/>
          <w:szCs w:val="24"/>
          <w:lang w:val="es-MX"/>
        </w:rPr>
        <w:t xml:space="preserve"> </w:t>
      </w:r>
      <w:r w:rsidRPr="003679D3">
        <w:rPr>
          <w:rFonts w:ascii="Arial" w:eastAsiaTheme="minorHAnsi" w:hAnsi="Arial" w:cs="Arial"/>
          <w:szCs w:val="24"/>
          <w:lang w:val="es-MX"/>
        </w:rPr>
        <w:t>precepto del artículo31 del Reglamento Interior del Instituto Municipal de la Juventud de Apodaca los cuales se</w:t>
      </w:r>
      <w:r>
        <w:rPr>
          <w:rFonts w:ascii="Arial" w:eastAsiaTheme="minorHAnsi" w:hAnsi="Arial" w:cs="Arial"/>
          <w:szCs w:val="24"/>
          <w:lang w:val="es-MX"/>
        </w:rPr>
        <w:t xml:space="preserve"> </w:t>
      </w:r>
      <w:r w:rsidRPr="003679D3">
        <w:rPr>
          <w:rFonts w:ascii="Arial" w:eastAsiaTheme="minorHAnsi" w:hAnsi="Arial" w:cs="Arial"/>
          <w:szCs w:val="24"/>
          <w:lang w:val="es-MX"/>
        </w:rPr>
        <w:t>detallan a continuación:</w:t>
      </w:r>
    </w:p>
    <w:p w:rsidR="003679D3" w:rsidRDefault="003679D3" w:rsidP="003679D3">
      <w:pPr>
        <w:autoSpaceDE w:val="0"/>
        <w:autoSpaceDN w:val="0"/>
        <w:adjustRightInd w:val="0"/>
        <w:spacing w:after="0" w:line="360" w:lineRule="auto"/>
        <w:ind w:firstLine="709"/>
        <w:jc w:val="both"/>
        <w:rPr>
          <w:rFonts w:ascii="Arial" w:eastAsiaTheme="minorHAnsi" w:hAnsi="Arial" w:cs="Arial"/>
          <w:szCs w:val="24"/>
          <w:lang w:val="es-MX"/>
        </w:rPr>
      </w:pPr>
    </w:p>
    <w:p w:rsidR="003679D3" w:rsidRDefault="003679D3" w:rsidP="003679D3">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6375" cy="1895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895475"/>
                    </a:xfrm>
                    <a:prstGeom prst="rect">
                      <a:avLst/>
                    </a:prstGeom>
                    <a:noFill/>
                    <a:ln>
                      <a:noFill/>
                    </a:ln>
                  </pic:spPr>
                </pic:pic>
              </a:graphicData>
            </a:graphic>
          </wp:inline>
        </w:drawing>
      </w:r>
    </w:p>
    <w:p w:rsidR="003679D3" w:rsidRDefault="003679D3" w:rsidP="003679D3">
      <w:pPr>
        <w:autoSpaceDE w:val="0"/>
        <w:autoSpaceDN w:val="0"/>
        <w:adjustRightInd w:val="0"/>
        <w:spacing w:after="0" w:line="360" w:lineRule="auto"/>
        <w:jc w:val="both"/>
        <w:rPr>
          <w:rFonts w:ascii="Arial" w:eastAsiaTheme="minorHAnsi" w:hAnsi="Arial" w:cs="Arial"/>
          <w:sz w:val="20"/>
          <w:szCs w:val="24"/>
          <w:lang w:val="es-MX"/>
        </w:rPr>
      </w:pPr>
    </w:p>
    <w:p w:rsidR="003679D3" w:rsidRP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r w:rsidRPr="003679D3">
        <w:rPr>
          <w:rFonts w:ascii="Arial,Bold" w:eastAsiaTheme="minorHAnsi" w:hAnsi="Arial,Bold" w:cs="Arial,Bold"/>
          <w:b/>
          <w:bCs/>
          <w:szCs w:val="24"/>
          <w:lang w:val="es-MX"/>
        </w:rPr>
        <w:lastRenderedPageBreak/>
        <w:t>EGRESOS</w:t>
      </w:r>
    </w:p>
    <w:p w:rsidR="003679D3" w:rsidRP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r w:rsidRPr="003679D3">
        <w:rPr>
          <w:rFonts w:ascii="Arial,Bold" w:eastAsiaTheme="minorHAnsi" w:hAnsi="Arial,Bold" w:cs="Arial,Bold"/>
          <w:b/>
          <w:bCs/>
          <w:szCs w:val="24"/>
          <w:lang w:val="es-MX"/>
        </w:rPr>
        <w:t>SERVICIOS PERSONALES</w:t>
      </w:r>
    </w:p>
    <w:p w:rsid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r w:rsidRPr="003679D3">
        <w:rPr>
          <w:rFonts w:ascii="Arial,Bold" w:eastAsiaTheme="minorHAnsi" w:hAnsi="Arial,Bold" w:cs="Arial,Bold"/>
          <w:b/>
          <w:bCs/>
          <w:szCs w:val="24"/>
          <w:lang w:val="es-MX"/>
        </w:rPr>
        <w:t>Asimilables a salarios</w:t>
      </w:r>
    </w:p>
    <w:p w:rsidR="003679D3" w:rsidRPr="003679D3" w:rsidRDefault="003679D3" w:rsidP="003679D3">
      <w:pPr>
        <w:autoSpaceDE w:val="0"/>
        <w:autoSpaceDN w:val="0"/>
        <w:adjustRightInd w:val="0"/>
        <w:spacing w:after="0" w:line="360" w:lineRule="auto"/>
        <w:jc w:val="both"/>
        <w:rPr>
          <w:rFonts w:ascii="Arial,Bold" w:eastAsiaTheme="minorHAnsi" w:hAnsi="Arial,Bold" w:cs="Arial,Bold"/>
          <w:b/>
          <w:bCs/>
          <w:szCs w:val="24"/>
          <w:lang w:val="es-MX"/>
        </w:rPr>
      </w:pPr>
    </w:p>
    <w:p w:rsidR="003679D3" w:rsidRDefault="003679D3" w:rsidP="003679D3">
      <w:pPr>
        <w:autoSpaceDE w:val="0"/>
        <w:autoSpaceDN w:val="0"/>
        <w:adjustRightInd w:val="0"/>
        <w:spacing w:after="0" w:line="360" w:lineRule="auto"/>
        <w:ind w:firstLine="709"/>
        <w:jc w:val="both"/>
        <w:rPr>
          <w:rFonts w:ascii="Arial" w:eastAsiaTheme="minorHAnsi" w:hAnsi="Arial" w:cs="Arial"/>
          <w:szCs w:val="24"/>
          <w:lang w:val="es-MX"/>
        </w:rPr>
      </w:pPr>
      <w:r w:rsidRPr="003679D3">
        <w:rPr>
          <w:rFonts w:ascii="Arial" w:eastAsiaTheme="minorHAnsi" w:hAnsi="Arial" w:cs="Arial"/>
          <w:szCs w:val="24"/>
          <w:lang w:val="es-MX"/>
        </w:rPr>
        <w:t>Se registraron pólizas de egresos por $74,800 concepto de honorarios por asesorías para</w:t>
      </w:r>
      <w:r>
        <w:rPr>
          <w:rFonts w:ascii="Arial" w:eastAsiaTheme="minorHAnsi" w:hAnsi="Arial" w:cs="Arial"/>
          <w:szCs w:val="24"/>
          <w:lang w:val="es-MX"/>
        </w:rPr>
        <w:t xml:space="preserve"> </w:t>
      </w:r>
      <w:r w:rsidRPr="003679D3">
        <w:rPr>
          <w:rFonts w:ascii="Arial" w:eastAsiaTheme="minorHAnsi" w:hAnsi="Arial" w:cs="Arial"/>
          <w:szCs w:val="24"/>
          <w:lang w:val="es-MX"/>
        </w:rPr>
        <w:t>exámenes de ingreso a la UANL, no localizando reportes de actividades que permita tener</w:t>
      </w:r>
      <w:r>
        <w:rPr>
          <w:rFonts w:ascii="Arial" w:eastAsiaTheme="minorHAnsi" w:hAnsi="Arial" w:cs="Arial"/>
          <w:szCs w:val="24"/>
          <w:lang w:val="es-MX"/>
        </w:rPr>
        <w:t xml:space="preserve"> </w:t>
      </w:r>
      <w:r w:rsidRPr="003679D3">
        <w:rPr>
          <w:rFonts w:ascii="Arial" w:eastAsiaTheme="minorHAnsi" w:hAnsi="Arial" w:cs="Arial"/>
          <w:szCs w:val="24"/>
          <w:lang w:val="es-MX"/>
        </w:rPr>
        <w:t>la certeza del servicio prestado, incumpliendo con lo establecido en el artículo 16 fracción</w:t>
      </w:r>
      <w:r>
        <w:rPr>
          <w:rFonts w:ascii="Arial" w:eastAsiaTheme="minorHAnsi" w:hAnsi="Arial" w:cs="Arial"/>
          <w:szCs w:val="24"/>
          <w:lang w:val="es-MX"/>
        </w:rPr>
        <w:t xml:space="preserve"> </w:t>
      </w:r>
      <w:r w:rsidRPr="003679D3">
        <w:rPr>
          <w:rFonts w:ascii="Arial" w:eastAsiaTheme="minorHAnsi" w:hAnsi="Arial" w:cs="Arial"/>
          <w:szCs w:val="24"/>
          <w:lang w:val="es-MX"/>
        </w:rPr>
        <w:t>II de la Ley de Fiscalización Superior del Estado de Nuevo León.</w:t>
      </w:r>
    </w:p>
    <w:p w:rsidR="003679D3" w:rsidRPr="003679D3" w:rsidRDefault="003679D3" w:rsidP="003679D3">
      <w:pPr>
        <w:autoSpaceDE w:val="0"/>
        <w:autoSpaceDN w:val="0"/>
        <w:adjustRightInd w:val="0"/>
        <w:spacing w:after="0" w:line="360" w:lineRule="auto"/>
        <w:ind w:firstLine="709"/>
        <w:jc w:val="both"/>
        <w:rPr>
          <w:rFonts w:ascii="Arial" w:eastAsiaTheme="minorHAnsi" w:hAnsi="Arial" w:cs="Arial"/>
          <w:szCs w:val="24"/>
          <w:lang w:val="es-MX"/>
        </w:rPr>
      </w:pPr>
    </w:p>
    <w:p w:rsidR="003679D3" w:rsidRPr="003679D3" w:rsidRDefault="003679D3" w:rsidP="00B70098">
      <w:pPr>
        <w:pStyle w:val="Prrafodelista"/>
        <w:numPr>
          <w:ilvl w:val="0"/>
          <w:numId w:val="21"/>
        </w:numPr>
        <w:autoSpaceDE w:val="0"/>
        <w:autoSpaceDN w:val="0"/>
        <w:adjustRightInd w:val="0"/>
        <w:spacing w:after="0" w:line="360" w:lineRule="auto"/>
        <w:jc w:val="both"/>
        <w:rPr>
          <w:rFonts w:ascii="Arial" w:eastAsiaTheme="minorHAnsi" w:hAnsi="Arial" w:cs="Arial"/>
          <w:sz w:val="18"/>
          <w:szCs w:val="24"/>
          <w:lang w:val="es-MX"/>
        </w:rPr>
      </w:pPr>
      <w:r w:rsidRPr="003679D3">
        <w:rPr>
          <w:rFonts w:ascii="Arial" w:eastAsiaTheme="minorHAnsi" w:hAnsi="Arial" w:cs="Arial"/>
          <w:szCs w:val="24"/>
          <w:lang w:val="es-MX"/>
        </w:rPr>
        <w:t>Además, no se localizaron las listas de asistencia como se detalla en la Cláusula</w:t>
      </w:r>
      <w:r>
        <w:rPr>
          <w:rFonts w:ascii="Arial" w:eastAsiaTheme="minorHAnsi" w:hAnsi="Arial" w:cs="Arial"/>
          <w:szCs w:val="24"/>
          <w:lang w:val="es-MX"/>
        </w:rPr>
        <w:t xml:space="preserve"> </w:t>
      </w:r>
      <w:r w:rsidRPr="003679D3">
        <w:rPr>
          <w:rFonts w:ascii="Arial" w:eastAsiaTheme="minorHAnsi" w:hAnsi="Arial" w:cs="Arial"/>
          <w:szCs w:val="24"/>
          <w:lang w:val="es-MX"/>
        </w:rPr>
        <w:t>Cuarta del contrato realizado con cada uno de los maestros.</w:t>
      </w:r>
    </w:p>
    <w:p w:rsidR="003679D3" w:rsidRDefault="003679D3" w:rsidP="003679D3">
      <w:pPr>
        <w:autoSpaceDE w:val="0"/>
        <w:autoSpaceDN w:val="0"/>
        <w:adjustRightInd w:val="0"/>
        <w:spacing w:after="0" w:line="360" w:lineRule="auto"/>
        <w:jc w:val="both"/>
        <w:rPr>
          <w:rFonts w:ascii="Arial" w:eastAsiaTheme="minorHAnsi" w:hAnsi="Arial" w:cs="Arial"/>
          <w:sz w:val="18"/>
          <w:szCs w:val="24"/>
          <w:lang w:val="es-MX"/>
        </w:rPr>
      </w:pPr>
    </w:p>
    <w:p w:rsidR="003679D3" w:rsidRPr="003679D3" w:rsidRDefault="003679D3" w:rsidP="003679D3">
      <w:pPr>
        <w:autoSpaceDE w:val="0"/>
        <w:autoSpaceDN w:val="0"/>
        <w:adjustRightInd w:val="0"/>
        <w:spacing w:after="0" w:line="360" w:lineRule="auto"/>
        <w:jc w:val="both"/>
        <w:rPr>
          <w:rFonts w:ascii="Arial" w:eastAsiaTheme="minorHAnsi" w:hAnsi="Arial" w:cs="Arial"/>
          <w:sz w:val="18"/>
          <w:szCs w:val="24"/>
          <w:lang w:val="es-MX"/>
        </w:rPr>
      </w:pP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r w:rsidRPr="00205AD2">
        <w:rPr>
          <w:rFonts w:ascii="Arial,Bold" w:eastAsiaTheme="minorHAnsi" w:hAnsi="Arial,Bold" w:cs="Arial,Bold"/>
          <w:b/>
          <w:bCs/>
          <w:szCs w:val="24"/>
          <w:lang w:val="es-MX"/>
        </w:rPr>
        <w:t>MATERIALES Y SUMINISTROS</w:t>
      </w:r>
    </w:p>
    <w:p w:rsid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r w:rsidRPr="00205AD2">
        <w:rPr>
          <w:rFonts w:ascii="Arial,Bold" w:eastAsiaTheme="minorHAnsi" w:hAnsi="Arial,Bold" w:cs="Arial,Bold"/>
          <w:b/>
          <w:bCs/>
          <w:szCs w:val="24"/>
          <w:lang w:val="es-MX"/>
        </w:rPr>
        <w:t>Programas</w:t>
      </w: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p>
    <w:p w:rsidR="005D5636"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r w:rsidRPr="00205AD2">
        <w:rPr>
          <w:rFonts w:ascii="Arial" w:eastAsiaTheme="minorHAnsi" w:hAnsi="Arial" w:cs="Arial"/>
          <w:szCs w:val="24"/>
          <w:lang w:val="es-MX"/>
        </w:rPr>
        <w:t>Se registraron pólizas cheque Nos. 541 y 542 del 26 de julio de 2013 por $216,189 y</w:t>
      </w:r>
      <w:r>
        <w:rPr>
          <w:rFonts w:ascii="Arial" w:eastAsiaTheme="minorHAnsi" w:hAnsi="Arial" w:cs="Arial"/>
          <w:szCs w:val="24"/>
          <w:lang w:val="es-MX"/>
        </w:rPr>
        <w:t xml:space="preserve"> </w:t>
      </w:r>
      <w:r w:rsidRPr="00205AD2">
        <w:rPr>
          <w:rFonts w:ascii="Arial" w:eastAsiaTheme="minorHAnsi" w:hAnsi="Arial" w:cs="Arial"/>
          <w:szCs w:val="24"/>
          <w:lang w:val="es-MX"/>
        </w:rPr>
        <w:t>$211,990 respectivamente a favor del C. Jesús María Garza Villarreal por concepto de renta</w:t>
      </w:r>
      <w:r>
        <w:rPr>
          <w:rFonts w:ascii="Arial" w:eastAsiaTheme="minorHAnsi" w:hAnsi="Arial" w:cs="Arial"/>
          <w:szCs w:val="24"/>
          <w:lang w:val="es-MX"/>
        </w:rPr>
        <w:t xml:space="preserve"> </w:t>
      </w:r>
      <w:r w:rsidRPr="00205AD2">
        <w:rPr>
          <w:rFonts w:ascii="Arial" w:eastAsiaTheme="minorHAnsi" w:hAnsi="Arial" w:cs="Arial"/>
          <w:szCs w:val="24"/>
          <w:lang w:val="es-MX"/>
        </w:rPr>
        <w:t>de equipos de audio, observando que dichos gastos se provisionaron en los ejercicios 2011</w:t>
      </w:r>
      <w:r>
        <w:rPr>
          <w:rFonts w:ascii="Arial" w:eastAsiaTheme="minorHAnsi" w:hAnsi="Arial" w:cs="Arial"/>
          <w:szCs w:val="24"/>
          <w:lang w:val="es-MX"/>
        </w:rPr>
        <w:t xml:space="preserve"> </w:t>
      </w:r>
      <w:r w:rsidRPr="00205AD2">
        <w:rPr>
          <w:rFonts w:ascii="Arial" w:eastAsiaTheme="minorHAnsi" w:hAnsi="Arial" w:cs="Arial"/>
          <w:szCs w:val="24"/>
          <w:lang w:val="es-MX"/>
        </w:rPr>
        <w:t>y 2012 debiéndose haber registrado en el ejercicio correspondiente, como lo dispone el</w:t>
      </w:r>
      <w:r>
        <w:rPr>
          <w:rFonts w:ascii="Arial" w:eastAsiaTheme="minorHAnsi" w:hAnsi="Arial" w:cs="Arial"/>
          <w:szCs w:val="24"/>
          <w:lang w:val="es-MX"/>
        </w:rPr>
        <w:t xml:space="preserve"> </w:t>
      </w:r>
      <w:r w:rsidRPr="00205AD2">
        <w:rPr>
          <w:rFonts w:ascii="Arial" w:eastAsiaTheme="minorHAnsi" w:hAnsi="Arial" w:cs="Arial"/>
          <w:szCs w:val="24"/>
          <w:lang w:val="es-MX"/>
        </w:rPr>
        <w:t>precepto del artículo 136 de la Ley Orgánica de la Administración Pública Municipal.</w:t>
      </w: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r w:rsidRPr="00205AD2">
        <w:rPr>
          <w:rFonts w:ascii="Arial,Bold" w:eastAsiaTheme="minorHAnsi" w:hAnsi="Arial,Bold" w:cs="Arial,Bold"/>
          <w:b/>
          <w:bCs/>
          <w:szCs w:val="24"/>
          <w:lang w:val="es-MX"/>
        </w:rPr>
        <w:t>DISPONIBILIDAD</w:t>
      </w:r>
    </w:p>
    <w:p w:rsid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proofErr w:type="gramStart"/>
      <w:r w:rsidRPr="00205AD2">
        <w:rPr>
          <w:rFonts w:ascii="Arial,Bold" w:eastAsiaTheme="minorHAnsi" w:hAnsi="Arial,Bold" w:cs="Arial,Bold"/>
          <w:b/>
          <w:bCs/>
          <w:szCs w:val="24"/>
          <w:lang w:val="es-MX"/>
        </w:rPr>
        <w:t>IVA</w:t>
      </w:r>
      <w:proofErr w:type="gramEnd"/>
      <w:r w:rsidRPr="00205AD2">
        <w:rPr>
          <w:rFonts w:ascii="Arial,Bold" w:eastAsiaTheme="minorHAnsi" w:hAnsi="Arial,Bold" w:cs="Arial,Bold"/>
          <w:b/>
          <w:bCs/>
          <w:szCs w:val="24"/>
          <w:lang w:val="es-MX"/>
        </w:rPr>
        <w:t xml:space="preserve"> pagado acreditable</w:t>
      </w: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r w:rsidRPr="00205AD2">
        <w:rPr>
          <w:rFonts w:ascii="Arial" w:eastAsiaTheme="minorHAnsi" w:hAnsi="Arial" w:cs="Arial"/>
          <w:szCs w:val="24"/>
          <w:lang w:val="es-MX"/>
        </w:rPr>
        <w:t>De acuerdo con los auxiliares contables al cierre del ejercicio 2013 en las cuentas que</w:t>
      </w:r>
      <w:r>
        <w:rPr>
          <w:rFonts w:ascii="Arial" w:eastAsiaTheme="minorHAnsi" w:hAnsi="Arial" w:cs="Arial"/>
          <w:szCs w:val="24"/>
          <w:lang w:val="es-MX"/>
        </w:rPr>
        <w:t xml:space="preserve"> </w:t>
      </w:r>
      <w:r w:rsidRPr="00205AD2">
        <w:rPr>
          <w:rFonts w:ascii="Arial" w:eastAsiaTheme="minorHAnsi" w:hAnsi="Arial" w:cs="Arial"/>
          <w:szCs w:val="24"/>
          <w:lang w:val="es-MX"/>
        </w:rPr>
        <w:t>integran la Disponibilidad se tienen saldos a favor de IVA acreditable por $336,747</w:t>
      </w:r>
      <w:r>
        <w:rPr>
          <w:rFonts w:ascii="Arial" w:eastAsiaTheme="minorHAnsi" w:hAnsi="Arial" w:cs="Arial"/>
          <w:szCs w:val="24"/>
          <w:lang w:val="es-MX"/>
        </w:rPr>
        <w:t xml:space="preserve"> </w:t>
      </w:r>
      <w:r w:rsidRPr="00205AD2">
        <w:rPr>
          <w:rFonts w:ascii="Arial" w:eastAsiaTheme="minorHAnsi" w:hAnsi="Arial" w:cs="Arial"/>
          <w:szCs w:val="24"/>
          <w:lang w:val="es-MX"/>
        </w:rPr>
        <w:t>devengado de las operaciones de compra de bienes y la contratación de servicios,</w:t>
      </w:r>
      <w:r>
        <w:rPr>
          <w:rFonts w:ascii="Arial" w:eastAsiaTheme="minorHAnsi" w:hAnsi="Arial" w:cs="Arial"/>
          <w:szCs w:val="24"/>
          <w:lang w:val="es-MX"/>
        </w:rPr>
        <w:t xml:space="preserve"> </w:t>
      </w:r>
      <w:r w:rsidRPr="00205AD2">
        <w:rPr>
          <w:rFonts w:ascii="Arial" w:eastAsiaTheme="minorHAnsi" w:hAnsi="Arial" w:cs="Arial"/>
          <w:szCs w:val="24"/>
          <w:lang w:val="es-MX"/>
        </w:rPr>
        <w:t>observando que este monto se debió contabilizar como egresos del período al momento</w:t>
      </w:r>
      <w:r>
        <w:rPr>
          <w:rFonts w:ascii="Arial" w:eastAsiaTheme="minorHAnsi" w:hAnsi="Arial" w:cs="Arial"/>
          <w:szCs w:val="24"/>
          <w:lang w:val="es-MX"/>
        </w:rPr>
        <w:t xml:space="preserve"> </w:t>
      </w:r>
      <w:r w:rsidRPr="00205AD2">
        <w:rPr>
          <w:rFonts w:ascii="Arial" w:eastAsiaTheme="minorHAnsi" w:hAnsi="Arial" w:cs="Arial"/>
          <w:szCs w:val="24"/>
          <w:lang w:val="es-MX"/>
        </w:rPr>
        <w:t>de realizarse los pagos o al reconocer las provisiones de pasivo ya que el Instituto es</w:t>
      </w:r>
      <w:r>
        <w:rPr>
          <w:rFonts w:ascii="Arial" w:eastAsiaTheme="minorHAnsi" w:hAnsi="Arial" w:cs="Arial"/>
          <w:szCs w:val="24"/>
          <w:lang w:val="es-MX"/>
        </w:rPr>
        <w:t xml:space="preserve"> </w:t>
      </w:r>
      <w:r w:rsidRPr="00205AD2">
        <w:rPr>
          <w:rFonts w:ascii="Arial" w:eastAsiaTheme="minorHAnsi" w:hAnsi="Arial" w:cs="Arial"/>
          <w:szCs w:val="24"/>
          <w:lang w:val="es-MX"/>
        </w:rPr>
        <w:t>una persona moral con fines no lucrativos con actividades asistenciales, acto que no está</w:t>
      </w:r>
      <w:r>
        <w:rPr>
          <w:rFonts w:ascii="Arial" w:eastAsiaTheme="minorHAnsi" w:hAnsi="Arial" w:cs="Arial"/>
          <w:szCs w:val="24"/>
          <w:lang w:val="es-MX"/>
        </w:rPr>
        <w:t xml:space="preserve"> </w:t>
      </w:r>
      <w:r w:rsidRPr="00205AD2">
        <w:rPr>
          <w:rFonts w:ascii="Arial" w:eastAsiaTheme="minorHAnsi" w:hAnsi="Arial" w:cs="Arial"/>
          <w:szCs w:val="24"/>
          <w:lang w:val="es-MX"/>
        </w:rPr>
        <w:t>definido como prestación de servicios entre los que se consideran en su artículo 14 de la</w:t>
      </w:r>
      <w:r>
        <w:rPr>
          <w:rFonts w:ascii="Arial" w:eastAsiaTheme="minorHAnsi" w:hAnsi="Arial" w:cs="Arial"/>
          <w:szCs w:val="24"/>
          <w:lang w:val="es-MX"/>
        </w:rPr>
        <w:t xml:space="preserve"> </w:t>
      </w:r>
      <w:r w:rsidRPr="00205AD2">
        <w:rPr>
          <w:rFonts w:ascii="Arial" w:eastAsiaTheme="minorHAnsi" w:hAnsi="Arial" w:cs="Arial"/>
          <w:szCs w:val="24"/>
          <w:lang w:val="es-MX"/>
        </w:rPr>
        <w:t>Ley de Impuesto al Valor Agregado, en correlación con su artículo</w:t>
      </w:r>
      <w:r>
        <w:rPr>
          <w:rFonts w:ascii="Arial" w:eastAsiaTheme="minorHAnsi" w:hAnsi="Arial" w:cs="Arial"/>
          <w:szCs w:val="24"/>
          <w:lang w:val="es-MX"/>
        </w:rPr>
        <w:t xml:space="preserve"> </w:t>
      </w:r>
      <w:r w:rsidRPr="00205AD2">
        <w:rPr>
          <w:rFonts w:ascii="Arial" w:eastAsiaTheme="minorHAnsi" w:hAnsi="Arial" w:cs="Arial"/>
          <w:szCs w:val="24"/>
          <w:lang w:val="es-MX"/>
        </w:rPr>
        <w:t>1.</w:t>
      </w: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p>
    <w:p w:rsid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r w:rsidRPr="00205AD2">
        <w:rPr>
          <w:rFonts w:ascii="Arial,Bold" w:eastAsiaTheme="minorHAnsi" w:hAnsi="Arial,Bold" w:cs="Arial,Bold"/>
          <w:b/>
          <w:bCs/>
          <w:szCs w:val="24"/>
          <w:lang w:val="es-MX"/>
        </w:rPr>
        <w:t>Impuestos por Pagar</w:t>
      </w: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r w:rsidRPr="00205AD2">
        <w:rPr>
          <w:rFonts w:ascii="Arial" w:eastAsiaTheme="minorHAnsi" w:hAnsi="Arial" w:cs="Arial"/>
          <w:szCs w:val="24"/>
          <w:lang w:val="es-MX"/>
        </w:rPr>
        <w:t>Durante el proceso de auditoría se observó que las declaraciones del impuesto sobre</w:t>
      </w:r>
      <w:r>
        <w:rPr>
          <w:rFonts w:ascii="Arial" w:eastAsiaTheme="minorHAnsi" w:hAnsi="Arial" w:cs="Arial"/>
          <w:szCs w:val="24"/>
          <w:lang w:val="es-MX"/>
        </w:rPr>
        <w:t xml:space="preserve"> </w:t>
      </w:r>
      <w:r w:rsidRPr="00205AD2">
        <w:rPr>
          <w:rFonts w:ascii="Arial" w:eastAsiaTheme="minorHAnsi" w:hAnsi="Arial" w:cs="Arial"/>
          <w:szCs w:val="24"/>
          <w:lang w:val="es-MX"/>
        </w:rPr>
        <w:t>nóminas del ejercicio 2013, fueron presentadas de forma extemporánea, debido a que</w:t>
      </w:r>
      <w:r>
        <w:rPr>
          <w:rFonts w:ascii="Arial" w:eastAsiaTheme="minorHAnsi" w:hAnsi="Arial" w:cs="Arial"/>
          <w:szCs w:val="24"/>
          <w:lang w:val="es-MX"/>
        </w:rPr>
        <w:t xml:space="preserve"> </w:t>
      </w:r>
      <w:r w:rsidRPr="00205AD2">
        <w:rPr>
          <w:rFonts w:ascii="Arial" w:eastAsiaTheme="minorHAnsi" w:hAnsi="Arial" w:cs="Arial"/>
          <w:szCs w:val="24"/>
          <w:lang w:val="es-MX"/>
        </w:rPr>
        <w:t>los pagos de enero a julio por $13,034 se presentaron el 20 de septiembre de 2013,</w:t>
      </w:r>
      <w:r>
        <w:rPr>
          <w:rFonts w:ascii="Arial" w:eastAsiaTheme="minorHAnsi" w:hAnsi="Arial" w:cs="Arial"/>
          <w:szCs w:val="24"/>
          <w:lang w:val="es-MX"/>
        </w:rPr>
        <w:t xml:space="preserve"> </w:t>
      </w:r>
      <w:r w:rsidRPr="00205AD2">
        <w:rPr>
          <w:rFonts w:ascii="Arial" w:eastAsiaTheme="minorHAnsi" w:hAnsi="Arial" w:cs="Arial"/>
          <w:szCs w:val="24"/>
          <w:lang w:val="es-MX"/>
        </w:rPr>
        <w:t>incumpliendo con lo establecido en el artículo 158 primer párrafo de la Ley de Hacienda del</w:t>
      </w:r>
      <w:r>
        <w:rPr>
          <w:rFonts w:ascii="Arial" w:eastAsiaTheme="minorHAnsi" w:hAnsi="Arial" w:cs="Arial"/>
          <w:szCs w:val="24"/>
          <w:lang w:val="es-MX"/>
        </w:rPr>
        <w:t xml:space="preserve"> </w:t>
      </w:r>
      <w:r w:rsidRPr="00205AD2">
        <w:rPr>
          <w:rFonts w:ascii="Arial" w:eastAsiaTheme="minorHAnsi" w:hAnsi="Arial" w:cs="Arial"/>
          <w:szCs w:val="24"/>
          <w:lang w:val="es-MX"/>
        </w:rPr>
        <w:t>Estado de Nuevo León; en relación con los artículos 154 primero y segundo párrafo, 155</w:t>
      </w:r>
      <w:r>
        <w:rPr>
          <w:rFonts w:ascii="Arial" w:eastAsiaTheme="minorHAnsi" w:hAnsi="Arial" w:cs="Arial"/>
          <w:szCs w:val="24"/>
          <w:lang w:val="es-MX"/>
        </w:rPr>
        <w:t xml:space="preserve"> </w:t>
      </w:r>
      <w:r w:rsidRPr="00205AD2">
        <w:rPr>
          <w:rFonts w:ascii="Arial" w:eastAsiaTheme="minorHAnsi" w:hAnsi="Arial" w:cs="Arial"/>
          <w:szCs w:val="24"/>
          <w:lang w:val="es-MX"/>
        </w:rPr>
        <w:t>segundo párrafo y 157 de la misma Ley; así mismo no se localizó su registro contable por</w:t>
      </w:r>
      <w:r>
        <w:rPr>
          <w:rFonts w:ascii="Arial" w:eastAsiaTheme="minorHAnsi" w:hAnsi="Arial" w:cs="Arial"/>
          <w:szCs w:val="24"/>
          <w:lang w:val="es-MX"/>
        </w:rPr>
        <w:t xml:space="preserve"> </w:t>
      </w:r>
      <w:r w:rsidRPr="00205AD2">
        <w:rPr>
          <w:rFonts w:ascii="Arial" w:eastAsiaTheme="minorHAnsi" w:hAnsi="Arial" w:cs="Arial"/>
          <w:szCs w:val="24"/>
          <w:lang w:val="es-MX"/>
        </w:rPr>
        <w:t>$26,094 correspondiente de enero a diciembre.</w:t>
      </w: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p>
    <w:p w:rsid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r w:rsidRPr="00205AD2">
        <w:rPr>
          <w:rFonts w:ascii="Arial,Bold" w:eastAsiaTheme="minorHAnsi" w:hAnsi="Arial,Bold" w:cs="Arial,Bold"/>
          <w:b/>
          <w:bCs/>
          <w:szCs w:val="24"/>
          <w:lang w:val="es-MX"/>
        </w:rPr>
        <w:t>Proveedores</w:t>
      </w: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r w:rsidRPr="00205AD2">
        <w:rPr>
          <w:rFonts w:ascii="Arial" w:eastAsiaTheme="minorHAnsi" w:hAnsi="Arial" w:cs="Arial"/>
          <w:szCs w:val="24"/>
          <w:lang w:val="es-MX"/>
        </w:rPr>
        <w:t>Se provisionó el registró de la póliza de cheque No. 534 del 28 de junio de 2013 a favor</w:t>
      </w:r>
      <w:r>
        <w:rPr>
          <w:rFonts w:ascii="Arial" w:eastAsiaTheme="minorHAnsi" w:hAnsi="Arial" w:cs="Arial"/>
          <w:szCs w:val="24"/>
          <w:lang w:val="es-MX"/>
        </w:rPr>
        <w:t xml:space="preserve"> </w:t>
      </w:r>
      <w:r w:rsidRPr="00205AD2">
        <w:rPr>
          <w:rFonts w:ascii="Arial" w:eastAsiaTheme="minorHAnsi" w:hAnsi="Arial" w:cs="Arial"/>
          <w:szCs w:val="24"/>
          <w:lang w:val="es-MX"/>
        </w:rPr>
        <w:t>del C. Juan Francisco Castro Cruz por $7,308, en la que se incluye la factura No. 1629 por</w:t>
      </w:r>
      <w:r>
        <w:rPr>
          <w:rFonts w:ascii="Arial" w:eastAsiaTheme="minorHAnsi" w:hAnsi="Arial" w:cs="Arial"/>
          <w:szCs w:val="24"/>
          <w:lang w:val="es-MX"/>
        </w:rPr>
        <w:t xml:space="preserve"> </w:t>
      </w:r>
      <w:r w:rsidRPr="00205AD2">
        <w:rPr>
          <w:rFonts w:ascii="Arial" w:eastAsiaTheme="minorHAnsi" w:hAnsi="Arial" w:cs="Arial"/>
          <w:szCs w:val="24"/>
          <w:lang w:val="es-MX"/>
        </w:rPr>
        <w:t xml:space="preserve">$2,088 por concepto de renovación anual de la página web, observando </w:t>
      </w:r>
      <w:r w:rsidRPr="00205AD2">
        <w:rPr>
          <w:rFonts w:ascii="Arial" w:eastAsiaTheme="minorHAnsi" w:hAnsi="Arial" w:cs="Arial"/>
          <w:szCs w:val="24"/>
          <w:lang w:val="es-MX"/>
        </w:rPr>
        <w:lastRenderedPageBreak/>
        <w:t>que el contrato</w:t>
      </w:r>
      <w:r>
        <w:rPr>
          <w:rFonts w:ascii="Arial" w:eastAsiaTheme="minorHAnsi" w:hAnsi="Arial" w:cs="Arial"/>
          <w:szCs w:val="24"/>
          <w:lang w:val="es-MX"/>
        </w:rPr>
        <w:t xml:space="preserve"> </w:t>
      </w:r>
      <w:r w:rsidRPr="00205AD2">
        <w:rPr>
          <w:rFonts w:ascii="Arial" w:eastAsiaTheme="minorHAnsi" w:hAnsi="Arial" w:cs="Arial"/>
          <w:szCs w:val="24"/>
          <w:lang w:val="es-MX"/>
        </w:rPr>
        <w:t>celebrado con el Instituto no establece dicho concepto, de tal manera que justifique el pago.</w:t>
      </w: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r w:rsidRPr="00205AD2">
        <w:rPr>
          <w:rFonts w:ascii="Arial,Bold" w:eastAsiaTheme="minorHAnsi" w:hAnsi="Arial,Bold" w:cs="Arial,Bold"/>
          <w:b/>
          <w:bCs/>
          <w:szCs w:val="24"/>
          <w:lang w:val="es-MX"/>
        </w:rPr>
        <w:t>NORMATIVIDAD</w:t>
      </w:r>
    </w:p>
    <w:p w:rsid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r w:rsidRPr="00205AD2">
        <w:rPr>
          <w:rFonts w:ascii="Arial,Bold" w:eastAsiaTheme="minorHAnsi" w:hAnsi="Arial,Bold" w:cs="Arial,Bold"/>
          <w:b/>
          <w:bCs/>
          <w:szCs w:val="24"/>
          <w:lang w:val="es-MX"/>
        </w:rPr>
        <w:t>REGLAMENTO ORGÁNICO DEL INSTITUTO</w:t>
      </w:r>
    </w:p>
    <w:p w:rsidR="00205AD2" w:rsidRPr="00205AD2" w:rsidRDefault="00205AD2" w:rsidP="00205AD2">
      <w:pPr>
        <w:autoSpaceDE w:val="0"/>
        <w:autoSpaceDN w:val="0"/>
        <w:adjustRightInd w:val="0"/>
        <w:spacing w:after="0" w:line="360" w:lineRule="auto"/>
        <w:jc w:val="both"/>
        <w:rPr>
          <w:rFonts w:ascii="Arial,Bold" w:eastAsiaTheme="minorHAnsi" w:hAnsi="Arial,Bold" w:cs="Arial,Bold"/>
          <w:b/>
          <w:bCs/>
          <w:szCs w:val="24"/>
          <w:lang w:val="es-MX"/>
        </w:rPr>
      </w:pP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r w:rsidRPr="00205AD2">
        <w:rPr>
          <w:rFonts w:ascii="Arial" w:eastAsiaTheme="minorHAnsi" w:hAnsi="Arial" w:cs="Arial"/>
          <w:szCs w:val="24"/>
          <w:lang w:val="es-MX"/>
        </w:rPr>
        <w:t>El artículo 22 fracción I, del Reglamento Interior del Instituto Municipal de la Juventud de</w:t>
      </w:r>
      <w:r>
        <w:rPr>
          <w:rFonts w:ascii="Arial" w:eastAsiaTheme="minorHAnsi" w:hAnsi="Arial" w:cs="Arial"/>
          <w:szCs w:val="24"/>
          <w:lang w:val="es-MX"/>
        </w:rPr>
        <w:t xml:space="preserve"> </w:t>
      </w:r>
      <w:r w:rsidRPr="00205AD2">
        <w:rPr>
          <w:rFonts w:ascii="Arial" w:eastAsiaTheme="minorHAnsi" w:hAnsi="Arial" w:cs="Arial"/>
          <w:szCs w:val="24"/>
          <w:lang w:val="es-MX"/>
        </w:rPr>
        <w:t>Apodaca, Nuevo León, establece que el Consejo de Participación Juvenil sesionará en</w:t>
      </w:r>
      <w:r>
        <w:rPr>
          <w:rFonts w:ascii="Arial" w:eastAsiaTheme="minorHAnsi" w:hAnsi="Arial" w:cs="Arial"/>
          <w:szCs w:val="24"/>
          <w:lang w:val="es-MX"/>
        </w:rPr>
        <w:t xml:space="preserve"> </w:t>
      </w:r>
      <w:r w:rsidRPr="00205AD2">
        <w:rPr>
          <w:rFonts w:ascii="Arial" w:eastAsiaTheme="minorHAnsi" w:hAnsi="Arial" w:cs="Arial"/>
          <w:szCs w:val="24"/>
          <w:lang w:val="es-MX"/>
        </w:rPr>
        <w:t>forma ordinaria cada tres meses, de acuerdo al calendario anual que se aprobó en la primera</w:t>
      </w:r>
      <w:r>
        <w:rPr>
          <w:rFonts w:ascii="Arial" w:eastAsiaTheme="minorHAnsi" w:hAnsi="Arial" w:cs="Arial"/>
          <w:szCs w:val="24"/>
          <w:lang w:val="es-MX"/>
        </w:rPr>
        <w:t xml:space="preserve"> </w:t>
      </w:r>
      <w:r w:rsidRPr="00205AD2">
        <w:rPr>
          <w:rFonts w:ascii="Arial" w:eastAsiaTheme="minorHAnsi" w:hAnsi="Arial" w:cs="Arial"/>
          <w:szCs w:val="24"/>
          <w:lang w:val="es-MX"/>
        </w:rPr>
        <w:t>sesión del día 20 de mayo de 2013, observando que se incumplió con lo anterior debido que</w:t>
      </w:r>
      <w:r>
        <w:rPr>
          <w:rFonts w:ascii="Arial" w:eastAsiaTheme="minorHAnsi" w:hAnsi="Arial" w:cs="Arial"/>
          <w:szCs w:val="24"/>
          <w:lang w:val="es-MX"/>
        </w:rPr>
        <w:t xml:space="preserve"> </w:t>
      </w:r>
      <w:r w:rsidRPr="00205AD2">
        <w:rPr>
          <w:rFonts w:ascii="Arial" w:eastAsiaTheme="minorHAnsi" w:hAnsi="Arial" w:cs="Arial"/>
          <w:szCs w:val="24"/>
          <w:lang w:val="es-MX"/>
        </w:rPr>
        <w:t>en el ejercicio sólo se realizó una sesión Ordinaria el 12 de diciembre de 2013.</w:t>
      </w: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p>
    <w:p w:rsidR="00744D70" w:rsidRPr="000331B5" w:rsidRDefault="003B3827" w:rsidP="00744D70">
      <w:pPr>
        <w:spacing w:after="0" w:line="360" w:lineRule="auto"/>
        <w:ind w:firstLine="708"/>
        <w:jc w:val="both"/>
        <w:rPr>
          <w:rFonts w:ascii="Arial" w:hAnsi="Arial" w:cs="Arial"/>
        </w:rPr>
      </w:pPr>
      <w:r>
        <w:rPr>
          <w:rFonts w:ascii="Arial" w:hAnsi="Arial" w:cs="Arial"/>
          <w:b/>
          <w:lang w:val="es-MX"/>
        </w:rPr>
        <w:t>SEXTO</w:t>
      </w:r>
      <w:r w:rsidR="00744D70" w:rsidRPr="003247B3">
        <w:rPr>
          <w:rFonts w:ascii="Arial" w:hAnsi="Arial" w:cs="Arial"/>
          <w:b/>
        </w:rPr>
        <w:t>.-</w:t>
      </w:r>
      <w:r w:rsidR="00744D70"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w:t>
      </w:r>
      <w:r w:rsidR="00205AD2">
        <w:rPr>
          <w:rFonts w:ascii="Arial" w:hAnsi="Arial" w:cs="Arial"/>
        </w:rPr>
        <w:t xml:space="preserve"> no las hubo durante el año 201</w:t>
      </w:r>
      <w:r w:rsidR="001A01D6">
        <w:rPr>
          <w:rFonts w:ascii="Arial" w:hAnsi="Arial" w:cs="Arial"/>
        </w:rPr>
        <w:t>3</w:t>
      </w:r>
      <w:r w:rsidR="00E66D0E" w:rsidRPr="00743413">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w:t>
      </w:r>
      <w:r w:rsidR="003B3827">
        <w:rPr>
          <w:rFonts w:ascii="Arial" w:hAnsi="Arial" w:cs="Arial"/>
          <w:b/>
        </w:rPr>
        <w:t>PTIMO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3B3827" w:rsidP="00E66D0E">
      <w:pPr>
        <w:spacing w:after="0" w:line="360" w:lineRule="auto"/>
        <w:ind w:firstLine="708"/>
        <w:jc w:val="both"/>
        <w:rPr>
          <w:rFonts w:ascii="Arial" w:hAnsi="Arial" w:cs="Arial"/>
          <w:b/>
        </w:rPr>
      </w:pPr>
      <w:r>
        <w:rPr>
          <w:rFonts w:ascii="Arial" w:hAnsi="Arial" w:cs="Arial"/>
          <w:b/>
        </w:rPr>
        <w:t>OCTAVO</w:t>
      </w:r>
      <w:r w:rsidR="00744D70"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w:t>
      </w:r>
      <w:r w:rsidR="00E66D0E" w:rsidRPr="00743413">
        <w:rPr>
          <w:rFonts w:ascii="Arial" w:hAnsi="Arial" w:cs="Arial"/>
        </w:rPr>
        <w:lastRenderedPageBreak/>
        <w:t>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205AD2">
        <w:rPr>
          <w:rFonts w:ascii="Arial" w:hAnsi="Arial" w:cs="Arial"/>
        </w:rPr>
        <w:t xml:space="preserve"> y 2012</w:t>
      </w:r>
      <w:r w:rsidR="005B1BF1">
        <w:rPr>
          <w:rFonts w:ascii="Arial" w:hAnsi="Arial" w:cs="Arial"/>
        </w:rPr>
        <w:t>.</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8F26E2">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FB7D9A">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 xml:space="preserve">lan en el artículo 49 y 50 de la Ley de Fiscalización Superior del Estado de Nuevo León respecto a los resultados de su gestión financiera, que se ajustaron a los criterios señalados en las Leyes, </w:t>
      </w:r>
      <w:r w:rsidRPr="00743413">
        <w:rPr>
          <w:rFonts w:ascii="Arial" w:hAnsi="Arial" w:cs="Arial"/>
        </w:rPr>
        <w:lastRenderedPageBreak/>
        <w:t>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sidR="003B3827">
        <w:rPr>
          <w:rFonts w:ascii="Arial" w:hAnsi="Arial" w:cs="Arial"/>
        </w:rPr>
        <w:t xml:space="preserve">as dentro del apartado </w:t>
      </w:r>
      <w:r>
        <w:rPr>
          <w:rFonts w:ascii="Arial" w:hAnsi="Arial" w:cs="Arial"/>
        </w:rPr>
        <w:t>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205AD2">
        <w:rPr>
          <w:rFonts w:ascii="Arial" w:hAnsi="Arial" w:cs="Arial"/>
          <w:lang w:val="es-MX"/>
        </w:rPr>
        <w:t>12</w:t>
      </w:r>
      <w:r w:rsidR="003B3827">
        <w:rPr>
          <w:rFonts w:ascii="Arial" w:hAnsi="Arial" w:cs="Arial"/>
          <w:lang w:val="es-MX"/>
        </w:rPr>
        <w:t xml:space="preserve"> y </w:t>
      </w:r>
      <w:r w:rsidR="00205AD2">
        <w:rPr>
          <w:rFonts w:ascii="Arial" w:hAnsi="Arial" w:cs="Arial"/>
          <w:lang w:val="es-MX"/>
        </w:rPr>
        <w:t>23</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w:t>
      </w:r>
      <w:r w:rsidRPr="00CF365A">
        <w:rPr>
          <w:rFonts w:ascii="Arial" w:hAnsi="Arial" w:cs="Arial"/>
        </w:rPr>
        <w:lastRenderedPageBreak/>
        <w:t xml:space="preserve">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w:t>
      </w:r>
      <w:r w:rsidR="00205AD2">
        <w:rPr>
          <w:rFonts w:ascii="Arial" w:hAnsi="Arial" w:cs="Arial"/>
        </w:rPr>
        <w:t>fiscal 2013</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205AD2">
        <w:rPr>
          <w:rFonts w:ascii="Arial" w:hAnsi="Arial" w:cs="Arial"/>
          <w:b/>
          <w:bCs/>
          <w:lang w:val="es-MX" w:eastAsia="es-MX"/>
        </w:rPr>
        <w:t>CUENTA PÚBLICA 2013</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Juventud </w:t>
      </w:r>
      <w:r w:rsidR="007449B5">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205AD2">
        <w:rPr>
          <w:rFonts w:ascii="Arial" w:hAnsi="Arial" w:cs="Arial"/>
          <w:b/>
          <w:bCs/>
          <w:lang w:val="es-MX" w:eastAsia="es-MX"/>
        </w:rPr>
        <w:t>3</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Juventud </w:t>
      </w:r>
      <w:r>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lastRenderedPageBreak/>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2F0C1B">
        <w:rPr>
          <w:rFonts w:ascii="Arial" w:hAnsi="Arial" w:cs="Arial"/>
          <w:b/>
          <w:color w:val="000000"/>
        </w:rPr>
        <w:t>Instituto</w:t>
      </w:r>
      <w:r w:rsidR="00205AD2">
        <w:rPr>
          <w:rFonts w:ascii="Arial" w:hAnsi="Arial" w:cs="Arial"/>
          <w:b/>
          <w:color w:val="000000"/>
        </w:rPr>
        <w:t xml:space="preserve"> Municipal</w:t>
      </w:r>
      <w:r w:rsidR="002F0C1B">
        <w:rPr>
          <w:rFonts w:ascii="Arial" w:hAnsi="Arial" w:cs="Arial"/>
          <w:b/>
          <w:color w:val="000000"/>
        </w:rPr>
        <w:t xml:space="preserve"> de la Juventud</w:t>
      </w:r>
      <w:r w:rsidR="007449B5">
        <w:rPr>
          <w:rFonts w:ascii="Arial" w:hAnsi="Arial" w:cs="Arial"/>
          <w:b/>
          <w:color w:val="000000"/>
        </w:rPr>
        <w:t xml:space="preserve"> de </w:t>
      </w:r>
      <w:r w:rsidR="002571B7">
        <w:rPr>
          <w:rFonts w:ascii="Arial" w:hAnsi="Arial" w:cs="Arial"/>
          <w:b/>
          <w:color w:val="000000"/>
        </w:rPr>
        <w:t>Apodaca</w:t>
      </w:r>
      <w:r>
        <w:rPr>
          <w:rFonts w:ascii="Arial" w:hAnsi="Arial" w:cs="Arial"/>
          <w:b/>
          <w:color w:val="000000"/>
        </w:rPr>
        <w:t>, Nuevo León</w:t>
      </w:r>
      <w:r w:rsidRPr="00743413">
        <w:rPr>
          <w:rFonts w:ascii="Arial" w:hAnsi="Arial" w:cs="Arial"/>
          <w:lang w:val="es-MX"/>
        </w:rPr>
        <w:t>, para su conocimiento y efectos legales a que haya lugar.</w:t>
      </w:r>
    </w:p>
    <w:p w:rsidR="00BC3C74" w:rsidRDefault="00BC3C74" w:rsidP="00BC3C74">
      <w:pPr>
        <w:spacing w:line="360" w:lineRule="auto"/>
        <w:jc w:val="center"/>
        <w:rPr>
          <w:rFonts w:ascii="Arial" w:hAnsi="Arial" w:cs="Arial"/>
          <w:b/>
          <w:lang w:val="es-MX"/>
        </w:rPr>
      </w:pPr>
      <w:r>
        <w:rPr>
          <w:rFonts w:ascii="Arial" w:hAnsi="Arial" w:cs="Arial"/>
          <w:b/>
          <w:lang w:val="es-MX"/>
        </w:rPr>
        <w:t xml:space="preserve">Monterrey, Nuevo León. A </w:t>
      </w:r>
      <w:r w:rsidR="00C922DA">
        <w:rPr>
          <w:rFonts w:ascii="Arial" w:hAnsi="Arial" w:cs="Arial"/>
          <w:b/>
          <w:lang w:val="es-MX"/>
        </w:rPr>
        <w:t xml:space="preserve"> </w:t>
      </w:r>
    </w:p>
    <w:p w:rsidR="00BC3C74" w:rsidRDefault="00BC3C74" w:rsidP="00BC3C74">
      <w:pPr>
        <w:spacing w:line="360" w:lineRule="auto"/>
        <w:jc w:val="center"/>
        <w:rPr>
          <w:rFonts w:ascii="Arial" w:hAnsi="Arial" w:cs="Arial"/>
          <w:b/>
          <w:lang w:val="es-MX"/>
        </w:rPr>
      </w:pPr>
    </w:p>
    <w:p w:rsidR="00BC3C74" w:rsidRDefault="00BC3C74" w:rsidP="00BC3C74">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BC3C74" w:rsidRDefault="00BC3C74" w:rsidP="00BC3C74">
      <w:pPr>
        <w:pStyle w:val="Ttulo3"/>
        <w:jc w:val="center"/>
        <w:rPr>
          <w:rFonts w:ascii="Arial" w:hAnsi="Arial" w:cs="Arial"/>
          <w:b w:val="0"/>
          <w:sz w:val="22"/>
          <w:szCs w:val="22"/>
        </w:rPr>
      </w:pPr>
      <w:r>
        <w:rPr>
          <w:rFonts w:ascii="Arial" w:hAnsi="Arial" w:cs="Arial"/>
        </w:rPr>
        <w:t>PRESIDENTA</w:t>
      </w:r>
    </w:p>
    <w:p w:rsidR="00BC3C74" w:rsidRDefault="00BC3C74" w:rsidP="00BC3C74">
      <w:pPr>
        <w:spacing w:line="360" w:lineRule="auto"/>
        <w:jc w:val="both"/>
        <w:rPr>
          <w:rFonts w:ascii="Arial" w:hAnsi="Arial" w:cs="Arial"/>
          <w:caps/>
        </w:rPr>
      </w:pPr>
    </w:p>
    <w:p w:rsidR="00BC3C74" w:rsidRDefault="00BC3C74" w:rsidP="00BC3C74">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BC3C74" w:rsidRDefault="00BC3C74" w:rsidP="00BC3C74">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BC3C74" w:rsidTr="00BC3C74">
        <w:trPr>
          <w:trHeight w:val="1016"/>
          <w:jc w:val="center"/>
        </w:trPr>
        <w:tc>
          <w:tcPr>
            <w:tcW w:w="3131" w:type="dxa"/>
          </w:tcPr>
          <w:p w:rsidR="00BC3C74" w:rsidRDefault="00BC3C74">
            <w:pPr>
              <w:spacing w:line="360" w:lineRule="auto"/>
              <w:jc w:val="center"/>
              <w:rPr>
                <w:rFonts w:ascii="Arial" w:hAnsi="Arial" w:cs="Arial"/>
                <w:b/>
                <w:bCs/>
                <w:lang w:val="es-MX"/>
              </w:rPr>
            </w:pPr>
            <w:r>
              <w:rPr>
                <w:rFonts w:ascii="Arial" w:hAnsi="Arial" w:cs="Arial"/>
                <w:b/>
                <w:bCs/>
                <w:lang w:val="es-MX"/>
              </w:rPr>
              <w:t>DIP. VICEPRESIDENTE:</w:t>
            </w:r>
          </w:p>
          <w:p w:rsidR="00BC3C74" w:rsidRDefault="00BC3C74">
            <w:pPr>
              <w:spacing w:line="360" w:lineRule="auto"/>
              <w:ind w:left="74" w:hanging="72"/>
              <w:jc w:val="center"/>
              <w:rPr>
                <w:rFonts w:ascii="Arial" w:hAnsi="Arial" w:cs="Arial"/>
                <w:b/>
                <w:bCs/>
                <w:lang w:val="es-MX"/>
              </w:rPr>
            </w:pPr>
          </w:p>
        </w:tc>
        <w:tc>
          <w:tcPr>
            <w:tcW w:w="3733" w:type="dxa"/>
          </w:tcPr>
          <w:p w:rsidR="00BC3C74" w:rsidRDefault="00BC3C74">
            <w:pPr>
              <w:spacing w:line="360" w:lineRule="auto"/>
              <w:jc w:val="center"/>
              <w:rPr>
                <w:rFonts w:ascii="Arial" w:hAnsi="Arial" w:cs="Arial"/>
                <w:b/>
                <w:bCs/>
              </w:rPr>
            </w:pPr>
            <w:r>
              <w:rPr>
                <w:rFonts w:ascii="Arial" w:hAnsi="Arial" w:cs="Arial"/>
                <w:b/>
                <w:bCs/>
              </w:rPr>
              <w:t>DIP. SECRETARIO:</w:t>
            </w:r>
          </w:p>
          <w:p w:rsidR="00BC3C74" w:rsidRDefault="00BC3C74">
            <w:pPr>
              <w:spacing w:line="360" w:lineRule="auto"/>
              <w:jc w:val="center"/>
              <w:rPr>
                <w:rFonts w:ascii="Arial" w:hAnsi="Arial" w:cs="Arial"/>
                <w:b/>
                <w:bCs/>
              </w:rPr>
            </w:pPr>
          </w:p>
        </w:tc>
      </w:tr>
      <w:tr w:rsidR="00BC3C74" w:rsidTr="00BC3C74">
        <w:trPr>
          <w:trHeight w:val="508"/>
          <w:jc w:val="center"/>
        </w:trPr>
        <w:tc>
          <w:tcPr>
            <w:tcW w:w="3131" w:type="dxa"/>
          </w:tcPr>
          <w:p w:rsidR="00BC3C74" w:rsidRDefault="00BC3C74">
            <w:pPr>
              <w:spacing w:line="360" w:lineRule="auto"/>
              <w:ind w:left="74"/>
              <w:rPr>
                <w:rFonts w:ascii="Arial" w:hAnsi="Arial" w:cs="Arial"/>
              </w:rPr>
            </w:pPr>
            <w:r>
              <w:rPr>
                <w:rFonts w:ascii="Arial" w:hAnsi="Arial" w:cs="Arial"/>
              </w:rPr>
              <w:t>JOSE LUIS SANTOS MARTÍNEZ</w:t>
            </w:r>
          </w:p>
          <w:p w:rsidR="00BC3C74" w:rsidRDefault="00BC3C74">
            <w:pPr>
              <w:spacing w:line="360" w:lineRule="auto"/>
              <w:ind w:left="74"/>
              <w:jc w:val="center"/>
              <w:rPr>
                <w:rFonts w:ascii="Arial" w:hAnsi="Arial" w:cs="Arial"/>
              </w:rPr>
            </w:pPr>
            <w:bookmarkStart w:id="0" w:name="_GoBack"/>
            <w:bookmarkEnd w:id="0"/>
          </w:p>
        </w:tc>
        <w:tc>
          <w:tcPr>
            <w:tcW w:w="3733" w:type="dxa"/>
            <w:hideMark/>
          </w:tcPr>
          <w:p w:rsidR="00BC3C74" w:rsidRDefault="00BC3C74">
            <w:pPr>
              <w:spacing w:line="360" w:lineRule="auto"/>
              <w:ind w:left="74"/>
              <w:jc w:val="center"/>
              <w:rPr>
                <w:rFonts w:ascii="Arial" w:hAnsi="Arial" w:cs="Arial"/>
              </w:rPr>
            </w:pPr>
            <w:r>
              <w:rPr>
                <w:rFonts w:ascii="Arial" w:hAnsi="Arial" w:cs="Arial"/>
              </w:rPr>
              <w:lastRenderedPageBreak/>
              <w:t>RUBÉN GONZÁLEZ CABRIELES</w:t>
            </w:r>
          </w:p>
        </w:tc>
      </w:tr>
      <w:tr w:rsidR="00BC3C74" w:rsidTr="00BC3C74">
        <w:trPr>
          <w:trHeight w:val="1035"/>
          <w:jc w:val="center"/>
        </w:trPr>
        <w:tc>
          <w:tcPr>
            <w:tcW w:w="3131" w:type="dxa"/>
            <w:hideMark/>
          </w:tcPr>
          <w:p w:rsidR="00BC3C74" w:rsidRDefault="00BC3C74">
            <w:pPr>
              <w:spacing w:line="360" w:lineRule="auto"/>
              <w:ind w:left="74"/>
              <w:jc w:val="center"/>
              <w:rPr>
                <w:rFonts w:ascii="Arial" w:hAnsi="Arial" w:cs="Arial"/>
                <w:b/>
                <w:bCs/>
              </w:rPr>
            </w:pPr>
            <w:r>
              <w:rPr>
                <w:rFonts w:ascii="Arial" w:hAnsi="Arial" w:cs="Arial"/>
                <w:b/>
                <w:bCs/>
              </w:rPr>
              <w:t>DIP. VOCAL:</w:t>
            </w:r>
          </w:p>
        </w:tc>
        <w:tc>
          <w:tcPr>
            <w:tcW w:w="3733" w:type="dxa"/>
          </w:tcPr>
          <w:p w:rsidR="00BC3C74" w:rsidRDefault="00BC3C74">
            <w:pPr>
              <w:spacing w:line="360" w:lineRule="auto"/>
              <w:ind w:left="74"/>
              <w:jc w:val="center"/>
              <w:rPr>
                <w:rFonts w:ascii="Arial" w:hAnsi="Arial" w:cs="Arial"/>
                <w:b/>
                <w:bCs/>
              </w:rPr>
            </w:pPr>
            <w:r>
              <w:rPr>
                <w:rFonts w:ascii="Arial" w:hAnsi="Arial" w:cs="Arial"/>
                <w:b/>
                <w:bCs/>
              </w:rPr>
              <w:t>DIP. VOCAL:</w:t>
            </w:r>
          </w:p>
          <w:p w:rsidR="00BC3C74" w:rsidRDefault="00BC3C74">
            <w:pPr>
              <w:spacing w:line="360" w:lineRule="auto"/>
              <w:ind w:left="74"/>
              <w:jc w:val="center"/>
              <w:rPr>
                <w:rFonts w:ascii="Arial" w:hAnsi="Arial" w:cs="Arial"/>
                <w:b/>
                <w:bCs/>
              </w:rPr>
            </w:pPr>
          </w:p>
        </w:tc>
      </w:tr>
      <w:tr w:rsidR="00BC3C74" w:rsidTr="00BC3C74">
        <w:trPr>
          <w:trHeight w:val="752"/>
          <w:jc w:val="center"/>
        </w:trPr>
        <w:tc>
          <w:tcPr>
            <w:tcW w:w="3131" w:type="dxa"/>
            <w:hideMark/>
          </w:tcPr>
          <w:p w:rsidR="00BC3C74" w:rsidRDefault="00BC3C74">
            <w:pPr>
              <w:spacing w:line="360" w:lineRule="auto"/>
              <w:ind w:left="74"/>
              <w:rPr>
                <w:rFonts w:ascii="Arial" w:hAnsi="Arial" w:cs="Arial"/>
              </w:rPr>
            </w:pPr>
            <w:r>
              <w:rPr>
                <w:rFonts w:ascii="Arial" w:hAnsi="Arial" w:cs="Arial"/>
              </w:rPr>
              <w:t>ANDRÉS MAURICIO CANTÚ RAMÍREZ</w:t>
            </w:r>
          </w:p>
        </w:tc>
        <w:tc>
          <w:tcPr>
            <w:tcW w:w="3733" w:type="dxa"/>
            <w:hideMark/>
          </w:tcPr>
          <w:p w:rsidR="00BC3C74" w:rsidRDefault="00BC3C74">
            <w:pPr>
              <w:spacing w:line="360" w:lineRule="auto"/>
              <w:ind w:left="74"/>
              <w:rPr>
                <w:rFonts w:ascii="Arial" w:hAnsi="Arial" w:cs="Arial"/>
              </w:rPr>
            </w:pPr>
            <w:r>
              <w:rPr>
                <w:rFonts w:ascii="Arial" w:hAnsi="Arial" w:cs="Arial"/>
              </w:rPr>
              <w:t>ALICIA MARIBEL VILLALÓN GONZÁLEZ</w:t>
            </w:r>
          </w:p>
        </w:tc>
      </w:tr>
      <w:tr w:rsidR="00BC3C74" w:rsidTr="00BC3C74">
        <w:trPr>
          <w:trHeight w:val="771"/>
          <w:jc w:val="center"/>
        </w:trPr>
        <w:tc>
          <w:tcPr>
            <w:tcW w:w="3131" w:type="dxa"/>
          </w:tcPr>
          <w:p w:rsidR="00BC3C74" w:rsidRDefault="00BC3C74">
            <w:pPr>
              <w:spacing w:line="360" w:lineRule="auto"/>
              <w:jc w:val="center"/>
              <w:rPr>
                <w:rFonts w:ascii="Arial" w:hAnsi="Arial" w:cs="Arial"/>
                <w:b/>
                <w:bCs/>
              </w:rPr>
            </w:pPr>
            <w:r>
              <w:rPr>
                <w:rFonts w:ascii="Arial" w:hAnsi="Arial" w:cs="Arial"/>
                <w:b/>
                <w:bCs/>
              </w:rPr>
              <w:t>DIP. VOCAL:</w:t>
            </w:r>
          </w:p>
          <w:p w:rsidR="00BC3C74" w:rsidRDefault="00BC3C74">
            <w:pPr>
              <w:spacing w:line="360" w:lineRule="auto"/>
              <w:jc w:val="center"/>
              <w:rPr>
                <w:rFonts w:ascii="Arial" w:hAnsi="Arial" w:cs="Arial"/>
                <w:b/>
                <w:bCs/>
              </w:rPr>
            </w:pPr>
          </w:p>
        </w:tc>
        <w:tc>
          <w:tcPr>
            <w:tcW w:w="3733" w:type="dxa"/>
          </w:tcPr>
          <w:p w:rsidR="00BC3C74" w:rsidRDefault="00BC3C74">
            <w:pPr>
              <w:spacing w:line="360" w:lineRule="auto"/>
              <w:jc w:val="center"/>
              <w:rPr>
                <w:rFonts w:ascii="Arial" w:hAnsi="Arial" w:cs="Arial"/>
                <w:b/>
                <w:bCs/>
              </w:rPr>
            </w:pPr>
            <w:r>
              <w:rPr>
                <w:rFonts w:ascii="Arial" w:hAnsi="Arial" w:cs="Arial"/>
                <w:b/>
                <w:bCs/>
              </w:rPr>
              <w:t>DIP. VOCAL:</w:t>
            </w:r>
          </w:p>
          <w:p w:rsidR="00BC3C74" w:rsidRDefault="00BC3C74">
            <w:pPr>
              <w:spacing w:line="360" w:lineRule="auto"/>
              <w:jc w:val="center"/>
              <w:rPr>
                <w:rFonts w:ascii="Arial" w:hAnsi="Arial" w:cs="Arial"/>
                <w:b/>
                <w:bCs/>
              </w:rPr>
            </w:pPr>
          </w:p>
          <w:p w:rsidR="00BC3C74" w:rsidRDefault="00BC3C74">
            <w:pPr>
              <w:spacing w:line="360" w:lineRule="auto"/>
              <w:ind w:left="74"/>
              <w:jc w:val="center"/>
              <w:rPr>
                <w:rFonts w:ascii="Arial" w:hAnsi="Arial" w:cs="Arial"/>
                <w:b/>
                <w:bCs/>
              </w:rPr>
            </w:pPr>
          </w:p>
        </w:tc>
      </w:tr>
      <w:tr w:rsidR="00BC3C74" w:rsidTr="00BC3C74">
        <w:trPr>
          <w:trHeight w:val="508"/>
          <w:jc w:val="center"/>
        </w:trPr>
        <w:tc>
          <w:tcPr>
            <w:tcW w:w="3131" w:type="dxa"/>
            <w:hideMark/>
          </w:tcPr>
          <w:p w:rsidR="00BC3C74" w:rsidRDefault="00BC3C74">
            <w:pPr>
              <w:spacing w:line="360" w:lineRule="auto"/>
              <w:ind w:left="74"/>
              <w:rPr>
                <w:rFonts w:ascii="Arial" w:hAnsi="Arial" w:cs="Arial"/>
              </w:rPr>
            </w:pPr>
            <w:r>
              <w:rPr>
                <w:rFonts w:ascii="Arial" w:hAnsi="Arial" w:cs="Arial"/>
              </w:rPr>
              <w:t xml:space="preserve">MARCO ANTONIO MARTINEZ DIAZ </w:t>
            </w:r>
          </w:p>
        </w:tc>
        <w:tc>
          <w:tcPr>
            <w:tcW w:w="3733" w:type="dxa"/>
            <w:hideMark/>
          </w:tcPr>
          <w:p w:rsidR="00BC3C74" w:rsidRDefault="00BC3C74">
            <w:pPr>
              <w:spacing w:line="360" w:lineRule="auto"/>
              <w:ind w:left="74"/>
              <w:jc w:val="center"/>
              <w:rPr>
                <w:rFonts w:ascii="Arial" w:hAnsi="Arial" w:cs="Arial"/>
              </w:rPr>
            </w:pPr>
            <w:r>
              <w:rPr>
                <w:rFonts w:ascii="Arial" w:hAnsi="Arial" w:cs="Arial"/>
              </w:rPr>
              <w:t>ROSALVA LLANES RIVERA</w:t>
            </w:r>
          </w:p>
        </w:tc>
      </w:tr>
      <w:tr w:rsidR="00BC3C74" w:rsidTr="00BC3C74">
        <w:trPr>
          <w:trHeight w:val="1016"/>
          <w:jc w:val="center"/>
        </w:trPr>
        <w:tc>
          <w:tcPr>
            <w:tcW w:w="3131" w:type="dxa"/>
            <w:hideMark/>
          </w:tcPr>
          <w:p w:rsidR="00BC3C74" w:rsidRDefault="00BC3C74">
            <w:pPr>
              <w:spacing w:line="360" w:lineRule="auto"/>
              <w:jc w:val="center"/>
              <w:rPr>
                <w:rFonts w:ascii="Arial" w:hAnsi="Arial" w:cs="Arial"/>
                <w:b/>
                <w:bCs/>
              </w:rPr>
            </w:pPr>
            <w:r>
              <w:rPr>
                <w:rFonts w:ascii="Arial" w:hAnsi="Arial" w:cs="Arial"/>
                <w:b/>
                <w:bCs/>
              </w:rPr>
              <w:t>DIP. VOCAL:</w:t>
            </w:r>
          </w:p>
        </w:tc>
        <w:tc>
          <w:tcPr>
            <w:tcW w:w="3733" w:type="dxa"/>
          </w:tcPr>
          <w:p w:rsidR="00BC3C74" w:rsidRDefault="00BC3C74">
            <w:pPr>
              <w:spacing w:line="360" w:lineRule="auto"/>
              <w:jc w:val="center"/>
              <w:rPr>
                <w:rFonts w:ascii="Arial" w:hAnsi="Arial" w:cs="Arial"/>
                <w:b/>
                <w:bCs/>
              </w:rPr>
            </w:pPr>
            <w:r>
              <w:rPr>
                <w:rFonts w:ascii="Arial" w:hAnsi="Arial" w:cs="Arial"/>
                <w:b/>
                <w:bCs/>
              </w:rPr>
              <w:t>DIP. VOCAL:</w:t>
            </w:r>
          </w:p>
          <w:p w:rsidR="00BC3C74" w:rsidRDefault="00BC3C74">
            <w:pPr>
              <w:spacing w:line="360" w:lineRule="auto"/>
              <w:ind w:left="74"/>
              <w:jc w:val="center"/>
              <w:rPr>
                <w:rFonts w:ascii="Arial" w:hAnsi="Arial" w:cs="Arial"/>
                <w:b/>
                <w:bCs/>
              </w:rPr>
            </w:pPr>
          </w:p>
          <w:p w:rsidR="00BC3C74" w:rsidRDefault="00BC3C74">
            <w:pPr>
              <w:spacing w:line="360" w:lineRule="auto"/>
              <w:ind w:left="74"/>
              <w:jc w:val="center"/>
              <w:rPr>
                <w:rFonts w:ascii="Arial" w:hAnsi="Arial" w:cs="Arial"/>
                <w:b/>
                <w:bCs/>
              </w:rPr>
            </w:pPr>
          </w:p>
        </w:tc>
      </w:tr>
      <w:tr w:rsidR="00BC3C74" w:rsidTr="00BC3C74">
        <w:trPr>
          <w:trHeight w:val="527"/>
          <w:jc w:val="center"/>
        </w:trPr>
        <w:tc>
          <w:tcPr>
            <w:tcW w:w="3131" w:type="dxa"/>
            <w:hideMark/>
          </w:tcPr>
          <w:p w:rsidR="00BC3C74" w:rsidRDefault="00BC3C74">
            <w:pPr>
              <w:spacing w:line="360" w:lineRule="auto"/>
              <w:ind w:left="74"/>
              <w:rPr>
                <w:rFonts w:ascii="Arial" w:hAnsi="Arial" w:cs="Arial"/>
              </w:rPr>
            </w:pPr>
            <w:r>
              <w:rPr>
                <w:rFonts w:ascii="Arial" w:hAnsi="Arial" w:cs="Arial"/>
              </w:rPr>
              <w:t>ANGEL ALBERTO BARROSO CORREA</w:t>
            </w:r>
          </w:p>
        </w:tc>
        <w:tc>
          <w:tcPr>
            <w:tcW w:w="3733" w:type="dxa"/>
          </w:tcPr>
          <w:p w:rsidR="00BC3C74" w:rsidRDefault="00BC3C74">
            <w:pPr>
              <w:spacing w:line="360" w:lineRule="auto"/>
              <w:ind w:left="74"/>
              <w:rPr>
                <w:rFonts w:ascii="Arial" w:hAnsi="Arial" w:cs="Arial"/>
              </w:rPr>
            </w:pPr>
            <w:r>
              <w:rPr>
                <w:rFonts w:ascii="Arial" w:hAnsi="Arial" w:cs="Arial"/>
              </w:rPr>
              <w:t>LETICIA MARLENE BENVENUTTI VILLARREAL</w:t>
            </w:r>
          </w:p>
          <w:p w:rsidR="00BC3C74" w:rsidRDefault="00BC3C74">
            <w:pPr>
              <w:spacing w:line="360" w:lineRule="auto"/>
              <w:ind w:left="74"/>
              <w:jc w:val="center"/>
              <w:rPr>
                <w:rFonts w:ascii="Arial" w:hAnsi="Arial" w:cs="Arial"/>
              </w:rPr>
            </w:pPr>
          </w:p>
          <w:p w:rsidR="00BC3C74" w:rsidRDefault="00BC3C74">
            <w:pPr>
              <w:spacing w:line="360" w:lineRule="auto"/>
              <w:ind w:left="74"/>
              <w:jc w:val="center"/>
              <w:rPr>
                <w:rFonts w:ascii="Arial" w:hAnsi="Arial" w:cs="Arial"/>
              </w:rPr>
            </w:pPr>
          </w:p>
          <w:p w:rsidR="00BC3C74" w:rsidRDefault="00BC3C74">
            <w:pPr>
              <w:spacing w:line="360" w:lineRule="auto"/>
              <w:ind w:left="74"/>
              <w:jc w:val="center"/>
              <w:rPr>
                <w:rFonts w:ascii="Arial" w:hAnsi="Arial" w:cs="Arial"/>
              </w:rPr>
            </w:pPr>
          </w:p>
        </w:tc>
      </w:tr>
      <w:tr w:rsidR="00BC3C74" w:rsidTr="00BC3C74">
        <w:trPr>
          <w:trHeight w:val="1016"/>
          <w:jc w:val="center"/>
        </w:trPr>
        <w:tc>
          <w:tcPr>
            <w:tcW w:w="3131" w:type="dxa"/>
            <w:hideMark/>
          </w:tcPr>
          <w:p w:rsidR="00BC3C74" w:rsidRDefault="00BC3C74">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BC3C74" w:rsidRDefault="00BC3C74">
            <w:pPr>
              <w:spacing w:line="360" w:lineRule="auto"/>
              <w:ind w:left="74"/>
              <w:jc w:val="center"/>
              <w:rPr>
                <w:rFonts w:ascii="Arial" w:hAnsi="Arial" w:cs="Arial"/>
                <w:b/>
                <w:bCs/>
              </w:rPr>
            </w:pPr>
            <w:r>
              <w:rPr>
                <w:rFonts w:ascii="Arial" w:hAnsi="Arial" w:cs="Arial"/>
                <w:b/>
                <w:bCs/>
              </w:rPr>
              <w:t>DIP. VOCAL:</w:t>
            </w:r>
          </w:p>
          <w:p w:rsidR="00BC3C74" w:rsidRDefault="00BC3C74">
            <w:pPr>
              <w:spacing w:line="360" w:lineRule="auto"/>
              <w:ind w:left="74"/>
              <w:jc w:val="center"/>
              <w:rPr>
                <w:rFonts w:ascii="Arial" w:hAnsi="Arial" w:cs="Arial"/>
                <w:b/>
                <w:bCs/>
              </w:rPr>
            </w:pPr>
          </w:p>
          <w:p w:rsidR="00BC3C74" w:rsidRDefault="00BC3C74">
            <w:pPr>
              <w:spacing w:line="360" w:lineRule="auto"/>
              <w:jc w:val="center"/>
              <w:rPr>
                <w:rFonts w:ascii="Arial" w:hAnsi="Arial" w:cs="Arial"/>
                <w:b/>
                <w:bCs/>
              </w:rPr>
            </w:pPr>
          </w:p>
        </w:tc>
      </w:tr>
      <w:tr w:rsidR="00BC3C74" w:rsidTr="00BC3C74">
        <w:trPr>
          <w:trHeight w:val="508"/>
          <w:jc w:val="center"/>
        </w:trPr>
        <w:tc>
          <w:tcPr>
            <w:tcW w:w="3131" w:type="dxa"/>
            <w:hideMark/>
          </w:tcPr>
          <w:p w:rsidR="00BC3C74" w:rsidRDefault="00BC3C74">
            <w:pPr>
              <w:spacing w:line="360" w:lineRule="auto"/>
              <w:ind w:left="74"/>
              <w:rPr>
                <w:rFonts w:ascii="Arial" w:hAnsi="Arial" w:cs="Arial"/>
              </w:rPr>
            </w:pPr>
            <w:r>
              <w:rPr>
                <w:rFonts w:ascii="Arial" w:hAnsi="Arial" w:cs="Arial"/>
              </w:rPr>
              <w:t>DANIEL CARRILLO MARTÍNEZ</w:t>
            </w:r>
          </w:p>
        </w:tc>
        <w:tc>
          <w:tcPr>
            <w:tcW w:w="3733" w:type="dxa"/>
            <w:hideMark/>
          </w:tcPr>
          <w:p w:rsidR="00BC3C74" w:rsidRDefault="00BC3C74">
            <w:pPr>
              <w:spacing w:line="360" w:lineRule="auto"/>
              <w:ind w:left="74"/>
              <w:jc w:val="center"/>
              <w:rPr>
                <w:rFonts w:ascii="Arial" w:hAnsi="Arial" w:cs="Arial"/>
              </w:rPr>
            </w:pPr>
            <w:r>
              <w:rPr>
                <w:rFonts w:ascii="Arial" w:hAnsi="Arial" w:cs="Arial"/>
              </w:rPr>
              <w:t>COSME JULIAN LEAL CANTÚ</w:t>
            </w:r>
          </w:p>
        </w:tc>
      </w:tr>
    </w:tbl>
    <w:p w:rsidR="00BC3C74" w:rsidRDefault="00BC3C74" w:rsidP="00BC3C74">
      <w:pPr>
        <w:rPr>
          <w:rFonts w:ascii="Arial" w:hAnsi="Arial" w:cs="Arial"/>
        </w:rPr>
      </w:pPr>
    </w:p>
    <w:p w:rsidR="00744D70" w:rsidRPr="00A4615F" w:rsidRDefault="00744D70" w:rsidP="00BC3C74">
      <w:pPr>
        <w:spacing w:after="0" w:line="360" w:lineRule="auto"/>
        <w:ind w:firstLine="708"/>
        <w:jc w:val="both"/>
        <w:rPr>
          <w:rFonts w:ascii="Arial" w:hAnsi="Arial" w:cs="Arial"/>
          <w:lang w:val="es-ES_tradnl"/>
        </w:rPr>
      </w:pPr>
    </w:p>
    <w:sectPr w:rsidR="00744D70" w:rsidRPr="00A4615F" w:rsidSect="00C922DA">
      <w:headerReference w:type="default" r:id="rId9"/>
      <w:footerReference w:type="default" r:id="rId10"/>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7B" w:rsidRDefault="00CF217B" w:rsidP="003025A5">
      <w:pPr>
        <w:spacing w:after="0" w:line="240" w:lineRule="auto"/>
      </w:pPr>
      <w:r>
        <w:separator/>
      </w:r>
    </w:p>
  </w:endnote>
  <w:endnote w:type="continuationSeparator" w:id="0">
    <w:p w:rsidR="00CF217B" w:rsidRDefault="00CF217B"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C922DA">
      <w:rPr>
        <w:noProof/>
      </w:rPr>
      <w:t>18</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143944" w:rsidP="00CF7F14">
    <w:pPr>
      <w:pStyle w:val="Piedepgina"/>
      <w:jc w:val="center"/>
      <w:rPr>
        <w:rFonts w:ascii="Century Gothic" w:hAnsi="Century Gothic"/>
      </w:rPr>
    </w:pPr>
    <w:r>
      <w:rPr>
        <w:rFonts w:ascii="Century Gothic" w:hAnsi="Century Gothic"/>
      </w:rPr>
      <w:t>Expediente 8234</w:t>
    </w:r>
    <w:r w:rsidR="009733AD">
      <w:rPr>
        <w:rFonts w:ascii="Century Gothic" w:hAnsi="Century Gothic"/>
      </w:rPr>
      <w:t>/LXXIII</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7B" w:rsidRDefault="00CF217B" w:rsidP="003025A5">
      <w:pPr>
        <w:spacing w:after="0" w:line="240" w:lineRule="auto"/>
      </w:pPr>
      <w:r>
        <w:separator/>
      </w:r>
    </w:p>
  </w:footnote>
  <w:footnote w:type="continuationSeparator" w:id="0">
    <w:p w:rsidR="00CF217B" w:rsidRDefault="00CF217B"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2FD7999"/>
    <w:multiLevelType w:val="hybridMultilevel"/>
    <w:tmpl w:val="7ABE37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FF79BE"/>
    <w:multiLevelType w:val="hybridMultilevel"/>
    <w:tmpl w:val="E4BEE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F7429"/>
    <w:multiLevelType w:val="hybridMultilevel"/>
    <w:tmpl w:val="BD9E11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5FBE37EC"/>
    <w:multiLevelType w:val="hybridMultilevel"/>
    <w:tmpl w:val="56FA3558"/>
    <w:lvl w:ilvl="0" w:tplc="EA1CDF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5B1F9B"/>
    <w:multiLevelType w:val="hybridMultilevel"/>
    <w:tmpl w:val="59707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7547C7"/>
    <w:multiLevelType w:val="hybridMultilevel"/>
    <w:tmpl w:val="DBD66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74F351F1"/>
    <w:multiLevelType w:val="hybridMultilevel"/>
    <w:tmpl w:val="88709B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0"/>
  </w:num>
  <w:num w:numId="2">
    <w:abstractNumId w:val="17"/>
  </w:num>
  <w:num w:numId="3">
    <w:abstractNumId w:val="8"/>
  </w:num>
  <w:num w:numId="4">
    <w:abstractNumId w:val="5"/>
  </w:num>
  <w:num w:numId="5">
    <w:abstractNumId w:val="0"/>
  </w:num>
  <w:num w:numId="6">
    <w:abstractNumId w:val="10"/>
  </w:num>
  <w:num w:numId="7">
    <w:abstractNumId w:val="4"/>
  </w:num>
  <w:num w:numId="8">
    <w:abstractNumId w:val="9"/>
  </w:num>
  <w:num w:numId="9">
    <w:abstractNumId w:val="18"/>
  </w:num>
  <w:num w:numId="10">
    <w:abstractNumId w:val="1"/>
  </w:num>
  <w:num w:numId="11">
    <w:abstractNumId w:val="14"/>
  </w:num>
  <w:num w:numId="12">
    <w:abstractNumId w:val="7"/>
  </w:num>
  <w:num w:numId="13">
    <w:abstractNumId w:val="15"/>
  </w:num>
  <w:num w:numId="14">
    <w:abstractNumId w:val="19"/>
  </w:num>
  <w:num w:numId="15">
    <w:abstractNumId w:val="12"/>
  </w:num>
  <w:num w:numId="16">
    <w:abstractNumId w:val="3"/>
  </w:num>
  <w:num w:numId="17">
    <w:abstractNumId w:val="6"/>
  </w:num>
  <w:num w:numId="18">
    <w:abstractNumId w:val="2"/>
  </w:num>
  <w:num w:numId="19">
    <w:abstractNumId w:val="1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23F39"/>
    <w:rsid w:val="000340C6"/>
    <w:rsid w:val="00037420"/>
    <w:rsid w:val="00042267"/>
    <w:rsid w:val="000435B5"/>
    <w:rsid w:val="0004388F"/>
    <w:rsid w:val="000448A0"/>
    <w:rsid w:val="00057EAB"/>
    <w:rsid w:val="000616BE"/>
    <w:rsid w:val="000636A7"/>
    <w:rsid w:val="000664BE"/>
    <w:rsid w:val="00072FD1"/>
    <w:rsid w:val="00077667"/>
    <w:rsid w:val="00081976"/>
    <w:rsid w:val="000937C6"/>
    <w:rsid w:val="00096553"/>
    <w:rsid w:val="000A5D42"/>
    <w:rsid w:val="000A5F99"/>
    <w:rsid w:val="000B05BD"/>
    <w:rsid w:val="000C350C"/>
    <w:rsid w:val="000C57D1"/>
    <w:rsid w:val="000D77B2"/>
    <w:rsid w:val="000E5A49"/>
    <w:rsid w:val="000F4E2F"/>
    <w:rsid w:val="000F7718"/>
    <w:rsid w:val="00110831"/>
    <w:rsid w:val="0011577A"/>
    <w:rsid w:val="00123CCD"/>
    <w:rsid w:val="00125D17"/>
    <w:rsid w:val="00132C01"/>
    <w:rsid w:val="00133CAF"/>
    <w:rsid w:val="0013519B"/>
    <w:rsid w:val="00142D20"/>
    <w:rsid w:val="00142F71"/>
    <w:rsid w:val="00143944"/>
    <w:rsid w:val="0015002D"/>
    <w:rsid w:val="00157D90"/>
    <w:rsid w:val="001672B4"/>
    <w:rsid w:val="001677C0"/>
    <w:rsid w:val="00171B03"/>
    <w:rsid w:val="00190897"/>
    <w:rsid w:val="001A01D6"/>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05AD2"/>
    <w:rsid w:val="00210AD4"/>
    <w:rsid w:val="00230E1F"/>
    <w:rsid w:val="002361FC"/>
    <w:rsid w:val="0024297F"/>
    <w:rsid w:val="002519EC"/>
    <w:rsid w:val="002571B7"/>
    <w:rsid w:val="0026024F"/>
    <w:rsid w:val="00261D2E"/>
    <w:rsid w:val="0027192B"/>
    <w:rsid w:val="00290E8E"/>
    <w:rsid w:val="00292804"/>
    <w:rsid w:val="0029529B"/>
    <w:rsid w:val="002A2090"/>
    <w:rsid w:val="002A5590"/>
    <w:rsid w:val="002A6440"/>
    <w:rsid w:val="002B4FDE"/>
    <w:rsid w:val="002B5590"/>
    <w:rsid w:val="002C42B4"/>
    <w:rsid w:val="002C49E5"/>
    <w:rsid w:val="002C4D48"/>
    <w:rsid w:val="002C651F"/>
    <w:rsid w:val="002E7292"/>
    <w:rsid w:val="002F0C1B"/>
    <w:rsid w:val="002F3751"/>
    <w:rsid w:val="002F4FEE"/>
    <w:rsid w:val="003025A5"/>
    <w:rsid w:val="00310DB8"/>
    <w:rsid w:val="00322916"/>
    <w:rsid w:val="00322A45"/>
    <w:rsid w:val="003247B3"/>
    <w:rsid w:val="00324C8E"/>
    <w:rsid w:val="00340232"/>
    <w:rsid w:val="003533D5"/>
    <w:rsid w:val="0035362A"/>
    <w:rsid w:val="003659A5"/>
    <w:rsid w:val="00366604"/>
    <w:rsid w:val="003679D3"/>
    <w:rsid w:val="00367AE5"/>
    <w:rsid w:val="00371626"/>
    <w:rsid w:val="00397BEC"/>
    <w:rsid w:val="003A2713"/>
    <w:rsid w:val="003B3827"/>
    <w:rsid w:val="003C0614"/>
    <w:rsid w:val="003C1E24"/>
    <w:rsid w:val="003C2CF0"/>
    <w:rsid w:val="003E1BFF"/>
    <w:rsid w:val="003E43CC"/>
    <w:rsid w:val="003F1208"/>
    <w:rsid w:val="003F2471"/>
    <w:rsid w:val="003F6EC8"/>
    <w:rsid w:val="00404514"/>
    <w:rsid w:val="00407707"/>
    <w:rsid w:val="004133A7"/>
    <w:rsid w:val="00415E3D"/>
    <w:rsid w:val="00431CC7"/>
    <w:rsid w:val="00447142"/>
    <w:rsid w:val="004561C4"/>
    <w:rsid w:val="00490CDD"/>
    <w:rsid w:val="0049768B"/>
    <w:rsid w:val="004A1EF1"/>
    <w:rsid w:val="004A34C4"/>
    <w:rsid w:val="004B054A"/>
    <w:rsid w:val="004B1846"/>
    <w:rsid w:val="004B5B4E"/>
    <w:rsid w:val="004B78D3"/>
    <w:rsid w:val="004B7E40"/>
    <w:rsid w:val="004C11E9"/>
    <w:rsid w:val="004C44A7"/>
    <w:rsid w:val="004E14CD"/>
    <w:rsid w:val="004E3042"/>
    <w:rsid w:val="004E4C8A"/>
    <w:rsid w:val="004E6F57"/>
    <w:rsid w:val="004F7119"/>
    <w:rsid w:val="004F7FEF"/>
    <w:rsid w:val="00512675"/>
    <w:rsid w:val="00546954"/>
    <w:rsid w:val="00550616"/>
    <w:rsid w:val="00551826"/>
    <w:rsid w:val="00554770"/>
    <w:rsid w:val="00557511"/>
    <w:rsid w:val="0057495A"/>
    <w:rsid w:val="00586461"/>
    <w:rsid w:val="005A19F6"/>
    <w:rsid w:val="005A46B9"/>
    <w:rsid w:val="005B1BF1"/>
    <w:rsid w:val="005B31DA"/>
    <w:rsid w:val="005B4AEE"/>
    <w:rsid w:val="005C0744"/>
    <w:rsid w:val="005C085F"/>
    <w:rsid w:val="005C2FB5"/>
    <w:rsid w:val="005C324D"/>
    <w:rsid w:val="005C686F"/>
    <w:rsid w:val="005C7769"/>
    <w:rsid w:val="005D5636"/>
    <w:rsid w:val="006058A9"/>
    <w:rsid w:val="00610DD3"/>
    <w:rsid w:val="006171EF"/>
    <w:rsid w:val="006241C9"/>
    <w:rsid w:val="0062518E"/>
    <w:rsid w:val="006271C7"/>
    <w:rsid w:val="00630275"/>
    <w:rsid w:val="006331EF"/>
    <w:rsid w:val="00633282"/>
    <w:rsid w:val="00641FCA"/>
    <w:rsid w:val="006537B3"/>
    <w:rsid w:val="006539B2"/>
    <w:rsid w:val="006942F6"/>
    <w:rsid w:val="00695E53"/>
    <w:rsid w:val="006A0CE2"/>
    <w:rsid w:val="006A1055"/>
    <w:rsid w:val="006B3A49"/>
    <w:rsid w:val="006B430A"/>
    <w:rsid w:val="006C0D31"/>
    <w:rsid w:val="006C0DF3"/>
    <w:rsid w:val="006C3FA8"/>
    <w:rsid w:val="006D2D5C"/>
    <w:rsid w:val="007014D4"/>
    <w:rsid w:val="0070373A"/>
    <w:rsid w:val="007155A5"/>
    <w:rsid w:val="0073124D"/>
    <w:rsid w:val="007348F3"/>
    <w:rsid w:val="00735645"/>
    <w:rsid w:val="007449B5"/>
    <w:rsid w:val="00744D70"/>
    <w:rsid w:val="00771272"/>
    <w:rsid w:val="00794CC9"/>
    <w:rsid w:val="007A21C2"/>
    <w:rsid w:val="007B4327"/>
    <w:rsid w:val="007C792C"/>
    <w:rsid w:val="007F1CCC"/>
    <w:rsid w:val="007F2429"/>
    <w:rsid w:val="007F2C3F"/>
    <w:rsid w:val="008142A5"/>
    <w:rsid w:val="00821903"/>
    <w:rsid w:val="00823067"/>
    <w:rsid w:val="00825BAD"/>
    <w:rsid w:val="008326E2"/>
    <w:rsid w:val="00851F35"/>
    <w:rsid w:val="008649D4"/>
    <w:rsid w:val="00865CE8"/>
    <w:rsid w:val="00866C88"/>
    <w:rsid w:val="00873441"/>
    <w:rsid w:val="00886CE3"/>
    <w:rsid w:val="008932D1"/>
    <w:rsid w:val="008B7AAC"/>
    <w:rsid w:val="008D4467"/>
    <w:rsid w:val="008F202B"/>
    <w:rsid w:val="008F26E2"/>
    <w:rsid w:val="00902D6F"/>
    <w:rsid w:val="00913C4E"/>
    <w:rsid w:val="00926256"/>
    <w:rsid w:val="00932E31"/>
    <w:rsid w:val="009437EC"/>
    <w:rsid w:val="00945016"/>
    <w:rsid w:val="00945645"/>
    <w:rsid w:val="00957AFA"/>
    <w:rsid w:val="009607DA"/>
    <w:rsid w:val="0096518D"/>
    <w:rsid w:val="009733AD"/>
    <w:rsid w:val="009741DA"/>
    <w:rsid w:val="00975EAC"/>
    <w:rsid w:val="00977EFD"/>
    <w:rsid w:val="00986058"/>
    <w:rsid w:val="00991C15"/>
    <w:rsid w:val="009974C2"/>
    <w:rsid w:val="009A3FFF"/>
    <w:rsid w:val="009A4543"/>
    <w:rsid w:val="009B4B6F"/>
    <w:rsid w:val="009C28BB"/>
    <w:rsid w:val="009D7014"/>
    <w:rsid w:val="009D7853"/>
    <w:rsid w:val="009E78B0"/>
    <w:rsid w:val="009F334E"/>
    <w:rsid w:val="009F4810"/>
    <w:rsid w:val="00A0105C"/>
    <w:rsid w:val="00A027BD"/>
    <w:rsid w:val="00A1600B"/>
    <w:rsid w:val="00A214BA"/>
    <w:rsid w:val="00A24326"/>
    <w:rsid w:val="00A42C86"/>
    <w:rsid w:val="00A432BD"/>
    <w:rsid w:val="00A53619"/>
    <w:rsid w:val="00A550F7"/>
    <w:rsid w:val="00A61154"/>
    <w:rsid w:val="00A62330"/>
    <w:rsid w:val="00A66FCD"/>
    <w:rsid w:val="00A73519"/>
    <w:rsid w:val="00A81881"/>
    <w:rsid w:val="00A855F3"/>
    <w:rsid w:val="00AA3EEF"/>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3249"/>
    <w:rsid w:val="00B55989"/>
    <w:rsid w:val="00B725E4"/>
    <w:rsid w:val="00B80A47"/>
    <w:rsid w:val="00B85705"/>
    <w:rsid w:val="00BA077A"/>
    <w:rsid w:val="00BA46F3"/>
    <w:rsid w:val="00BC3C74"/>
    <w:rsid w:val="00BD33E4"/>
    <w:rsid w:val="00BE5358"/>
    <w:rsid w:val="00BE6DBD"/>
    <w:rsid w:val="00C00AF8"/>
    <w:rsid w:val="00C01B14"/>
    <w:rsid w:val="00C02D5F"/>
    <w:rsid w:val="00C12269"/>
    <w:rsid w:val="00C12862"/>
    <w:rsid w:val="00C36AD5"/>
    <w:rsid w:val="00C463F7"/>
    <w:rsid w:val="00C473E6"/>
    <w:rsid w:val="00C753ED"/>
    <w:rsid w:val="00C76D24"/>
    <w:rsid w:val="00C777F5"/>
    <w:rsid w:val="00C843E3"/>
    <w:rsid w:val="00C922DA"/>
    <w:rsid w:val="00CA15F8"/>
    <w:rsid w:val="00CA1FF1"/>
    <w:rsid w:val="00CA3446"/>
    <w:rsid w:val="00CA7751"/>
    <w:rsid w:val="00CB27A1"/>
    <w:rsid w:val="00CB2CD4"/>
    <w:rsid w:val="00CE60BD"/>
    <w:rsid w:val="00CF217B"/>
    <w:rsid w:val="00CF5242"/>
    <w:rsid w:val="00CF7F14"/>
    <w:rsid w:val="00D04D91"/>
    <w:rsid w:val="00D0631F"/>
    <w:rsid w:val="00D12251"/>
    <w:rsid w:val="00D15406"/>
    <w:rsid w:val="00D157C6"/>
    <w:rsid w:val="00D24559"/>
    <w:rsid w:val="00D252DD"/>
    <w:rsid w:val="00D2620F"/>
    <w:rsid w:val="00D41528"/>
    <w:rsid w:val="00D47400"/>
    <w:rsid w:val="00D47914"/>
    <w:rsid w:val="00D563AB"/>
    <w:rsid w:val="00D62914"/>
    <w:rsid w:val="00D63B3E"/>
    <w:rsid w:val="00D63DBA"/>
    <w:rsid w:val="00D80840"/>
    <w:rsid w:val="00D87E8D"/>
    <w:rsid w:val="00DB0129"/>
    <w:rsid w:val="00DB351B"/>
    <w:rsid w:val="00DB39D2"/>
    <w:rsid w:val="00DC42D6"/>
    <w:rsid w:val="00DD3909"/>
    <w:rsid w:val="00DD5419"/>
    <w:rsid w:val="00DD564F"/>
    <w:rsid w:val="00DE1F73"/>
    <w:rsid w:val="00DE3F4E"/>
    <w:rsid w:val="00DE6E85"/>
    <w:rsid w:val="00E1476F"/>
    <w:rsid w:val="00E23B33"/>
    <w:rsid w:val="00E40075"/>
    <w:rsid w:val="00E47714"/>
    <w:rsid w:val="00E5094D"/>
    <w:rsid w:val="00E5670C"/>
    <w:rsid w:val="00E60846"/>
    <w:rsid w:val="00E66D0E"/>
    <w:rsid w:val="00E70E3F"/>
    <w:rsid w:val="00E71A3F"/>
    <w:rsid w:val="00E858FB"/>
    <w:rsid w:val="00E90718"/>
    <w:rsid w:val="00EA1844"/>
    <w:rsid w:val="00EA26D7"/>
    <w:rsid w:val="00EA7B75"/>
    <w:rsid w:val="00EB3A1E"/>
    <w:rsid w:val="00EB5F55"/>
    <w:rsid w:val="00EB7EB5"/>
    <w:rsid w:val="00EC0E98"/>
    <w:rsid w:val="00EC44DC"/>
    <w:rsid w:val="00ED5170"/>
    <w:rsid w:val="00ED7876"/>
    <w:rsid w:val="00EE49FE"/>
    <w:rsid w:val="00EE4FFD"/>
    <w:rsid w:val="00EE512B"/>
    <w:rsid w:val="00EF0F4F"/>
    <w:rsid w:val="00EF4E03"/>
    <w:rsid w:val="00EF6BBD"/>
    <w:rsid w:val="00EF7E72"/>
    <w:rsid w:val="00F0445F"/>
    <w:rsid w:val="00F10E57"/>
    <w:rsid w:val="00F10FCA"/>
    <w:rsid w:val="00F20BC2"/>
    <w:rsid w:val="00F2422F"/>
    <w:rsid w:val="00F33B39"/>
    <w:rsid w:val="00F37DAB"/>
    <w:rsid w:val="00F46149"/>
    <w:rsid w:val="00F535BC"/>
    <w:rsid w:val="00F650FC"/>
    <w:rsid w:val="00F67957"/>
    <w:rsid w:val="00F71878"/>
    <w:rsid w:val="00F74057"/>
    <w:rsid w:val="00F8423F"/>
    <w:rsid w:val="00F87F65"/>
    <w:rsid w:val="00F906B6"/>
    <w:rsid w:val="00F933AE"/>
    <w:rsid w:val="00F962EB"/>
    <w:rsid w:val="00FA127C"/>
    <w:rsid w:val="00FA290E"/>
    <w:rsid w:val="00FA3D55"/>
    <w:rsid w:val="00FB4419"/>
    <w:rsid w:val="00FB4552"/>
    <w:rsid w:val="00FB5101"/>
    <w:rsid w:val="00FB7D9A"/>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5504">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85CA6-F848-4D40-B07B-226A34F7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3392</Words>
  <Characters>18659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17</cp:revision>
  <cp:lastPrinted>2017-03-07T20:26:00Z</cp:lastPrinted>
  <dcterms:created xsi:type="dcterms:W3CDTF">2016-07-20T14:05:00Z</dcterms:created>
  <dcterms:modified xsi:type="dcterms:W3CDTF">2017-03-07T20:26:00Z</dcterms:modified>
</cp:coreProperties>
</file>