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6E" w:rsidRPr="006F136E" w:rsidRDefault="00A77496" w:rsidP="006F136E">
      <w:pPr>
        <w:spacing w:after="0" w:line="360" w:lineRule="auto"/>
        <w:jc w:val="both"/>
        <w:rPr>
          <w:rFonts w:ascii="Arial" w:hAnsi="Arial" w:cs="Arial"/>
          <w:b/>
          <w:sz w:val="24"/>
          <w:szCs w:val="24"/>
        </w:rPr>
      </w:pPr>
      <w:r w:rsidRPr="002D3B94">
        <w:rPr>
          <w:rFonts w:ascii="Arial" w:hAnsi="Arial" w:cs="Arial"/>
          <w:b/>
          <w:sz w:val="24"/>
          <w:szCs w:val="24"/>
        </w:rPr>
        <w:t xml:space="preserve">                            </w:t>
      </w:r>
      <w:r w:rsidR="006F136E" w:rsidRPr="006F136E">
        <w:rPr>
          <w:rFonts w:ascii="Arial" w:hAnsi="Arial" w:cs="Arial"/>
          <w:b/>
          <w:sz w:val="24"/>
          <w:szCs w:val="24"/>
        </w:rPr>
        <w:t>HONORABLE ASAMBLEA:</w:t>
      </w:r>
    </w:p>
    <w:p w:rsidR="006F136E" w:rsidRPr="006F136E" w:rsidRDefault="006F136E" w:rsidP="006F136E">
      <w:pPr>
        <w:spacing w:after="0" w:line="360" w:lineRule="auto"/>
        <w:ind w:left="1843"/>
        <w:jc w:val="both"/>
        <w:rPr>
          <w:rFonts w:ascii="Arial" w:hAnsi="Arial" w:cs="Arial"/>
          <w:b/>
          <w:sz w:val="24"/>
          <w:szCs w:val="24"/>
        </w:rPr>
      </w:pPr>
    </w:p>
    <w:p w:rsidR="00FC4B11" w:rsidRPr="006F136E" w:rsidRDefault="006F136E" w:rsidP="006F136E">
      <w:pPr>
        <w:spacing w:after="200" w:line="360" w:lineRule="auto"/>
        <w:ind w:left="1843"/>
        <w:jc w:val="both"/>
        <w:rPr>
          <w:rFonts w:ascii="Arial" w:hAnsi="Arial" w:cs="Arial"/>
          <w:b/>
          <w:sz w:val="24"/>
          <w:szCs w:val="20"/>
        </w:rPr>
      </w:pPr>
      <w:r w:rsidRPr="006F136E">
        <w:rPr>
          <w:rFonts w:ascii="Arial" w:hAnsi="Arial" w:cs="Arial"/>
          <w:sz w:val="24"/>
          <w:szCs w:val="24"/>
        </w:rPr>
        <w:t xml:space="preserve">A la </w:t>
      </w:r>
      <w:r w:rsidRPr="006F136E">
        <w:rPr>
          <w:rFonts w:ascii="Arial" w:hAnsi="Arial" w:cs="Arial"/>
          <w:b/>
          <w:sz w:val="24"/>
          <w:szCs w:val="24"/>
        </w:rPr>
        <w:t>Comisión de Legislación y Puntos Constitucionales</w:t>
      </w:r>
      <w:r w:rsidRPr="006F136E">
        <w:rPr>
          <w:rFonts w:ascii="Arial" w:hAnsi="Arial" w:cs="Arial"/>
          <w:sz w:val="24"/>
          <w:szCs w:val="24"/>
        </w:rPr>
        <w:t xml:space="preserve"> le fue turnado en fecha 28 de </w:t>
      </w:r>
      <w:r>
        <w:rPr>
          <w:rFonts w:ascii="Arial" w:hAnsi="Arial" w:cs="Arial"/>
          <w:sz w:val="24"/>
          <w:szCs w:val="24"/>
        </w:rPr>
        <w:t>o</w:t>
      </w:r>
      <w:r w:rsidRPr="006F136E">
        <w:rPr>
          <w:rFonts w:ascii="Arial" w:hAnsi="Arial" w:cs="Arial"/>
          <w:sz w:val="24"/>
          <w:szCs w:val="24"/>
        </w:rPr>
        <w:t xml:space="preserve">ctubre de 2013, para su estudio y dictamen, el expediente número </w:t>
      </w:r>
      <w:r w:rsidRPr="006F136E">
        <w:rPr>
          <w:rFonts w:ascii="Arial" w:hAnsi="Arial" w:cs="Arial"/>
          <w:b/>
          <w:sz w:val="24"/>
          <w:szCs w:val="24"/>
        </w:rPr>
        <w:t>8342/LXXIII</w:t>
      </w:r>
      <w:r w:rsidRPr="006F136E">
        <w:rPr>
          <w:rFonts w:ascii="Arial" w:hAnsi="Arial" w:cs="Arial"/>
          <w:sz w:val="24"/>
          <w:szCs w:val="24"/>
        </w:rPr>
        <w:t xml:space="preserve">, que contiene escrito signado por el C. Erick Godar Ureña Frausto Diputado de la LXXIII Legislatura, mediante el cual presenta </w:t>
      </w:r>
      <w:r w:rsidRPr="006F136E">
        <w:rPr>
          <w:rFonts w:ascii="Arial" w:hAnsi="Arial" w:cs="Arial"/>
          <w:b/>
          <w:sz w:val="24"/>
          <w:szCs w:val="20"/>
        </w:rPr>
        <w:t xml:space="preserve">Iniciativa de reforma al artículo 36 de la Ley </w:t>
      </w:r>
      <w:r w:rsidR="008678B9">
        <w:rPr>
          <w:rFonts w:ascii="Arial" w:hAnsi="Arial" w:cs="Arial"/>
          <w:b/>
          <w:sz w:val="24"/>
          <w:szCs w:val="20"/>
        </w:rPr>
        <w:t>de Acceso de las Mujeres a una Vida Libre de V</w:t>
      </w:r>
      <w:r w:rsidRPr="006F136E">
        <w:rPr>
          <w:rFonts w:ascii="Arial" w:hAnsi="Arial" w:cs="Arial"/>
          <w:b/>
          <w:sz w:val="24"/>
          <w:szCs w:val="20"/>
        </w:rPr>
        <w:t xml:space="preserve">iolencia. </w:t>
      </w:r>
    </w:p>
    <w:p w:rsidR="00FC4B11" w:rsidRPr="008F7FF8" w:rsidRDefault="00FC4B11" w:rsidP="002D3B94">
      <w:pPr>
        <w:tabs>
          <w:tab w:val="left" w:pos="1134"/>
        </w:tabs>
        <w:spacing w:after="0" w:line="360" w:lineRule="auto"/>
        <w:ind w:left="1843"/>
        <w:jc w:val="both"/>
        <w:rPr>
          <w:rFonts w:ascii="Arial" w:hAnsi="Arial" w:cs="Arial"/>
          <w:sz w:val="24"/>
          <w:szCs w:val="24"/>
        </w:rPr>
      </w:pPr>
      <w:r w:rsidRPr="008F7FF8">
        <w:rPr>
          <w:rFonts w:ascii="Arial" w:hAnsi="Arial" w:cs="Arial"/>
          <w:sz w:val="24"/>
          <w:szCs w:val="24"/>
        </w:rPr>
        <w:tab/>
      </w:r>
      <w:r w:rsidRPr="008F7FF8">
        <w:rPr>
          <w:rFonts w:ascii="Arial" w:hAnsi="Arial" w:cs="Arial"/>
          <w:sz w:val="24"/>
          <w:szCs w:val="24"/>
        </w:rPr>
        <w:tab/>
        <w:t>Con el fin de ver proveído el requisito fundamenta</w:t>
      </w:r>
      <w:r w:rsidR="00D82CF6" w:rsidRPr="008F7FF8">
        <w:rPr>
          <w:rFonts w:ascii="Arial" w:hAnsi="Arial" w:cs="Arial"/>
          <w:sz w:val="24"/>
          <w:szCs w:val="24"/>
        </w:rPr>
        <w:t xml:space="preserve">l de dar vista al contenido de la presente iniciativa </w:t>
      </w:r>
      <w:r w:rsidRPr="008F7FF8">
        <w:rPr>
          <w:rFonts w:ascii="Arial" w:hAnsi="Arial" w:cs="Arial"/>
          <w:sz w:val="24"/>
          <w:szCs w:val="24"/>
        </w:rPr>
        <w:t xml:space="preserve">y de conformidad con lo establecido en el artículo 47 inciso b) del Reglamento para el Gobierno Interior del Congreso del Estado de Nuevo León, quienes integramos la </w:t>
      </w:r>
      <w:r w:rsidRPr="008F7FF8">
        <w:rPr>
          <w:rFonts w:ascii="Arial" w:hAnsi="Arial" w:cs="Arial"/>
          <w:b/>
          <w:sz w:val="24"/>
          <w:szCs w:val="24"/>
        </w:rPr>
        <w:t>Comisión de Legislación y Puntos Constitucionales</w:t>
      </w:r>
      <w:r w:rsidRPr="008F7FF8">
        <w:rPr>
          <w:rFonts w:ascii="Arial" w:hAnsi="Arial" w:cs="Arial"/>
          <w:sz w:val="24"/>
          <w:szCs w:val="24"/>
        </w:rPr>
        <w:t xml:space="preserve">, consignamos ante este Pleno los siguientes: </w:t>
      </w:r>
    </w:p>
    <w:p w:rsidR="002D3B94" w:rsidRPr="002D3B94" w:rsidRDefault="00FC4B11" w:rsidP="002D3B94">
      <w:pPr>
        <w:tabs>
          <w:tab w:val="left" w:pos="1134"/>
        </w:tabs>
        <w:spacing w:before="240" w:after="0" w:line="360" w:lineRule="auto"/>
        <w:ind w:left="1843" w:right="530"/>
        <w:jc w:val="both"/>
        <w:rPr>
          <w:rFonts w:ascii="Arial" w:hAnsi="Arial" w:cs="Arial"/>
          <w:b/>
          <w:bCs/>
          <w:sz w:val="24"/>
          <w:szCs w:val="24"/>
        </w:rPr>
      </w:pPr>
      <w:r w:rsidRPr="008F7FF8">
        <w:rPr>
          <w:rFonts w:ascii="Arial" w:hAnsi="Arial" w:cs="Arial"/>
          <w:b/>
          <w:bCs/>
          <w:sz w:val="24"/>
          <w:szCs w:val="24"/>
        </w:rPr>
        <w:t>ANTECEDENTES</w:t>
      </w:r>
    </w:p>
    <w:p w:rsidR="00A063E5" w:rsidRPr="00A063E5" w:rsidRDefault="00FC4B11" w:rsidP="00A063E5">
      <w:pPr>
        <w:tabs>
          <w:tab w:val="left" w:pos="1134"/>
        </w:tabs>
        <w:spacing w:before="240" w:after="0" w:line="360" w:lineRule="auto"/>
        <w:ind w:left="1843"/>
        <w:jc w:val="both"/>
        <w:rPr>
          <w:rFonts w:ascii="Arial" w:hAnsi="Arial" w:cs="Arial"/>
          <w:bCs/>
          <w:sz w:val="24"/>
          <w:szCs w:val="24"/>
        </w:rPr>
      </w:pPr>
      <w:r w:rsidRPr="002D3B94">
        <w:rPr>
          <w:rFonts w:ascii="Arial" w:hAnsi="Arial" w:cs="Arial"/>
          <w:bCs/>
          <w:sz w:val="24"/>
          <w:szCs w:val="24"/>
        </w:rPr>
        <w:tab/>
      </w:r>
      <w:r w:rsidRPr="002D3B94">
        <w:rPr>
          <w:rFonts w:ascii="Arial" w:hAnsi="Arial" w:cs="Arial"/>
          <w:bCs/>
          <w:sz w:val="24"/>
          <w:szCs w:val="24"/>
        </w:rPr>
        <w:tab/>
      </w:r>
      <w:r w:rsidR="00A063E5" w:rsidRPr="00A063E5">
        <w:rPr>
          <w:rFonts w:ascii="Arial" w:hAnsi="Arial" w:cs="Arial"/>
          <w:bCs/>
          <w:sz w:val="24"/>
          <w:szCs w:val="24"/>
        </w:rPr>
        <w:t xml:space="preserve">Expone el promovente que, la violencia de género se identifica como aquella que se ejerce contra las mujeres por razón de sexo, como consecuencia de su tradicional situación de sometimiento a los hombres en las sociedades de estructura patriarcal y se pasa a los actos que infligen daños o sufrimiento de índole física, mental o sexual. </w:t>
      </w:r>
    </w:p>
    <w:p w:rsidR="00A063E5" w:rsidRPr="00A063E5" w:rsidRDefault="00A063E5" w:rsidP="00A063E5">
      <w:pPr>
        <w:tabs>
          <w:tab w:val="left" w:pos="1134"/>
        </w:tabs>
        <w:spacing w:before="240" w:after="0" w:line="360" w:lineRule="auto"/>
        <w:ind w:left="1843"/>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sidRPr="00A063E5">
        <w:rPr>
          <w:rFonts w:ascii="Arial" w:hAnsi="Arial" w:cs="Arial"/>
          <w:bCs/>
          <w:sz w:val="24"/>
          <w:szCs w:val="24"/>
        </w:rPr>
        <w:t xml:space="preserve">Refiere, que la Convención Interamericana para Prevenir, Sancionar y Erradicar la Violencia contra las Mujeres, de Belén do Pará, representa un gran avance en materia de derechos humanos de las mujeres a nivel Internacional, la cual define a la violencia en su artículo </w:t>
      </w:r>
      <w:r w:rsidRPr="00A063E5">
        <w:rPr>
          <w:rFonts w:ascii="Arial" w:hAnsi="Arial" w:cs="Arial"/>
          <w:bCs/>
          <w:sz w:val="24"/>
          <w:szCs w:val="24"/>
        </w:rPr>
        <w:lastRenderedPageBreak/>
        <w:t>1 como: “… cualquier acción o conducta, basada en su origen que cause muerte, daño o sufrimiento físico, sexual o psicológico a la mujer, tanto en el ámbito público como privado”. La citada Convención condena todas las formas de violencia contra la mujer; proporcionando que los Estados Parte, efectúen políticas orientadas a prevenir y sancionar la violencia contra las mujeres, el Estado Mexicano ha ratificado diversas convenciones con el propósito de erradicar la violencia que vive la mujer.</w:t>
      </w:r>
    </w:p>
    <w:p w:rsidR="00A063E5" w:rsidRPr="00A063E5" w:rsidRDefault="00A063E5" w:rsidP="00A063E5">
      <w:pPr>
        <w:tabs>
          <w:tab w:val="left" w:pos="1134"/>
        </w:tabs>
        <w:spacing w:before="240" w:after="0" w:line="360" w:lineRule="auto"/>
        <w:ind w:left="1843"/>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sidRPr="00A063E5">
        <w:rPr>
          <w:rFonts w:ascii="Arial" w:hAnsi="Arial" w:cs="Arial"/>
          <w:bCs/>
          <w:sz w:val="24"/>
          <w:szCs w:val="24"/>
        </w:rPr>
        <w:t xml:space="preserve">Añade también, que la discriminación, la violencia y las amenazas de violencia contra las mujeres tiene grandes repercusiones en la salud, la libertad, la seguridad y la vida, las cuales son una clara violación a los derechos humanos que demeritan el desarrollo de las comunidades, abandonándole aun la cultura patriarcal o machista que ha permanecido por varios años en las familias. </w:t>
      </w:r>
    </w:p>
    <w:p w:rsidR="00A063E5" w:rsidRPr="00A063E5" w:rsidRDefault="00A063E5" w:rsidP="00A063E5">
      <w:pPr>
        <w:tabs>
          <w:tab w:val="left" w:pos="1134"/>
        </w:tabs>
        <w:spacing w:before="240" w:after="0" w:line="360" w:lineRule="auto"/>
        <w:ind w:left="1843"/>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sidRPr="00A063E5">
        <w:rPr>
          <w:rFonts w:ascii="Arial" w:hAnsi="Arial" w:cs="Arial"/>
          <w:bCs/>
          <w:sz w:val="24"/>
          <w:szCs w:val="24"/>
        </w:rPr>
        <w:t xml:space="preserve">Expresa el promovente que, los asesinatos de las mujeres en nuestro país se han identificado como una de las manifestaciones más extremas de violencia, este fenómeno o forma de violencia que en distintas ocasiones ha sido de manera sistemática, los cuales solo se ha identificado por el trabajo de familiares de las víctimas, organizaciones de mujeres, feministas y derechos humanos. </w:t>
      </w:r>
    </w:p>
    <w:p w:rsidR="00A063E5" w:rsidRPr="00A063E5" w:rsidRDefault="00A063E5" w:rsidP="00A063E5">
      <w:pPr>
        <w:tabs>
          <w:tab w:val="left" w:pos="1134"/>
        </w:tabs>
        <w:spacing w:before="240" w:after="0" w:line="360" w:lineRule="auto"/>
        <w:ind w:left="1843"/>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sidRPr="00A063E5">
        <w:rPr>
          <w:rFonts w:ascii="Arial" w:hAnsi="Arial" w:cs="Arial"/>
          <w:bCs/>
          <w:sz w:val="24"/>
          <w:szCs w:val="24"/>
        </w:rPr>
        <w:t xml:space="preserve">Adiciona también que, la actuación de organismos internacionales de derechos humanos como la Corte Interamericana de Derechos Humanos, ha pronunciado un informe sobre la situación de derechos de las mujeres en Ciudad Juárez; el derecho a no ser Objeto </w:t>
      </w:r>
      <w:r w:rsidRPr="00A063E5">
        <w:rPr>
          <w:rFonts w:ascii="Arial" w:hAnsi="Arial" w:cs="Arial"/>
          <w:bCs/>
          <w:sz w:val="24"/>
          <w:szCs w:val="24"/>
        </w:rPr>
        <w:lastRenderedPageBreak/>
        <w:t>de Violencia y Discriminación, ha sido importante para visibilizar el problema en México y en toda la región de América.</w:t>
      </w:r>
    </w:p>
    <w:p w:rsidR="00A063E5" w:rsidRPr="00A063E5" w:rsidRDefault="00A063E5" w:rsidP="00A063E5">
      <w:pPr>
        <w:tabs>
          <w:tab w:val="left" w:pos="1134"/>
        </w:tabs>
        <w:spacing w:before="240" w:after="0" w:line="360" w:lineRule="auto"/>
        <w:ind w:left="1843"/>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sidRPr="00A063E5">
        <w:rPr>
          <w:rFonts w:ascii="Arial" w:hAnsi="Arial" w:cs="Arial"/>
          <w:bCs/>
          <w:sz w:val="24"/>
          <w:szCs w:val="24"/>
        </w:rPr>
        <w:t xml:space="preserve">Alude el promovente, que en el Estado de Nuevo León se realizó un gran esfuerzo el 28 de mayo del 2013 se aprobó el delito de feminicidio, el cual fue aprobado por el Ejecutivo del Estado y ordenando su publicación en el Periódico Oficial del Estado el día 26 de junio de 2013, el cuanto entró en vigor al día siguiente de su publicación, y se encuentra establecido en el artículo 331 Bis del Código Penal para el Estado. </w:t>
      </w:r>
    </w:p>
    <w:p w:rsidR="00A063E5" w:rsidRPr="002D3B94" w:rsidRDefault="00A063E5" w:rsidP="00A063E5">
      <w:pPr>
        <w:tabs>
          <w:tab w:val="left" w:pos="1134"/>
        </w:tabs>
        <w:spacing w:before="240" w:line="360" w:lineRule="auto"/>
        <w:ind w:left="1843"/>
        <w:jc w:val="both"/>
        <w:rPr>
          <w:rFonts w:ascii="Arial" w:hAnsi="Arial" w:cs="Arial"/>
          <w:bCs/>
          <w:sz w:val="24"/>
          <w:szCs w:val="24"/>
          <w:lang w:val="es-ES"/>
        </w:rPr>
      </w:pPr>
      <w:r>
        <w:rPr>
          <w:rFonts w:ascii="Arial" w:hAnsi="Arial" w:cs="Arial"/>
          <w:bCs/>
          <w:sz w:val="24"/>
          <w:szCs w:val="24"/>
        </w:rPr>
        <w:tab/>
      </w:r>
      <w:r>
        <w:rPr>
          <w:rFonts w:ascii="Arial" w:hAnsi="Arial" w:cs="Arial"/>
          <w:bCs/>
          <w:sz w:val="24"/>
          <w:szCs w:val="24"/>
        </w:rPr>
        <w:tab/>
      </w:r>
      <w:r w:rsidRPr="00A063E5">
        <w:rPr>
          <w:rFonts w:ascii="Arial" w:hAnsi="Arial" w:cs="Arial"/>
          <w:bCs/>
          <w:sz w:val="24"/>
          <w:szCs w:val="24"/>
        </w:rPr>
        <w:t>Concluye mencionando, que estos esfuerzos no han sido suficientes ya que según registros hemerográficos del año 2000 al 2008 hubo un promedio de 23 mujeres asesinadas al año; en el 2009 aumentó a 40, en el 2010 a 74, y en 2011 fueron asesinadas 211 mujeres en el Estado, aumentando en 298 por ciento los crímenes respecto del año anterior. En el año 2012 se registraron 140 casos.</w:t>
      </w:r>
    </w:p>
    <w:p w:rsidR="00FC4B11" w:rsidRPr="002D3B94" w:rsidRDefault="00FC4B11" w:rsidP="00A063E5">
      <w:pPr>
        <w:tabs>
          <w:tab w:val="left" w:pos="1134"/>
        </w:tabs>
        <w:spacing w:line="360" w:lineRule="auto"/>
        <w:ind w:left="1843"/>
        <w:jc w:val="both"/>
        <w:rPr>
          <w:rFonts w:ascii="Arial" w:hAnsi="Arial" w:cs="Arial"/>
          <w:bCs/>
          <w:sz w:val="24"/>
          <w:szCs w:val="24"/>
        </w:rPr>
      </w:pPr>
      <w:r w:rsidRPr="002D3B94">
        <w:rPr>
          <w:rFonts w:ascii="Arial" w:hAnsi="Arial" w:cs="Arial"/>
          <w:sz w:val="24"/>
          <w:szCs w:val="24"/>
        </w:rPr>
        <w:tab/>
      </w:r>
      <w:r w:rsidRPr="002D3B94">
        <w:rPr>
          <w:rFonts w:ascii="Arial" w:hAnsi="Arial" w:cs="Arial"/>
          <w:sz w:val="24"/>
          <w:szCs w:val="24"/>
        </w:rPr>
        <w:tab/>
        <w:t>Una vez analizada la solicitud de mérito y con fundamento en el artículo 47 inciso c) del Reglamento para el Gobierno Interior del Congreso del Estado de Nuevo León, hacemos de su conocimiento las siguientes.</w:t>
      </w:r>
    </w:p>
    <w:p w:rsidR="00FC4B11" w:rsidRPr="002D3B94" w:rsidRDefault="00FC4B11" w:rsidP="00FC4B11">
      <w:pPr>
        <w:tabs>
          <w:tab w:val="left" w:pos="1134"/>
        </w:tabs>
        <w:spacing w:after="0" w:line="360" w:lineRule="auto"/>
        <w:ind w:left="1843"/>
        <w:jc w:val="both"/>
        <w:rPr>
          <w:rFonts w:ascii="Arial" w:hAnsi="Arial" w:cs="Arial"/>
          <w:bCs/>
          <w:sz w:val="24"/>
          <w:szCs w:val="24"/>
        </w:rPr>
      </w:pPr>
    </w:p>
    <w:p w:rsidR="00FC4B11" w:rsidRPr="002D3B94" w:rsidRDefault="00FC4B11" w:rsidP="00FC4B11">
      <w:pPr>
        <w:tabs>
          <w:tab w:val="left" w:pos="1134"/>
        </w:tabs>
        <w:spacing w:after="0" w:line="360" w:lineRule="auto"/>
        <w:ind w:left="1843" w:right="141"/>
        <w:jc w:val="both"/>
        <w:rPr>
          <w:rFonts w:ascii="Arial" w:hAnsi="Arial" w:cs="Arial"/>
          <w:b/>
          <w:bCs/>
          <w:sz w:val="24"/>
          <w:szCs w:val="24"/>
        </w:rPr>
      </w:pPr>
      <w:r w:rsidRPr="002D3B94">
        <w:rPr>
          <w:rFonts w:ascii="Arial" w:hAnsi="Arial" w:cs="Arial"/>
          <w:b/>
          <w:bCs/>
          <w:sz w:val="24"/>
          <w:szCs w:val="24"/>
        </w:rPr>
        <w:t xml:space="preserve">CONSIDERACIONES </w:t>
      </w:r>
    </w:p>
    <w:p w:rsidR="005C6876" w:rsidRPr="002D3B94" w:rsidRDefault="005C6876" w:rsidP="00FC4B11">
      <w:pPr>
        <w:ind w:left="1843"/>
        <w:rPr>
          <w:rFonts w:ascii="Arial" w:hAnsi="Arial" w:cs="Arial"/>
          <w:sz w:val="24"/>
          <w:szCs w:val="24"/>
        </w:rPr>
      </w:pPr>
    </w:p>
    <w:p w:rsidR="00C0042D" w:rsidRPr="002D3B94" w:rsidRDefault="00995F21" w:rsidP="00532162">
      <w:pPr>
        <w:spacing w:line="360" w:lineRule="auto"/>
        <w:ind w:left="1843" w:firstLine="708"/>
        <w:jc w:val="both"/>
        <w:rPr>
          <w:rFonts w:ascii="Arial" w:hAnsi="Arial" w:cs="Arial"/>
          <w:sz w:val="24"/>
          <w:szCs w:val="24"/>
        </w:rPr>
      </w:pPr>
      <w:r w:rsidRPr="002D3B94">
        <w:rPr>
          <w:rFonts w:ascii="Arial" w:hAnsi="Arial" w:cs="Arial"/>
          <w:sz w:val="24"/>
          <w:szCs w:val="24"/>
        </w:rPr>
        <w:tab/>
        <w:t xml:space="preserve">La competencia que le resulta a esta Comisión de Legislación y Puntos Constitucionales para conocer del </w:t>
      </w:r>
      <w:r w:rsidR="0041450D" w:rsidRPr="002D3B94">
        <w:rPr>
          <w:rFonts w:ascii="Arial" w:hAnsi="Arial" w:cs="Arial"/>
          <w:sz w:val="24"/>
          <w:szCs w:val="24"/>
        </w:rPr>
        <w:t>presente asunto</w:t>
      </w:r>
      <w:r w:rsidRPr="002D3B94">
        <w:rPr>
          <w:rFonts w:ascii="Arial" w:hAnsi="Arial" w:cs="Arial"/>
          <w:sz w:val="24"/>
          <w:szCs w:val="24"/>
        </w:rPr>
        <w:t xml:space="preserve">, se </w:t>
      </w:r>
      <w:r w:rsidRPr="002D3B94">
        <w:rPr>
          <w:rFonts w:ascii="Arial" w:hAnsi="Arial" w:cs="Arial"/>
          <w:sz w:val="24"/>
          <w:szCs w:val="24"/>
        </w:rPr>
        <w:lastRenderedPageBreak/>
        <w:t>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rsidR="00886FDF" w:rsidRDefault="009F332C" w:rsidP="00B153BD">
      <w:pPr>
        <w:spacing w:line="360" w:lineRule="auto"/>
        <w:ind w:left="1843" w:firstLine="708"/>
        <w:jc w:val="both"/>
        <w:rPr>
          <w:rFonts w:ascii="Arial" w:hAnsi="Arial" w:cs="Arial"/>
          <w:sz w:val="24"/>
          <w:szCs w:val="24"/>
        </w:rPr>
      </w:pPr>
      <w:r w:rsidRPr="002D3B94">
        <w:rPr>
          <w:rFonts w:ascii="Arial" w:hAnsi="Arial" w:cs="Arial"/>
          <w:sz w:val="24"/>
          <w:szCs w:val="24"/>
        </w:rPr>
        <w:t>Al entrar al estudio del presente asunto</w:t>
      </w:r>
      <w:r w:rsidR="00AC4649" w:rsidRPr="002D3B94">
        <w:rPr>
          <w:rFonts w:ascii="Arial" w:hAnsi="Arial" w:cs="Arial"/>
          <w:sz w:val="24"/>
          <w:szCs w:val="24"/>
        </w:rPr>
        <w:t>,</w:t>
      </w:r>
      <w:r w:rsidRPr="002D3B94">
        <w:rPr>
          <w:rFonts w:ascii="Arial" w:hAnsi="Arial" w:cs="Arial"/>
          <w:sz w:val="24"/>
          <w:szCs w:val="24"/>
        </w:rPr>
        <w:t xml:space="preserve"> reconocemos que </w:t>
      </w:r>
      <w:r w:rsidR="00532162" w:rsidRPr="002D3B94">
        <w:rPr>
          <w:rFonts w:ascii="Arial" w:hAnsi="Arial" w:cs="Arial"/>
          <w:sz w:val="24"/>
          <w:szCs w:val="24"/>
        </w:rPr>
        <w:t>la intención del promovente es</w:t>
      </w:r>
      <w:r w:rsidR="00667D3F" w:rsidRPr="002D3B94">
        <w:rPr>
          <w:rFonts w:ascii="Arial" w:hAnsi="Arial" w:cs="Arial"/>
          <w:sz w:val="24"/>
          <w:szCs w:val="24"/>
        </w:rPr>
        <w:t xml:space="preserve"> </w:t>
      </w:r>
      <w:r w:rsidR="00DB64F3">
        <w:rPr>
          <w:rFonts w:ascii="Arial" w:hAnsi="Arial" w:cs="Arial"/>
          <w:sz w:val="24"/>
          <w:szCs w:val="24"/>
        </w:rPr>
        <w:t>modificar la Ley de Acceso de las Mujeres a una Vida Libre de Violenc</w:t>
      </w:r>
      <w:r w:rsidR="00B153BD">
        <w:rPr>
          <w:rFonts w:ascii="Arial" w:hAnsi="Arial" w:cs="Arial"/>
          <w:sz w:val="24"/>
          <w:szCs w:val="24"/>
        </w:rPr>
        <w:t>ia para el Estado de Nuevo León, con el objeto de adicionar algunas obligaciones a la Procuraduría General de Justicia del Estado de Nuevo León en beneficio y protección de las mujeres.</w:t>
      </w:r>
    </w:p>
    <w:p w:rsidR="00B153BD" w:rsidRDefault="001458D5" w:rsidP="00B153BD">
      <w:pPr>
        <w:spacing w:line="360" w:lineRule="auto"/>
        <w:ind w:left="1843" w:firstLine="708"/>
        <w:jc w:val="both"/>
        <w:rPr>
          <w:rFonts w:ascii="Arial" w:hAnsi="Arial" w:cs="Arial"/>
          <w:sz w:val="24"/>
          <w:szCs w:val="24"/>
        </w:rPr>
      </w:pPr>
      <w:r>
        <w:rPr>
          <w:rFonts w:ascii="Arial" w:hAnsi="Arial" w:cs="Arial"/>
          <w:sz w:val="24"/>
          <w:szCs w:val="24"/>
        </w:rPr>
        <w:t>En consecuencia resulta</w:t>
      </w:r>
      <w:r w:rsidR="00B153BD">
        <w:rPr>
          <w:rFonts w:ascii="Arial" w:hAnsi="Arial" w:cs="Arial"/>
          <w:sz w:val="24"/>
          <w:szCs w:val="24"/>
        </w:rPr>
        <w:t xml:space="preserve"> </w:t>
      </w:r>
      <w:r>
        <w:rPr>
          <w:rFonts w:ascii="Arial" w:hAnsi="Arial" w:cs="Arial"/>
          <w:sz w:val="24"/>
          <w:szCs w:val="24"/>
        </w:rPr>
        <w:t xml:space="preserve">importante </w:t>
      </w:r>
      <w:r w:rsidR="00B153BD">
        <w:rPr>
          <w:rFonts w:ascii="Arial" w:hAnsi="Arial" w:cs="Arial"/>
          <w:sz w:val="24"/>
          <w:szCs w:val="24"/>
        </w:rPr>
        <w:t xml:space="preserve">mencionar que esta </w:t>
      </w:r>
      <w:r w:rsidR="00395851">
        <w:rPr>
          <w:rFonts w:ascii="Arial" w:hAnsi="Arial" w:cs="Arial"/>
          <w:sz w:val="24"/>
          <w:szCs w:val="24"/>
        </w:rPr>
        <w:t>Comisión</w:t>
      </w:r>
      <w:r w:rsidR="00B153BD">
        <w:rPr>
          <w:rFonts w:ascii="Arial" w:hAnsi="Arial" w:cs="Arial"/>
          <w:sz w:val="24"/>
          <w:szCs w:val="24"/>
        </w:rPr>
        <w:t xml:space="preserve"> de </w:t>
      </w:r>
      <w:r w:rsidR="00395851">
        <w:rPr>
          <w:rFonts w:ascii="Arial" w:hAnsi="Arial" w:cs="Arial"/>
          <w:sz w:val="24"/>
          <w:szCs w:val="24"/>
        </w:rPr>
        <w:t>Legislación</w:t>
      </w:r>
      <w:r w:rsidR="00B153BD">
        <w:rPr>
          <w:rFonts w:ascii="Arial" w:hAnsi="Arial" w:cs="Arial"/>
          <w:sz w:val="24"/>
          <w:szCs w:val="24"/>
        </w:rPr>
        <w:t xml:space="preserve"> y Puntos </w:t>
      </w:r>
      <w:r w:rsidR="00395851">
        <w:rPr>
          <w:rFonts w:ascii="Arial" w:hAnsi="Arial" w:cs="Arial"/>
          <w:sz w:val="24"/>
          <w:szCs w:val="24"/>
        </w:rPr>
        <w:t>Constitucionales</w:t>
      </w:r>
      <w:r w:rsidR="00B153BD">
        <w:rPr>
          <w:rFonts w:ascii="Arial" w:hAnsi="Arial" w:cs="Arial"/>
          <w:sz w:val="24"/>
          <w:szCs w:val="24"/>
        </w:rPr>
        <w:t xml:space="preserve"> </w:t>
      </w:r>
      <w:r w:rsidR="00183EB4">
        <w:rPr>
          <w:rFonts w:ascii="Arial" w:hAnsi="Arial" w:cs="Arial"/>
          <w:sz w:val="24"/>
          <w:szCs w:val="24"/>
        </w:rPr>
        <w:t>protege constantemente</w:t>
      </w:r>
      <w:r w:rsidR="00A33269">
        <w:rPr>
          <w:rFonts w:ascii="Arial" w:hAnsi="Arial" w:cs="Arial"/>
          <w:sz w:val="24"/>
          <w:szCs w:val="24"/>
        </w:rPr>
        <w:t xml:space="preserve"> los derechos de las</w:t>
      </w:r>
      <w:r w:rsidR="00395851">
        <w:rPr>
          <w:rFonts w:ascii="Arial" w:hAnsi="Arial" w:cs="Arial"/>
          <w:sz w:val="24"/>
          <w:szCs w:val="24"/>
        </w:rPr>
        <w:t xml:space="preserve"> mujeres,</w:t>
      </w:r>
      <w:r w:rsidR="0037117A">
        <w:rPr>
          <w:rFonts w:ascii="Arial" w:hAnsi="Arial" w:cs="Arial"/>
          <w:sz w:val="24"/>
          <w:szCs w:val="24"/>
        </w:rPr>
        <w:t xml:space="preserve"> y por tal motivo utiliza</w:t>
      </w:r>
      <w:r w:rsidR="00395851">
        <w:rPr>
          <w:rFonts w:ascii="Arial" w:hAnsi="Arial" w:cs="Arial"/>
          <w:sz w:val="24"/>
          <w:szCs w:val="24"/>
        </w:rPr>
        <w:t xml:space="preserve"> todas las herramientas legislativas a </w:t>
      </w:r>
      <w:r w:rsidR="00A33269">
        <w:rPr>
          <w:rFonts w:ascii="Arial" w:hAnsi="Arial" w:cs="Arial"/>
          <w:sz w:val="24"/>
          <w:szCs w:val="24"/>
        </w:rPr>
        <w:t>su alcance para potencializar</w:t>
      </w:r>
      <w:r w:rsidR="00437768">
        <w:rPr>
          <w:rFonts w:ascii="Arial" w:hAnsi="Arial" w:cs="Arial"/>
          <w:sz w:val="24"/>
          <w:szCs w:val="24"/>
        </w:rPr>
        <w:t xml:space="preserve"> </w:t>
      </w:r>
      <w:r w:rsidR="00395851">
        <w:rPr>
          <w:rFonts w:ascii="Arial" w:hAnsi="Arial" w:cs="Arial"/>
          <w:sz w:val="24"/>
          <w:szCs w:val="24"/>
        </w:rPr>
        <w:t>una vida libre de violencia</w:t>
      </w:r>
      <w:r w:rsidR="0037117A">
        <w:rPr>
          <w:rFonts w:ascii="Arial" w:hAnsi="Arial" w:cs="Arial"/>
          <w:sz w:val="24"/>
          <w:szCs w:val="24"/>
        </w:rPr>
        <w:t>.</w:t>
      </w:r>
      <w:r w:rsidR="00395851">
        <w:rPr>
          <w:rFonts w:ascii="Arial" w:hAnsi="Arial" w:cs="Arial"/>
          <w:sz w:val="24"/>
          <w:szCs w:val="24"/>
        </w:rPr>
        <w:t xml:space="preserve"> </w:t>
      </w:r>
    </w:p>
    <w:p w:rsidR="00B153BD" w:rsidRDefault="00C902C6" w:rsidP="00B153BD">
      <w:pPr>
        <w:spacing w:line="360" w:lineRule="auto"/>
        <w:ind w:left="1843" w:firstLine="708"/>
        <w:jc w:val="both"/>
        <w:rPr>
          <w:rFonts w:ascii="Arial" w:hAnsi="Arial" w:cs="Arial"/>
          <w:sz w:val="24"/>
          <w:szCs w:val="24"/>
        </w:rPr>
      </w:pPr>
      <w:r>
        <w:rPr>
          <w:rFonts w:ascii="Arial" w:hAnsi="Arial" w:cs="Arial"/>
          <w:sz w:val="24"/>
          <w:szCs w:val="24"/>
        </w:rPr>
        <w:t>Una vez realizado</w:t>
      </w:r>
      <w:r w:rsidR="000A6FC3">
        <w:rPr>
          <w:rFonts w:ascii="Arial" w:hAnsi="Arial" w:cs="Arial"/>
          <w:sz w:val="24"/>
          <w:szCs w:val="24"/>
        </w:rPr>
        <w:t xml:space="preserve"> el </w:t>
      </w:r>
      <w:r>
        <w:rPr>
          <w:rFonts w:ascii="Arial" w:hAnsi="Arial" w:cs="Arial"/>
          <w:sz w:val="24"/>
          <w:szCs w:val="24"/>
        </w:rPr>
        <w:t>análisis</w:t>
      </w:r>
      <w:r w:rsidR="000F18DA">
        <w:rPr>
          <w:rFonts w:ascii="Arial" w:hAnsi="Arial" w:cs="Arial"/>
          <w:sz w:val="24"/>
          <w:szCs w:val="24"/>
        </w:rPr>
        <w:t xml:space="preserve"> de la reforma en cuestión</w:t>
      </w:r>
      <w:r w:rsidR="00AA4AE3">
        <w:rPr>
          <w:rFonts w:ascii="Arial" w:hAnsi="Arial" w:cs="Arial"/>
          <w:sz w:val="24"/>
          <w:szCs w:val="24"/>
        </w:rPr>
        <w:t>,</w:t>
      </w:r>
      <w:r w:rsidR="000F18DA">
        <w:rPr>
          <w:rFonts w:ascii="Arial" w:hAnsi="Arial" w:cs="Arial"/>
          <w:sz w:val="24"/>
          <w:szCs w:val="24"/>
        </w:rPr>
        <w:t xml:space="preserve"> consideramos que la modificación a la fracción I del </w:t>
      </w:r>
      <w:r w:rsidR="00AA4AE3">
        <w:rPr>
          <w:rFonts w:ascii="Arial" w:hAnsi="Arial" w:cs="Arial"/>
          <w:sz w:val="24"/>
          <w:szCs w:val="24"/>
        </w:rPr>
        <w:t>artículo</w:t>
      </w:r>
      <w:r w:rsidR="000F18DA">
        <w:rPr>
          <w:rFonts w:ascii="Arial" w:hAnsi="Arial" w:cs="Arial"/>
          <w:sz w:val="24"/>
          <w:szCs w:val="24"/>
        </w:rPr>
        <w:t xml:space="preserve"> 36 de la Ley de Acceso de las Mujeres a una Vida Libre de Violencia para el Estado de Nuevo León planteada por el promovente </w:t>
      </w:r>
      <w:r w:rsidR="00AA4AE3">
        <w:rPr>
          <w:rFonts w:ascii="Arial" w:hAnsi="Arial" w:cs="Arial"/>
          <w:sz w:val="24"/>
          <w:szCs w:val="24"/>
        </w:rPr>
        <w:t>no es necesaria</w:t>
      </w:r>
      <w:r>
        <w:rPr>
          <w:rFonts w:ascii="Arial" w:hAnsi="Arial" w:cs="Arial"/>
          <w:sz w:val="24"/>
          <w:szCs w:val="24"/>
        </w:rPr>
        <w:t>,</w:t>
      </w:r>
      <w:r w:rsidR="00AA4AE3">
        <w:rPr>
          <w:rFonts w:ascii="Arial" w:hAnsi="Arial" w:cs="Arial"/>
          <w:sz w:val="24"/>
          <w:szCs w:val="24"/>
        </w:rPr>
        <w:t xml:space="preserve"> ya que pretende establecer</w:t>
      </w:r>
      <w:r>
        <w:rPr>
          <w:rFonts w:ascii="Arial" w:hAnsi="Arial" w:cs="Arial"/>
          <w:sz w:val="24"/>
          <w:szCs w:val="24"/>
        </w:rPr>
        <w:t xml:space="preserve"> cuestiones</w:t>
      </w:r>
      <w:r w:rsidR="008854D7">
        <w:rPr>
          <w:rFonts w:ascii="Arial" w:hAnsi="Arial" w:cs="Arial"/>
          <w:sz w:val="24"/>
          <w:szCs w:val="24"/>
        </w:rPr>
        <w:t xml:space="preserve"> que</w:t>
      </w:r>
      <w:r>
        <w:rPr>
          <w:rFonts w:ascii="Arial" w:hAnsi="Arial" w:cs="Arial"/>
          <w:sz w:val="24"/>
          <w:szCs w:val="24"/>
        </w:rPr>
        <w:t xml:space="preserve"> pudiesen pertenecer</w:t>
      </w:r>
      <w:r w:rsidR="00AA4AE3">
        <w:rPr>
          <w:rFonts w:ascii="Arial" w:hAnsi="Arial" w:cs="Arial"/>
          <w:sz w:val="24"/>
          <w:szCs w:val="24"/>
        </w:rPr>
        <w:t xml:space="preserve"> </w:t>
      </w:r>
      <w:r w:rsidR="008854D7">
        <w:rPr>
          <w:rFonts w:ascii="Arial" w:hAnsi="Arial" w:cs="Arial"/>
          <w:sz w:val="24"/>
          <w:szCs w:val="24"/>
        </w:rPr>
        <w:t>a la reglamentación</w:t>
      </w:r>
      <w:r w:rsidR="00AA4AE3">
        <w:rPr>
          <w:rFonts w:ascii="Arial" w:hAnsi="Arial" w:cs="Arial"/>
          <w:sz w:val="24"/>
          <w:szCs w:val="24"/>
        </w:rPr>
        <w:t xml:space="preserve"> </w:t>
      </w:r>
      <w:r w:rsidR="008854D7">
        <w:rPr>
          <w:rFonts w:ascii="Arial" w:hAnsi="Arial" w:cs="Arial"/>
          <w:sz w:val="24"/>
          <w:szCs w:val="24"/>
        </w:rPr>
        <w:t>interna</w:t>
      </w:r>
      <w:r w:rsidR="00AA4AE3">
        <w:rPr>
          <w:rFonts w:ascii="Arial" w:hAnsi="Arial" w:cs="Arial"/>
          <w:sz w:val="24"/>
          <w:szCs w:val="24"/>
        </w:rPr>
        <w:t xml:space="preserve"> de la </w:t>
      </w:r>
      <w:r w:rsidR="00CB4CBD">
        <w:rPr>
          <w:rFonts w:ascii="Arial" w:hAnsi="Arial" w:cs="Arial"/>
          <w:sz w:val="24"/>
          <w:szCs w:val="24"/>
        </w:rPr>
        <w:t>Procuraduría</w:t>
      </w:r>
      <w:r w:rsidR="008854D7">
        <w:rPr>
          <w:rFonts w:ascii="Arial" w:hAnsi="Arial" w:cs="Arial"/>
          <w:sz w:val="24"/>
          <w:szCs w:val="24"/>
        </w:rPr>
        <w:t xml:space="preserve"> General de Justicia del Estado.</w:t>
      </w:r>
    </w:p>
    <w:p w:rsidR="00AA4AE3" w:rsidRDefault="009B5258" w:rsidP="008D4ABE">
      <w:pPr>
        <w:spacing w:line="360" w:lineRule="auto"/>
        <w:ind w:left="1843" w:firstLine="708"/>
        <w:jc w:val="both"/>
        <w:rPr>
          <w:rFonts w:ascii="Arial" w:hAnsi="Arial" w:cs="Arial"/>
          <w:b/>
          <w:i/>
          <w:sz w:val="24"/>
          <w:szCs w:val="24"/>
          <w:u w:val="single"/>
        </w:rPr>
      </w:pPr>
      <w:r>
        <w:rPr>
          <w:rFonts w:ascii="Arial" w:hAnsi="Arial" w:cs="Arial"/>
          <w:sz w:val="24"/>
          <w:szCs w:val="24"/>
        </w:rPr>
        <w:t>Así</w:t>
      </w:r>
      <w:r w:rsidR="002D6E90">
        <w:rPr>
          <w:rFonts w:ascii="Arial" w:hAnsi="Arial" w:cs="Arial"/>
          <w:sz w:val="24"/>
          <w:szCs w:val="24"/>
        </w:rPr>
        <w:t xml:space="preserve"> mismo </w:t>
      </w:r>
      <w:r>
        <w:rPr>
          <w:rFonts w:ascii="Arial" w:hAnsi="Arial" w:cs="Arial"/>
          <w:sz w:val="24"/>
          <w:szCs w:val="24"/>
        </w:rPr>
        <w:t>creemos que actualmente</w:t>
      </w:r>
      <w:r w:rsidR="008D4ABE">
        <w:rPr>
          <w:rFonts w:ascii="Arial" w:hAnsi="Arial" w:cs="Arial"/>
          <w:sz w:val="24"/>
          <w:szCs w:val="24"/>
        </w:rPr>
        <w:t xml:space="preserve"> la fracción I del artículo 36 de</w:t>
      </w:r>
      <w:r>
        <w:rPr>
          <w:rFonts w:ascii="Arial" w:hAnsi="Arial" w:cs="Arial"/>
          <w:sz w:val="24"/>
          <w:szCs w:val="24"/>
        </w:rPr>
        <w:t xml:space="preserve"> la Ley de Acceso de las Mujeres a una Vida Libre de Violencia para el Estado de Nuevo León</w:t>
      </w:r>
      <w:r w:rsidR="008D4ABE">
        <w:rPr>
          <w:rFonts w:ascii="Arial" w:hAnsi="Arial" w:cs="Arial"/>
          <w:sz w:val="24"/>
          <w:szCs w:val="24"/>
        </w:rPr>
        <w:t xml:space="preserve"> contempla las modificaciones peticionadas por </w:t>
      </w:r>
      <w:r w:rsidR="008D4ABE">
        <w:rPr>
          <w:rFonts w:ascii="Arial" w:hAnsi="Arial" w:cs="Arial"/>
          <w:sz w:val="24"/>
          <w:szCs w:val="24"/>
        </w:rPr>
        <w:lastRenderedPageBreak/>
        <w:t xml:space="preserve">el promovente, toda vez que expresa que </w:t>
      </w:r>
      <w:r w:rsidR="008D4ABE" w:rsidRPr="008D4ABE">
        <w:rPr>
          <w:rFonts w:ascii="Arial" w:hAnsi="Arial" w:cs="Arial"/>
          <w:i/>
          <w:sz w:val="24"/>
          <w:szCs w:val="24"/>
        </w:rPr>
        <w:t xml:space="preserve">“corresponde a la </w:t>
      </w:r>
      <w:r w:rsidR="00AA4AE3" w:rsidRPr="008D4ABE">
        <w:rPr>
          <w:rFonts w:ascii="Arial" w:hAnsi="Arial" w:cs="Arial"/>
          <w:i/>
          <w:sz w:val="24"/>
          <w:szCs w:val="24"/>
        </w:rPr>
        <w:t>P</w:t>
      </w:r>
      <w:r w:rsidR="008D4ABE" w:rsidRPr="008D4ABE">
        <w:rPr>
          <w:rFonts w:ascii="Arial" w:hAnsi="Arial" w:cs="Arial"/>
          <w:i/>
          <w:sz w:val="24"/>
          <w:szCs w:val="24"/>
        </w:rPr>
        <w:t xml:space="preserve">rocuraduría General de Justicia </w:t>
      </w:r>
      <w:r w:rsidR="008D4ABE" w:rsidRPr="004156D9">
        <w:rPr>
          <w:rFonts w:ascii="Arial" w:hAnsi="Arial" w:cs="Arial"/>
          <w:b/>
          <w:i/>
          <w:sz w:val="24"/>
          <w:szCs w:val="24"/>
          <w:u w:val="single"/>
        </w:rPr>
        <w:t>f</w:t>
      </w:r>
      <w:r w:rsidR="00AA4AE3" w:rsidRPr="004156D9">
        <w:rPr>
          <w:rFonts w:ascii="Arial" w:hAnsi="Arial" w:cs="Arial"/>
          <w:b/>
          <w:i/>
          <w:sz w:val="24"/>
          <w:szCs w:val="24"/>
          <w:u w:val="single"/>
        </w:rPr>
        <w:t>omentar la formación y capacitación del personal encargado de la procuración de justicia en materia de derechos humanos de las mujeres;</w:t>
      </w:r>
      <w:r w:rsidR="008D4ABE" w:rsidRPr="004156D9">
        <w:rPr>
          <w:rFonts w:ascii="Arial" w:hAnsi="Arial" w:cs="Arial"/>
          <w:b/>
          <w:i/>
          <w:sz w:val="24"/>
          <w:szCs w:val="24"/>
          <w:u w:val="single"/>
        </w:rPr>
        <w:t>”</w:t>
      </w:r>
    </w:p>
    <w:p w:rsidR="000F18DA" w:rsidRDefault="004156D9" w:rsidP="001A7454">
      <w:pPr>
        <w:spacing w:line="360" w:lineRule="auto"/>
        <w:ind w:left="1843" w:firstLine="708"/>
        <w:jc w:val="both"/>
        <w:rPr>
          <w:rFonts w:ascii="Arial" w:hAnsi="Arial" w:cs="Arial"/>
          <w:sz w:val="24"/>
          <w:szCs w:val="24"/>
        </w:rPr>
      </w:pPr>
      <w:r>
        <w:rPr>
          <w:rFonts w:ascii="Arial" w:hAnsi="Arial" w:cs="Arial"/>
          <w:sz w:val="24"/>
          <w:szCs w:val="24"/>
        </w:rPr>
        <w:t>Por lo tanto mediante un análisis de la fracción antes c</w:t>
      </w:r>
      <w:r w:rsidR="00681DB8">
        <w:rPr>
          <w:rFonts w:ascii="Arial" w:hAnsi="Arial" w:cs="Arial"/>
          <w:sz w:val="24"/>
          <w:szCs w:val="24"/>
        </w:rPr>
        <w:t>itada podemos establecer que mediante el fomento,</w:t>
      </w:r>
      <w:r>
        <w:rPr>
          <w:rFonts w:ascii="Arial" w:hAnsi="Arial" w:cs="Arial"/>
          <w:sz w:val="24"/>
          <w:szCs w:val="24"/>
        </w:rPr>
        <w:t xml:space="preserve"> la formación y capacitación del personal de la </w:t>
      </w:r>
      <w:r w:rsidR="00800994">
        <w:rPr>
          <w:rFonts w:ascii="Arial" w:hAnsi="Arial" w:cs="Arial"/>
          <w:sz w:val="24"/>
          <w:szCs w:val="24"/>
        </w:rPr>
        <w:t>Procuraduría</w:t>
      </w:r>
      <w:r>
        <w:rPr>
          <w:rFonts w:ascii="Arial" w:hAnsi="Arial" w:cs="Arial"/>
          <w:sz w:val="24"/>
          <w:szCs w:val="24"/>
        </w:rPr>
        <w:t xml:space="preserve"> </w:t>
      </w:r>
      <w:r w:rsidR="00681DB8">
        <w:rPr>
          <w:rFonts w:ascii="Arial" w:hAnsi="Arial" w:cs="Arial"/>
          <w:sz w:val="24"/>
          <w:szCs w:val="24"/>
        </w:rPr>
        <w:t>en materia de Derechos Humanos de las mujeres</w:t>
      </w:r>
      <w:r w:rsidR="00800994">
        <w:rPr>
          <w:rFonts w:ascii="Arial" w:hAnsi="Arial" w:cs="Arial"/>
          <w:sz w:val="24"/>
          <w:szCs w:val="24"/>
        </w:rPr>
        <w:t>,</w:t>
      </w:r>
      <w:r w:rsidR="00681DB8">
        <w:rPr>
          <w:rFonts w:ascii="Arial" w:hAnsi="Arial" w:cs="Arial"/>
          <w:sz w:val="24"/>
          <w:szCs w:val="24"/>
        </w:rPr>
        <w:t xml:space="preserve"> se desprende que la PGJNL debe de especializar a los agentes del </w:t>
      </w:r>
      <w:r w:rsidR="00800994">
        <w:rPr>
          <w:rFonts w:ascii="Arial" w:hAnsi="Arial" w:cs="Arial"/>
          <w:sz w:val="24"/>
          <w:szCs w:val="24"/>
        </w:rPr>
        <w:t>Ministerio</w:t>
      </w:r>
      <w:r w:rsidR="00681DB8">
        <w:rPr>
          <w:rFonts w:ascii="Arial" w:hAnsi="Arial" w:cs="Arial"/>
          <w:sz w:val="24"/>
          <w:szCs w:val="24"/>
        </w:rPr>
        <w:t xml:space="preserve"> </w:t>
      </w:r>
      <w:r w:rsidR="00800994">
        <w:rPr>
          <w:rFonts w:ascii="Arial" w:hAnsi="Arial" w:cs="Arial"/>
          <w:sz w:val="24"/>
          <w:szCs w:val="24"/>
        </w:rPr>
        <w:t xml:space="preserve">Publico peritos y personal que atiende a </w:t>
      </w:r>
      <w:r w:rsidR="00AC3104">
        <w:rPr>
          <w:rFonts w:ascii="Arial" w:hAnsi="Arial" w:cs="Arial"/>
          <w:sz w:val="24"/>
          <w:szCs w:val="24"/>
        </w:rPr>
        <w:t>víctimas,</w:t>
      </w:r>
      <w:r w:rsidR="00800994">
        <w:rPr>
          <w:rFonts w:ascii="Arial" w:hAnsi="Arial" w:cs="Arial"/>
          <w:sz w:val="24"/>
          <w:szCs w:val="24"/>
        </w:rPr>
        <w:t xml:space="preserve"> otorgándoles programas y cursos permanentes como lo establece el promovente</w:t>
      </w:r>
      <w:r w:rsidR="00AC3104">
        <w:rPr>
          <w:rFonts w:ascii="Arial" w:hAnsi="Arial" w:cs="Arial"/>
          <w:sz w:val="24"/>
          <w:szCs w:val="24"/>
        </w:rPr>
        <w:t>. En esa tesitura</w:t>
      </w:r>
      <w:r w:rsidR="001A7454">
        <w:rPr>
          <w:rFonts w:ascii="Arial" w:hAnsi="Arial" w:cs="Arial"/>
          <w:sz w:val="24"/>
          <w:szCs w:val="24"/>
        </w:rPr>
        <w:t xml:space="preserve"> asentamos que</w:t>
      </w:r>
      <w:r w:rsidR="00AC3104">
        <w:rPr>
          <w:rFonts w:ascii="Arial" w:hAnsi="Arial" w:cs="Arial"/>
          <w:sz w:val="24"/>
          <w:szCs w:val="24"/>
        </w:rPr>
        <w:t xml:space="preserve"> la </w:t>
      </w:r>
      <w:r w:rsidR="00800994">
        <w:rPr>
          <w:rFonts w:ascii="Arial" w:hAnsi="Arial" w:cs="Arial"/>
          <w:sz w:val="24"/>
          <w:szCs w:val="24"/>
        </w:rPr>
        <w:t xml:space="preserve">PGJNL </w:t>
      </w:r>
      <w:r w:rsidR="00AC3104">
        <w:rPr>
          <w:rFonts w:ascii="Arial" w:hAnsi="Arial" w:cs="Arial"/>
          <w:sz w:val="24"/>
          <w:szCs w:val="24"/>
        </w:rPr>
        <w:t>se encuentra</w:t>
      </w:r>
      <w:r w:rsidR="00800994">
        <w:rPr>
          <w:rFonts w:ascii="Arial" w:hAnsi="Arial" w:cs="Arial"/>
          <w:sz w:val="24"/>
          <w:szCs w:val="24"/>
        </w:rPr>
        <w:t xml:space="preserve"> facultada y cuenta con autonomía para utilizar todos los mecanismos a su alcance para la consecución </w:t>
      </w:r>
      <w:r w:rsidR="00AC3104">
        <w:rPr>
          <w:rFonts w:ascii="Arial" w:hAnsi="Arial" w:cs="Arial"/>
          <w:sz w:val="24"/>
          <w:szCs w:val="24"/>
        </w:rPr>
        <w:t>de lo</w:t>
      </w:r>
      <w:r w:rsidR="00573617">
        <w:rPr>
          <w:rFonts w:ascii="Arial" w:hAnsi="Arial" w:cs="Arial"/>
          <w:sz w:val="24"/>
          <w:szCs w:val="24"/>
        </w:rPr>
        <w:t xml:space="preserve"> establecido en dicho ordenamiento</w:t>
      </w:r>
      <w:r w:rsidR="00800994">
        <w:rPr>
          <w:rFonts w:ascii="Arial" w:hAnsi="Arial" w:cs="Arial"/>
          <w:sz w:val="24"/>
          <w:szCs w:val="24"/>
        </w:rPr>
        <w:t>.</w:t>
      </w:r>
    </w:p>
    <w:p w:rsidR="007A6944" w:rsidRDefault="0027675E" w:rsidP="007A6944">
      <w:pPr>
        <w:spacing w:before="240" w:after="0" w:line="360" w:lineRule="auto"/>
        <w:ind w:left="1843" w:firstLine="708"/>
        <w:jc w:val="both"/>
        <w:rPr>
          <w:rFonts w:ascii="Arial" w:hAnsi="Arial" w:cs="Arial"/>
          <w:sz w:val="24"/>
          <w:szCs w:val="24"/>
        </w:rPr>
      </w:pPr>
      <w:r>
        <w:rPr>
          <w:rFonts w:ascii="Arial" w:hAnsi="Arial" w:cs="Arial"/>
          <w:sz w:val="24"/>
          <w:szCs w:val="24"/>
        </w:rPr>
        <w:t xml:space="preserve">En el mismo orden de ideas consideramos que la modificación a la fracción II del </w:t>
      </w:r>
      <w:r w:rsidR="00874414">
        <w:rPr>
          <w:rFonts w:ascii="Arial" w:hAnsi="Arial" w:cs="Arial"/>
          <w:sz w:val="24"/>
          <w:szCs w:val="24"/>
        </w:rPr>
        <w:t>artículo</w:t>
      </w:r>
      <w:r>
        <w:rPr>
          <w:rFonts w:ascii="Arial" w:hAnsi="Arial" w:cs="Arial"/>
          <w:sz w:val="24"/>
          <w:szCs w:val="24"/>
        </w:rPr>
        <w:t xml:space="preserve"> 36 planteada por el promovente resulta </w:t>
      </w:r>
      <w:r w:rsidR="009F79E8">
        <w:rPr>
          <w:rFonts w:ascii="Arial" w:hAnsi="Arial" w:cs="Arial"/>
          <w:sz w:val="24"/>
          <w:szCs w:val="24"/>
        </w:rPr>
        <w:t>innecesaria</w:t>
      </w:r>
      <w:r>
        <w:rPr>
          <w:rFonts w:ascii="Arial" w:hAnsi="Arial" w:cs="Arial"/>
          <w:sz w:val="24"/>
          <w:szCs w:val="24"/>
        </w:rPr>
        <w:t xml:space="preserve">, toda vez que </w:t>
      </w:r>
      <w:r w:rsidR="00FD190E">
        <w:rPr>
          <w:rFonts w:ascii="Arial" w:hAnsi="Arial" w:cs="Arial"/>
          <w:sz w:val="24"/>
          <w:szCs w:val="24"/>
        </w:rPr>
        <w:t xml:space="preserve">actualmente dicha fracción establece que corresponde a la Procuraduría General de Justicia </w:t>
      </w:r>
      <w:r w:rsidR="00FD190E" w:rsidRPr="00FD190E">
        <w:rPr>
          <w:rFonts w:ascii="Arial" w:hAnsi="Arial" w:cs="Arial"/>
          <w:i/>
          <w:sz w:val="24"/>
          <w:szCs w:val="24"/>
        </w:rPr>
        <w:t>“</w:t>
      </w:r>
      <w:r w:rsidRPr="00FD190E">
        <w:rPr>
          <w:rFonts w:ascii="Arial" w:hAnsi="Arial" w:cs="Arial"/>
          <w:i/>
          <w:sz w:val="24"/>
          <w:szCs w:val="24"/>
        </w:rPr>
        <w:t>Promover la especialización de los agentes del Ministerio Público en materia de derechos humanos de las mujeres;</w:t>
      </w:r>
      <w:r w:rsidR="00FD190E" w:rsidRPr="00FD190E">
        <w:rPr>
          <w:rFonts w:ascii="Arial" w:hAnsi="Arial" w:cs="Arial"/>
          <w:i/>
          <w:sz w:val="24"/>
          <w:szCs w:val="24"/>
        </w:rPr>
        <w:t>”</w:t>
      </w:r>
      <w:r w:rsidR="00FD190E">
        <w:rPr>
          <w:rFonts w:ascii="Arial" w:hAnsi="Arial" w:cs="Arial"/>
          <w:i/>
          <w:sz w:val="24"/>
          <w:szCs w:val="24"/>
        </w:rPr>
        <w:t xml:space="preserve">. </w:t>
      </w:r>
      <w:r w:rsidR="00874414">
        <w:rPr>
          <w:rFonts w:ascii="Arial" w:hAnsi="Arial" w:cs="Arial"/>
          <w:sz w:val="24"/>
          <w:szCs w:val="24"/>
        </w:rPr>
        <w:t xml:space="preserve">En ese sentido </w:t>
      </w:r>
      <w:r w:rsidR="001A7454">
        <w:rPr>
          <w:rFonts w:ascii="Arial" w:hAnsi="Arial" w:cs="Arial"/>
          <w:sz w:val="24"/>
          <w:szCs w:val="24"/>
        </w:rPr>
        <w:t>visualizamos</w:t>
      </w:r>
      <w:r w:rsidR="00CF102E" w:rsidRPr="00CF102E">
        <w:rPr>
          <w:rFonts w:ascii="Arial" w:hAnsi="Arial" w:cs="Arial"/>
          <w:sz w:val="24"/>
          <w:szCs w:val="24"/>
        </w:rPr>
        <w:t xml:space="preserve"> que al </w:t>
      </w:r>
      <w:r w:rsidR="00874414" w:rsidRPr="00CF102E">
        <w:rPr>
          <w:rFonts w:ascii="Arial" w:hAnsi="Arial" w:cs="Arial"/>
          <w:sz w:val="24"/>
          <w:szCs w:val="24"/>
        </w:rPr>
        <w:t>día</w:t>
      </w:r>
      <w:r w:rsidR="00CF102E" w:rsidRPr="00CF102E">
        <w:rPr>
          <w:rFonts w:ascii="Arial" w:hAnsi="Arial" w:cs="Arial"/>
          <w:sz w:val="24"/>
          <w:szCs w:val="24"/>
        </w:rPr>
        <w:t xml:space="preserve"> de hoy se aplican por parte de la </w:t>
      </w:r>
      <w:r w:rsidR="00874414" w:rsidRPr="00CF102E">
        <w:rPr>
          <w:rFonts w:ascii="Arial" w:hAnsi="Arial" w:cs="Arial"/>
          <w:sz w:val="24"/>
          <w:szCs w:val="24"/>
        </w:rPr>
        <w:t>Procuraduría</w:t>
      </w:r>
      <w:r w:rsidR="001A7454">
        <w:rPr>
          <w:rFonts w:ascii="Arial" w:hAnsi="Arial" w:cs="Arial"/>
          <w:sz w:val="24"/>
          <w:szCs w:val="24"/>
        </w:rPr>
        <w:t xml:space="preserve"> Estatal</w:t>
      </w:r>
      <w:r w:rsidR="00CF102E" w:rsidRPr="00CF102E">
        <w:rPr>
          <w:rFonts w:ascii="Arial" w:hAnsi="Arial" w:cs="Arial"/>
          <w:sz w:val="24"/>
          <w:szCs w:val="24"/>
        </w:rPr>
        <w:t xml:space="preserve"> protocolos especializados en perspectiva de </w:t>
      </w:r>
      <w:r w:rsidR="00874414" w:rsidRPr="00CF102E">
        <w:rPr>
          <w:rFonts w:ascii="Arial" w:hAnsi="Arial" w:cs="Arial"/>
          <w:sz w:val="24"/>
          <w:szCs w:val="24"/>
        </w:rPr>
        <w:t>género</w:t>
      </w:r>
      <w:r w:rsidR="00CF102E" w:rsidRPr="00CF102E">
        <w:rPr>
          <w:rFonts w:ascii="Arial" w:hAnsi="Arial" w:cs="Arial"/>
          <w:sz w:val="24"/>
          <w:szCs w:val="24"/>
        </w:rPr>
        <w:t xml:space="preserve">, </w:t>
      </w:r>
      <w:r w:rsidR="00874414" w:rsidRPr="00CF102E">
        <w:rPr>
          <w:rFonts w:ascii="Arial" w:hAnsi="Arial" w:cs="Arial"/>
          <w:sz w:val="24"/>
          <w:szCs w:val="24"/>
        </w:rPr>
        <w:t>así</w:t>
      </w:r>
      <w:r w:rsidR="00CF102E" w:rsidRPr="00CF102E">
        <w:rPr>
          <w:rFonts w:ascii="Arial" w:hAnsi="Arial" w:cs="Arial"/>
          <w:sz w:val="24"/>
          <w:szCs w:val="24"/>
        </w:rPr>
        <w:t xml:space="preserve"> como en la búsqueda </w:t>
      </w:r>
      <w:r w:rsidR="00874414" w:rsidRPr="00CF102E">
        <w:rPr>
          <w:rFonts w:ascii="Arial" w:hAnsi="Arial" w:cs="Arial"/>
          <w:sz w:val="24"/>
          <w:szCs w:val="24"/>
        </w:rPr>
        <w:t>inmediata</w:t>
      </w:r>
      <w:r w:rsidR="00CF102E" w:rsidRPr="00CF102E">
        <w:rPr>
          <w:rFonts w:ascii="Arial" w:hAnsi="Arial" w:cs="Arial"/>
          <w:sz w:val="24"/>
          <w:szCs w:val="24"/>
        </w:rPr>
        <w:t xml:space="preserve"> de mujeres y </w:t>
      </w:r>
      <w:r w:rsidR="00874414" w:rsidRPr="00CF102E">
        <w:rPr>
          <w:rFonts w:ascii="Arial" w:hAnsi="Arial" w:cs="Arial"/>
          <w:sz w:val="24"/>
          <w:szCs w:val="24"/>
        </w:rPr>
        <w:t>niñas</w:t>
      </w:r>
      <w:r w:rsidR="00CF102E" w:rsidRPr="00CF102E">
        <w:rPr>
          <w:rFonts w:ascii="Arial" w:hAnsi="Arial" w:cs="Arial"/>
          <w:sz w:val="24"/>
          <w:szCs w:val="24"/>
        </w:rPr>
        <w:t xml:space="preserve"> desaparecidas, toda vez que </w:t>
      </w:r>
      <w:r w:rsidR="00874414">
        <w:rPr>
          <w:rFonts w:ascii="Arial" w:hAnsi="Arial" w:cs="Arial"/>
          <w:sz w:val="24"/>
          <w:szCs w:val="24"/>
        </w:rPr>
        <w:t xml:space="preserve">estas </w:t>
      </w:r>
      <w:r w:rsidR="007A6944">
        <w:rPr>
          <w:rFonts w:ascii="Arial" w:hAnsi="Arial" w:cs="Arial"/>
          <w:sz w:val="24"/>
          <w:szCs w:val="24"/>
        </w:rPr>
        <w:t>facultades</w:t>
      </w:r>
      <w:r w:rsidR="00874414">
        <w:rPr>
          <w:rFonts w:ascii="Arial" w:hAnsi="Arial" w:cs="Arial"/>
          <w:sz w:val="24"/>
          <w:szCs w:val="24"/>
        </w:rPr>
        <w:t xml:space="preserve"> encuadran y derivan de la especialización de los agentes en materia de derechos humanos de las mujeres.</w:t>
      </w:r>
    </w:p>
    <w:p w:rsidR="003337C8" w:rsidRDefault="00770991" w:rsidP="007A6944">
      <w:pPr>
        <w:spacing w:before="240" w:after="0" w:line="360" w:lineRule="auto"/>
        <w:ind w:left="1843" w:firstLine="708"/>
        <w:jc w:val="both"/>
        <w:rPr>
          <w:rFonts w:ascii="Arial" w:hAnsi="Arial" w:cs="Arial"/>
          <w:sz w:val="24"/>
          <w:szCs w:val="24"/>
        </w:rPr>
      </w:pPr>
      <w:r>
        <w:rPr>
          <w:rFonts w:ascii="Arial" w:hAnsi="Arial" w:cs="Arial"/>
          <w:sz w:val="24"/>
          <w:szCs w:val="24"/>
        </w:rPr>
        <w:lastRenderedPageBreak/>
        <w:t>Por otra parte, en relación</w:t>
      </w:r>
      <w:r w:rsidR="00437768">
        <w:rPr>
          <w:rFonts w:ascii="Arial" w:hAnsi="Arial" w:cs="Arial"/>
          <w:sz w:val="24"/>
          <w:szCs w:val="24"/>
        </w:rPr>
        <w:t xml:space="preserve"> a los</w:t>
      </w:r>
      <w:r w:rsidR="007A6944">
        <w:rPr>
          <w:rFonts w:ascii="Arial" w:hAnsi="Arial" w:cs="Arial"/>
          <w:sz w:val="24"/>
          <w:szCs w:val="24"/>
        </w:rPr>
        <w:t xml:space="preserve"> </w:t>
      </w:r>
      <w:r w:rsidR="009F79E8">
        <w:rPr>
          <w:rFonts w:ascii="Arial" w:hAnsi="Arial" w:cs="Arial"/>
          <w:sz w:val="24"/>
          <w:szCs w:val="24"/>
        </w:rPr>
        <w:t>demás</w:t>
      </w:r>
      <w:r w:rsidR="00437768">
        <w:rPr>
          <w:rFonts w:ascii="Arial" w:hAnsi="Arial" w:cs="Arial"/>
          <w:sz w:val="24"/>
          <w:szCs w:val="24"/>
        </w:rPr>
        <w:t xml:space="preserve"> argumentos vertidos por el promovente</w:t>
      </w:r>
      <w:r>
        <w:rPr>
          <w:rFonts w:ascii="Arial" w:hAnsi="Arial" w:cs="Arial"/>
          <w:sz w:val="24"/>
          <w:szCs w:val="24"/>
        </w:rPr>
        <w:t>,</w:t>
      </w:r>
      <w:r w:rsidR="00437768">
        <w:rPr>
          <w:rFonts w:ascii="Arial" w:hAnsi="Arial" w:cs="Arial"/>
          <w:sz w:val="24"/>
          <w:szCs w:val="24"/>
        </w:rPr>
        <w:t xml:space="preserve"> </w:t>
      </w:r>
      <w:r w:rsidR="00C46851" w:rsidRPr="002D3B94">
        <w:rPr>
          <w:rFonts w:ascii="Arial" w:hAnsi="Arial" w:cs="Arial"/>
          <w:sz w:val="24"/>
          <w:szCs w:val="24"/>
        </w:rPr>
        <w:t xml:space="preserve">podemos visualizar </w:t>
      </w:r>
      <w:r w:rsidR="00BB6365" w:rsidRPr="002D3B94">
        <w:rPr>
          <w:rFonts w:ascii="Arial" w:hAnsi="Arial" w:cs="Arial"/>
          <w:sz w:val="24"/>
          <w:szCs w:val="24"/>
        </w:rPr>
        <w:t xml:space="preserve">que actualmente la Ley de </w:t>
      </w:r>
      <w:r w:rsidR="00437768">
        <w:rPr>
          <w:rFonts w:ascii="Arial" w:hAnsi="Arial" w:cs="Arial"/>
          <w:sz w:val="24"/>
          <w:szCs w:val="24"/>
        </w:rPr>
        <w:t>Transparencia y Acceso a la Información</w:t>
      </w:r>
      <w:r>
        <w:rPr>
          <w:rFonts w:ascii="Arial" w:hAnsi="Arial" w:cs="Arial"/>
          <w:sz w:val="24"/>
          <w:szCs w:val="24"/>
        </w:rPr>
        <w:t xml:space="preserve"> Pú</w:t>
      </w:r>
      <w:r w:rsidR="00437768">
        <w:rPr>
          <w:rFonts w:ascii="Arial" w:hAnsi="Arial" w:cs="Arial"/>
          <w:sz w:val="24"/>
          <w:szCs w:val="24"/>
        </w:rPr>
        <w:t xml:space="preserve">blica del Estado de Nuevo León establece en </w:t>
      </w:r>
      <w:r>
        <w:rPr>
          <w:rFonts w:ascii="Arial" w:hAnsi="Arial" w:cs="Arial"/>
          <w:sz w:val="24"/>
          <w:szCs w:val="24"/>
        </w:rPr>
        <w:t>su</w:t>
      </w:r>
      <w:r w:rsidR="00DD0049">
        <w:rPr>
          <w:rFonts w:ascii="Arial" w:hAnsi="Arial" w:cs="Arial"/>
          <w:sz w:val="24"/>
          <w:szCs w:val="24"/>
        </w:rPr>
        <w:t>s</w:t>
      </w:r>
      <w:r>
        <w:rPr>
          <w:rFonts w:ascii="Arial" w:hAnsi="Arial" w:cs="Arial"/>
          <w:sz w:val="24"/>
          <w:szCs w:val="24"/>
        </w:rPr>
        <w:t xml:space="preserve"> artículo</w:t>
      </w:r>
      <w:r w:rsidR="00DD0049">
        <w:rPr>
          <w:rFonts w:ascii="Arial" w:hAnsi="Arial" w:cs="Arial"/>
          <w:sz w:val="24"/>
          <w:szCs w:val="24"/>
        </w:rPr>
        <w:t>s</w:t>
      </w:r>
      <w:r>
        <w:rPr>
          <w:rFonts w:ascii="Arial" w:hAnsi="Arial" w:cs="Arial"/>
          <w:sz w:val="24"/>
          <w:szCs w:val="24"/>
        </w:rPr>
        <w:t xml:space="preserve"> 95</w:t>
      </w:r>
      <w:r w:rsidR="00DD0049">
        <w:rPr>
          <w:rFonts w:ascii="Arial" w:hAnsi="Arial" w:cs="Arial"/>
          <w:sz w:val="24"/>
          <w:szCs w:val="24"/>
        </w:rPr>
        <w:t xml:space="preserve"> y 99</w:t>
      </w:r>
      <w:r>
        <w:rPr>
          <w:rFonts w:ascii="Arial" w:hAnsi="Arial" w:cs="Arial"/>
          <w:sz w:val="24"/>
          <w:szCs w:val="24"/>
        </w:rPr>
        <w:t xml:space="preserve"> </w:t>
      </w:r>
      <w:r w:rsidR="00A274FB">
        <w:rPr>
          <w:rFonts w:ascii="Arial" w:hAnsi="Arial" w:cs="Arial"/>
          <w:sz w:val="24"/>
          <w:szCs w:val="24"/>
        </w:rPr>
        <w:t>lo siguiente:</w:t>
      </w:r>
    </w:p>
    <w:p w:rsidR="00A274FB" w:rsidRPr="00A274FB" w:rsidRDefault="00A274FB" w:rsidP="00A274FB">
      <w:pPr>
        <w:spacing w:after="0" w:line="360" w:lineRule="auto"/>
        <w:ind w:left="1843" w:firstLine="708"/>
        <w:jc w:val="both"/>
        <w:rPr>
          <w:rFonts w:ascii="Arial" w:hAnsi="Arial" w:cs="Arial"/>
          <w:i/>
          <w:sz w:val="20"/>
          <w:szCs w:val="20"/>
          <w:lang w:val="es-ES_tradnl"/>
        </w:rPr>
      </w:pPr>
    </w:p>
    <w:p w:rsidR="003337C8" w:rsidRPr="00EC3C7E" w:rsidRDefault="003337C8" w:rsidP="00A274FB">
      <w:pPr>
        <w:spacing w:after="0" w:line="240" w:lineRule="auto"/>
        <w:ind w:left="1843"/>
        <w:jc w:val="both"/>
        <w:rPr>
          <w:rFonts w:ascii="Arial" w:hAnsi="Arial" w:cs="Arial"/>
          <w:i/>
          <w:sz w:val="20"/>
          <w:szCs w:val="20"/>
          <w:lang w:val="es-ES_tradnl"/>
        </w:rPr>
      </w:pPr>
      <w:r w:rsidRPr="00DC2899">
        <w:rPr>
          <w:rFonts w:ascii="Arial" w:hAnsi="Arial" w:cs="Arial"/>
          <w:b/>
          <w:bCs/>
          <w:i/>
          <w:sz w:val="20"/>
          <w:szCs w:val="20"/>
          <w:lang w:val="es-ES_tradnl"/>
        </w:rPr>
        <w:t>“Artículo 95. </w:t>
      </w:r>
      <w:r w:rsidRPr="00DC2899">
        <w:rPr>
          <w:rFonts w:ascii="Arial" w:hAnsi="Arial" w:cs="Arial"/>
          <w:i/>
          <w:sz w:val="20"/>
          <w:szCs w:val="20"/>
          <w:lang w:val="es-ES_tradnl"/>
        </w:rPr>
        <w:t>Los sujetos obligados pondrán a disposición del público y mantendrán actualizada, en los respectivos medios electrónicos, de acuerdo con sus facultades, atribuciones, funciones u objeto social, según corresponda, la información, por lo menos, de los temas, documentos y políticas que a continuación se señalan:</w:t>
      </w:r>
    </w:p>
    <w:p w:rsidR="00192E4B" w:rsidRPr="00DC2899" w:rsidRDefault="00192E4B" w:rsidP="00DC2899">
      <w:pPr>
        <w:spacing w:line="240" w:lineRule="auto"/>
        <w:ind w:left="1843"/>
        <w:jc w:val="both"/>
        <w:rPr>
          <w:rFonts w:ascii="Arial" w:hAnsi="Arial" w:cs="Arial"/>
          <w:i/>
          <w:sz w:val="20"/>
          <w:szCs w:val="20"/>
        </w:rPr>
      </w:pPr>
      <w:r w:rsidRPr="00DC2899">
        <w:rPr>
          <w:rFonts w:ascii="Arial" w:hAnsi="Arial" w:cs="Arial"/>
          <w:i/>
          <w:sz w:val="20"/>
          <w:szCs w:val="20"/>
        </w:rPr>
        <w:t>I. a IV.</w:t>
      </w:r>
    </w:p>
    <w:p w:rsidR="00192E4B" w:rsidRPr="00DC2899" w:rsidRDefault="00192E4B" w:rsidP="00DC2899">
      <w:pPr>
        <w:spacing w:line="240" w:lineRule="auto"/>
        <w:ind w:left="1843"/>
        <w:jc w:val="both"/>
        <w:rPr>
          <w:rFonts w:ascii="Arial" w:hAnsi="Arial" w:cs="Arial"/>
          <w:i/>
          <w:sz w:val="20"/>
          <w:szCs w:val="20"/>
          <w:u w:val="single"/>
          <w:lang w:val="es-ES_tradnl"/>
        </w:rPr>
      </w:pPr>
      <w:r w:rsidRPr="00DC2899">
        <w:rPr>
          <w:rFonts w:ascii="Arial" w:hAnsi="Arial" w:cs="Arial"/>
          <w:i/>
          <w:sz w:val="20"/>
          <w:szCs w:val="20"/>
          <w:lang w:val="es-ES_tradnl"/>
        </w:rPr>
        <w:t>V.</w:t>
      </w:r>
      <w:r w:rsidR="00E711DB" w:rsidRPr="00DC2899">
        <w:rPr>
          <w:rFonts w:ascii="Arial" w:hAnsi="Arial" w:cs="Arial"/>
          <w:i/>
          <w:sz w:val="20"/>
          <w:szCs w:val="20"/>
          <w:lang w:val="es-ES_tradnl"/>
        </w:rPr>
        <w:t>-</w:t>
      </w:r>
      <w:r w:rsidRPr="00DC2899">
        <w:rPr>
          <w:rFonts w:ascii="Arial" w:hAnsi="Arial" w:cs="Arial"/>
          <w:i/>
          <w:sz w:val="20"/>
          <w:szCs w:val="20"/>
          <w:lang w:val="es-ES_tradnl"/>
        </w:rPr>
        <w:t xml:space="preserve"> </w:t>
      </w:r>
      <w:r w:rsidRPr="00DC2899">
        <w:rPr>
          <w:rFonts w:ascii="Arial" w:hAnsi="Arial" w:cs="Arial"/>
          <w:i/>
          <w:sz w:val="20"/>
          <w:szCs w:val="20"/>
          <w:u w:val="single"/>
          <w:lang w:val="es-ES_tradnl"/>
        </w:rPr>
        <w:t>Los indicadores relacionados con temas de interés público o trascendencia social que conforme a sus funciones, deban establecer;</w:t>
      </w:r>
    </w:p>
    <w:p w:rsidR="00E711DB" w:rsidRPr="00DC2899" w:rsidRDefault="00E711DB" w:rsidP="00DC2899">
      <w:pPr>
        <w:spacing w:line="240" w:lineRule="auto"/>
        <w:ind w:left="1843"/>
        <w:jc w:val="both"/>
        <w:rPr>
          <w:rFonts w:ascii="Arial" w:hAnsi="Arial" w:cs="Arial"/>
          <w:i/>
          <w:sz w:val="20"/>
          <w:szCs w:val="20"/>
          <w:lang w:val="es-ES_tradnl"/>
        </w:rPr>
      </w:pPr>
      <w:r w:rsidRPr="00DC2899">
        <w:rPr>
          <w:rFonts w:ascii="Arial" w:hAnsi="Arial" w:cs="Arial"/>
          <w:i/>
          <w:sz w:val="20"/>
          <w:szCs w:val="20"/>
          <w:lang w:val="es-ES_tradnl"/>
        </w:rPr>
        <w:t>VI.  a XXX.</w:t>
      </w:r>
    </w:p>
    <w:p w:rsidR="00E711DB" w:rsidRPr="00DC2899" w:rsidRDefault="00E711DB" w:rsidP="00DC2899">
      <w:pPr>
        <w:spacing w:line="240" w:lineRule="auto"/>
        <w:ind w:left="1843"/>
        <w:jc w:val="both"/>
        <w:rPr>
          <w:rFonts w:ascii="Arial" w:hAnsi="Arial" w:cs="Arial"/>
          <w:i/>
          <w:sz w:val="20"/>
          <w:szCs w:val="20"/>
          <w:u w:val="single"/>
          <w:lang w:val="es-ES_tradnl"/>
        </w:rPr>
      </w:pPr>
      <w:r w:rsidRPr="00DC2899">
        <w:rPr>
          <w:rFonts w:ascii="Arial" w:hAnsi="Arial" w:cs="Arial"/>
          <w:i/>
          <w:sz w:val="20"/>
          <w:szCs w:val="20"/>
          <w:lang w:val="es-ES_tradnl"/>
        </w:rPr>
        <w:t xml:space="preserve">XXXI.- </w:t>
      </w:r>
      <w:r w:rsidRPr="00DC2899">
        <w:rPr>
          <w:rFonts w:ascii="Arial" w:hAnsi="Arial" w:cs="Arial"/>
          <w:i/>
          <w:sz w:val="20"/>
          <w:szCs w:val="20"/>
          <w:u w:val="single"/>
          <w:lang w:val="es-ES_tradnl"/>
        </w:rPr>
        <w:t>Las estadísticas que generen en cumplimiento de sus facultades, competencias o funciones con la mayor desagregación posible;</w:t>
      </w:r>
    </w:p>
    <w:p w:rsidR="00E711DB" w:rsidRPr="00DC2899" w:rsidRDefault="00E711DB" w:rsidP="00DC2899">
      <w:pPr>
        <w:spacing w:line="240" w:lineRule="auto"/>
        <w:ind w:left="1843"/>
        <w:jc w:val="both"/>
        <w:rPr>
          <w:rFonts w:ascii="Arial" w:hAnsi="Arial" w:cs="Arial"/>
          <w:i/>
          <w:sz w:val="20"/>
          <w:szCs w:val="20"/>
          <w:lang w:val="es-ES_tradnl"/>
        </w:rPr>
      </w:pPr>
      <w:r w:rsidRPr="00DC2899">
        <w:rPr>
          <w:rFonts w:ascii="Arial" w:hAnsi="Arial" w:cs="Arial"/>
          <w:i/>
          <w:sz w:val="20"/>
          <w:szCs w:val="20"/>
          <w:lang w:val="es-ES_tradnl"/>
        </w:rPr>
        <w:t xml:space="preserve">XXXII. a </w:t>
      </w:r>
      <w:r w:rsidR="00A80ACE" w:rsidRPr="00DC2899">
        <w:rPr>
          <w:rFonts w:ascii="Arial" w:hAnsi="Arial" w:cs="Arial"/>
          <w:i/>
          <w:sz w:val="20"/>
          <w:szCs w:val="20"/>
          <w:lang w:val="es-ES_tradnl"/>
        </w:rPr>
        <w:t>LII.</w:t>
      </w:r>
    </w:p>
    <w:p w:rsidR="00A80ACE" w:rsidRDefault="00A80ACE" w:rsidP="00A274FB">
      <w:pPr>
        <w:spacing w:after="0" w:line="240" w:lineRule="auto"/>
        <w:ind w:left="1843"/>
        <w:jc w:val="both"/>
        <w:rPr>
          <w:rFonts w:ascii="Arial" w:hAnsi="Arial" w:cs="Arial"/>
          <w:i/>
          <w:sz w:val="20"/>
          <w:szCs w:val="20"/>
          <w:u w:val="single"/>
          <w:lang w:val="es-ES_tradnl"/>
        </w:rPr>
      </w:pPr>
      <w:r w:rsidRPr="00DC2899">
        <w:rPr>
          <w:rFonts w:ascii="Arial" w:hAnsi="Arial" w:cs="Arial"/>
          <w:i/>
          <w:sz w:val="20"/>
          <w:szCs w:val="20"/>
          <w:lang w:val="es-ES_tradnl"/>
        </w:rPr>
        <w:t xml:space="preserve">LIII.- </w:t>
      </w:r>
      <w:r w:rsidRPr="00DC2899">
        <w:rPr>
          <w:rFonts w:ascii="Arial" w:hAnsi="Arial" w:cs="Arial"/>
          <w:i/>
          <w:sz w:val="20"/>
          <w:szCs w:val="20"/>
          <w:u w:val="single"/>
          <w:lang w:val="es-ES_tradnl"/>
        </w:rPr>
        <w:t>Cualquier otra información que sea de utilidad o se considere relevante, además de la que, con base en la información estadística, responda a las preguntas hechas con más frecuencia por el público.</w:t>
      </w:r>
      <w:r w:rsidR="000F18DA">
        <w:rPr>
          <w:rFonts w:ascii="Arial" w:hAnsi="Arial" w:cs="Arial"/>
          <w:i/>
          <w:sz w:val="20"/>
          <w:szCs w:val="20"/>
          <w:u w:val="single"/>
          <w:lang w:val="es-ES_tradnl"/>
        </w:rPr>
        <w:t>”</w:t>
      </w:r>
    </w:p>
    <w:p w:rsidR="00DD0049" w:rsidRDefault="00DD0049" w:rsidP="00822873">
      <w:pPr>
        <w:spacing w:after="0" w:line="240" w:lineRule="auto"/>
        <w:jc w:val="both"/>
        <w:rPr>
          <w:rFonts w:ascii="Arial" w:hAnsi="Arial" w:cs="Arial"/>
          <w:i/>
          <w:sz w:val="20"/>
          <w:szCs w:val="20"/>
          <w:u w:val="single"/>
          <w:lang w:val="es-ES_tradnl"/>
        </w:rPr>
      </w:pPr>
    </w:p>
    <w:p w:rsidR="00822873" w:rsidRPr="00DD0049" w:rsidRDefault="00822873" w:rsidP="00822873">
      <w:pPr>
        <w:spacing w:after="0" w:line="240" w:lineRule="auto"/>
        <w:jc w:val="both"/>
        <w:rPr>
          <w:rFonts w:ascii="Arial" w:hAnsi="Arial" w:cs="Arial"/>
          <w:i/>
          <w:sz w:val="20"/>
          <w:szCs w:val="20"/>
          <w:u w:val="single"/>
          <w:lang w:val="es-ES_tradnl"/>
        </w:rPr>
      </w:pPr>
    </w:p>
    <w:p w:rsidR="00DD0049" w:rsidRDefault="00DD0049" w:rsidP="00DD0049">
      <w:pPr>
        <w:spacing w:after="0" w:line="240" w:lineRule="auto"/>
        <w:ind w:left="1843"/>
        <w:jc w:val="both"/>
        <w:rPr>
          <w:rFonts w:ascii="Arial" w:hAnsi="Arial" w:cs="Arial"/>
          <w:i/>
          <w:sz w:val="20"/>
          <w:szCs w:val="20"/>
          <w:u w:val="single"/>
          <w:lang w:val="es-ES_tradnl"/>
        </w:rPr>
      </w:pPr>
      <w:r w:rsidRPr="00DD0049">
        <w:rPr>
          <w:rFonts w:ascii="Arial" w:hAnsi="Arial" w:cs="Arial"/>
          <w:b/>
          <w:bCs/>
          <w:i/>
          <w:sz w:val="20"/>
          <w:szCs w:val="20"/>
          <w:u w:val="single"/>
          <w:lang w:val="es-ES_tradnl"/>
        </w:rPr>
        <w:t>Artículo 99. </w:t>
      </w:r>
      <w:r w:rsidRPr="00DD0049">
        <w:rPr>
          <w:rFonts w:ascii="Arial" w:hAnsi="Arial" w:cs="Arial"/>
          <w:i/>
          <w:sz w:val="20"/>
          <w:szCs w:val="20"/>
          <w:u w:val="single"/>
          <w:lang w:val="es-ES_tradnl"/>
        </w:rPr>
        <w:t>Además de lo señalado en el artículo 95 de la presente Ley, los sujetos obligados del Poder Judicial del Estado deberán poner a disposición del público y actualizar la siguiente información:</w:t>
      </w:r>
    </w:p>
    <w:p w:rsidR="00CB4192" w:rsidRPr="00DD0049" w:rsidRDefault="00CB4192" w:rsidP="00DD0049">
      <w:pPr>
        <w:spacing w:after="0" w:line="240" w:lineRule="auto"/>
        <w:ind w:left="1843"/>
        <w:jc w:val="both"/>
        <w:rPr>
          <w:rFonts w:ascii="Arial" w:hAnsi="Arial" w:cs="Arial"/>
          <w:i/>
          <w:sz w:val="20"/>
          <w:szCs w:val="20"/>
          <w:u w:val="single"/>
          <w:lang w:val="es-ES_tradnl"/>
        </w:rPr>
      </w:pPr>
    </w:p>
    <w:p w:rsidR="00DD0049" w:rsidRPr="00D86EC7" w:rsidRDefault="00DD0049" w:rsidP="00CB4192">
      <w:pPr>
        <w:pStyle w:val="Prrafodelista"/>
        <w:numPr>
          <w:ilvl w:val="0"/>
          <w:numId w:val="5"/>
        </w:numPr>
        <w:spacing w:after="0" w:line="240" w:lineRule="auto"/>
        <w:ind w:left="1985" w:hanging="142"/>
        <w:jc w:val="both"/>
        <w:rPr>
          <w:rFonts w:ascii="Arial" w:hAnsi="Arial" w:cs="Arial"/>
          <w:i/>
          <w:sz w:val="20"/>
          <w:szCs w:val="20"/>
        </w:rPr>
      </w:pPr>
      <w:r w:rsidRPr="00D86EC7">
        <w:rPr>
          <w:rFonts w:ascii="Arial" w:hAnsi="Arial" w:cs="Arial"/>
          <w:i/>
          <w:sz w:val="20"/>
          <w:szCs w:val="20"/>
        </w:rPr>
        <w:t>a V.</w:t>
      </w:r>
    </w:p>
    <w:p w:rsidR="00CB4192" w:rsidRPr="00CB4192" w:rsidRDefault="00CB4192" w:rsidP="00CB4192">
      <w:pPr>
        <w:spacing w:after="0" w:line="240" w:lineRule="auto"/>
        <w:ind w:left="1843"/>
        <w:jc w:val="both"/>
        <w:rPr>
          <w:rFonts w:ascii="Arial" w:hAnsi="Arial" w:cs="Arial"/>
          <w:i/>
          <w:sz w:val="20"/>
          <w:szCs w:val="20"/>
          <w:u w:val="single"/>
        </w:rPr>
      </w:pPr>
    </w:p>
    <w:p w:rsidR="00DD0049" w:rsidRDefault="00DD0049" w:rsidP="00DD0049">
      <w:pPr>
        <w:spacing w:after="0" w:line="240" w:lineRule="auto"/>
        <w:ind w:left="1843"/>
        <w:jc w:val="both"/>
        <w:rPr>
          <w:rFonts w:ascii="Arial" w:hAnsi="Arial" w:cs="Arial"/>
          <w:i/>
          <w:sz w:val="20"/>
          <w:szCs w:val="20"/>
          <w:u w:val="single"/>
        </w:rPr>
      </w:pPr>
      <w:r w:rsidRPr="00DD0049">
        <w:rPr>
          <w:rFonts w:ascii="Arial" w:hAnsi="Arial" w:cs="Arial"/>
          <w:i/>
          <w:sz w:val="20"/>
          <w:szCs w:val="20"/>
          <w:u w:val="single"/>
        </w:rPr>
        <w:t>VI. Los principales indicadores sobre la actividad jurisdiccional que deberán incluir, al menos, asuntos ingresados, egresados y existencia, por unidad jurisdiccional y agregados por todo el órgano de imparti</w:t>
      </w:r>
      <w:r w:rsidRPr="00DD0049">
        <w:rPr>
          <w:rFonts w:ascii="Arial" w:hAnsi="Arial" w:cs="Arial"/>
          <w:i/>
          <w:sz w:val="20"/>
          <w:szCs w:val="20"/>
          <w:u w:val="single"/>
        </w:rPr>
        <w:softHyphen/>
        <w:t>ción de justicia, el número de sentencias dictadas; y, en su caso, las que sean confirmadas, revocadas o modificadas por unidad jurisdiccional; y</w:t>
      </w:r>
    </w:p>
    <w:p w:rsidR="00D86EC7" w:rsidRPr="00DD0049" w:rsidRDefault="00D86EC7" w:rsidP="00DD0049">
      <w:pPr>
        <w:spacing w:after="0" w:line="240" w:lineRule="auto"/>
        <w:ind w:left="1843"/>
        <w:jc w:val="both"/>
        <w:rPr>
          <w:rFonts w:ascii="Arial" w:hAnsi="Arial" w:cs="Arial"/>
          <w:i/>
          <w:sz w:val="20"/>
          <w:szCs w:val="20"/>
          <w:u w:val="single"/>
          <w:lang w:val="es-ES_tradnl"/>
        </w:rPr>
      </w:pPr>
    </w:p>
    <w:p w:rsidR="00DD0049" w:rsidRPr="00D86EC7" w:rsidRDefault="00DD0049" w:rsidP="00DD0049">
      <w:pPr>
        <w:spacing w:after="0" w:line="240" w:lineRule="auto"/>
        <w:ind w:left="1843"/>
        <w:jc w:val="both"/>
        <w:rPr>
          <w:rFonts w:ascii="Arial" w:hAnsi="Arial" w:cs="Arial"/>
          <w:i/>
          <w:sz w:val="20"/>
          <w:szCs w:val="20"/>
          <w:lang w:val="es-ES_tradnl"/>
        </w:rPr>
      </w:pPr>
      <w:r w:rsidRPr="00D86EC7">
        <w:rPr>
          <w:rFonts w:ascii="Arial" w:hAnsi="Arial" w:cs="Arial"/>
          <w:i/>
          <w:sz w:val="20"/>
          <w:szCs w:val="20"/>
          <w:lang w:val="es-ES_tradnl"/>
        </w:rPr>
        <w:t>VII.</w:t>
      </w:r>
    </w:p>
    <w:p w:rsidR="00DD0049" w:rsidRDefault="00DD0049" w:rsidP="00DD0049">
      <w:pPr>
        <w:spacing w:after="0" w:line="240" w:lineRule="auto"/>
        <w:jc w:val="both"/>
        <w:rPr>
          <w:rFonts w:ascii="Arial" w:hAnsi="Arial" w:cs="Arial"/>
          <w:i/>
          <w:sz w:val="20"/>
          <w:szCs w:val="20"/>
          <w:u w:val="single"/>
          <w:lang w:val="es-ES_tradnl"/>
        </w:rPr>
      </w:pPr>
    </w:p>
    <w:p w:rsidR="00A274FB" w:rsidRDefault="00A274FB" w:rsidP="00A274FB">
      <w:pPr>
        <w:spacing w:after="0" w:line="240" w:lineRule="auto"/>
        <w:ind w:left="1843"/>
        <w:jc w:val="both"/>
        <w:rPr>
          <w:rFonts w:ascii="Arial" w:hAnsi="Arial" w:cs="Arial"/>
          <w:i/>
          <w:sz w:val="20"/>
          <w:szCs w:val="20"/>
          <w:u w:val="single"/>
          <w:lang w:val="es-ES_tradnl"/>
        </w:rPr>
      </w:pPr>
    </w:p>
    <w:p w:rsidR="00886FDF" w:rsidRDefault="00B41DF5" w:rsidP="00125492">
      <w:pPr>
        <w:spacing w:after="0" w:line="360" w:lineRule="auto"/>
        <w:ind w:left="1843" w:firstLine="709"/>
        <w:jc w:val="both"/>
        <w:rPr>
          <w:rFonts w:ascii="Arial" w:hAnsi="Arial" w:cs="Arial"/>
          <w:sz w:val="24"/>
          <w:szCs w:val="24"/>
          <w:lang w:val="es-ES_tradnl"/>
        </w:rPr>
      </w:pPr>
      <w:r>
        <w:rPr>
          <w:rFonts w:ascii="Arial" w:hAnsi="Arial" w:cs="Arial"/>
          <w:sz w:val="24"/>
          <w:szCs w:val="24"/>
          <w:lang w:val="es-ES_tradnl"/>
        </w:rPr>
        <w:t>Conforme a lo establecido en los</w:t>
      </w:r>
      <w:r w:rsidR="00A274FB">
        <w:rPr>
          <w:rFonts w:ascii="Arial" w:hAnsi="Arial" w:cs="Arial"/>
          <w:sz w:val="24"/>
          <w:szCs w:val="24"/>
          <w:lang w:val="es-ES_tradnl"/>
        </w:rPr>
        <w:t xml:space="preserve"> ordenamiento</w:t>
      </w:r>
      <w:r>
        <w:rPr>
          <w:rFonts w:ascii="Arial" w:hAnsi="Arial" w:cs="Arial"/>
          <w:sz w:val="24"/>
          <w:szCs w:val="24"/>
          <w:lang w:val="es-ES_tradnl"/>
        </w:rPr>
        <w:t>s</w:t>
      </w:r>
      <w:r w:rsidR="00A274FB">
        <w:rPr>
          <w:rFonts w:ascii="Arial" w:hAnsi="Arial" w:cs="Arial"/>
          <w:sz w:val="24"/>
          <w:szCs w:val="24"/>
          <w:lang w:val="es-ES_tradnl"/>
        </w:rPr>
        <w:t xml:space="preserve"> ante citado</w:t>
      </w:r>
      <w:r>
        <w:rPr>
          <w:rFonts w:ascii="Arial" w:hAnsi="Arial" w:cs="Arial"/>
          <w:sz w:val="24"/>
          <w:szCs w:val="24"/>
          <w:lang w:val="es-ES_tradnl"/>
        </w:rPr>
        <w:t>s</w:t>
      </w:r>
      <w:r w:rsidR="00A274FB">
        <w:rPr>
          <w:rFonts w:ascii="Arial" w:hAnsi="Arial" w:cs="Arial"/>
          <w:sz w:val="24"/>
          <w:szCs w:val="24"/>
          <w:lang w:val="es-ES_tradnl"/>
        </w:rPr>
        <w:t xml:space="preserve"> consideramos que </w:t>
      </w:r>
      <w:r w:rsidR="007A6944">
        <w:rPr>
          <w:rFonts w:ascii="Arial" w:hAnsi="Arial" w:cs="Arial"/>
          <w:sz w:val="24"/>
          <w:szCs w:val="24"/>
          <w:lang w:val="es-ES_tradnl"/>
        </w:rPr>
        <w:t xml:space="preserve">se encuentran </w:t>
      </w:r>
      <w:r w:rsidR="007C0680">
        <w:rPr>
          <w:rFonts w:ascii="Arial" w:hAnsi="Arial" w:cs="Arial"/>
          <w:sz w:val="24"/>
          <w:szCs w:val="24"/>
          <w:lang w:val="es-ES_tradnl"/>
        </w:rPr>
        <w:t xml:space="preserve">subsanadas y contempladas </w:t>
      </w:r>
      <w:r w:rsidR="007A6944">
        <w:rPr>
          <w:rFonts w:ascii="Arial" w:hAnsi="Arial" w:cs="Arial"/>
          <w:sz w:val="24"/>
          <w:szCs w:val="24"/>
          <w:lang w:val="es-ES_tradnl"/>
        </w:rPr>
        <w:t xml:space="preserve">las </w:t>
      </w:r>
      <w:r w:rsidR="007A6944">
        <w:rPr>
          <w:rFonts w:ascii="Arial" w:hAnsi="Arial" w:cs="Arial"/>
          <w:sz w:val="24"/>
          <w:szCs w:val="24"/>
          <w:lang w:val="es-ES_tradnl"/>
        </w:rPr>
        <w:lastRenderedPageBreak/>
        <w:t>div</w:t>
      </w:r>
      <w:r w:rsidR="00356E10">
        <w:rPr>
          <w:rFonts w:ascii="Arial" w:hAnsi="Arial" w:cs="Arial"/>
          <w:sz w:val="24"/>
          <w:szCs w:val="24"/>
          <w:lang w:val="es-ES_tradnl"/>
        </w:rPr>
        <w:t xml:space="preserve">ersas peticiones del promovente, </w:t>
      </w:r>
      <w:r w:rsidR="007C0680">
        <w:rPr>
          <w:rFonts w:ascii="Arial" w:hAnsi="Arial" w:cs="Arial"/>
          <w:sz w:val="24"/>
          <w:szCs w:val="24"/>
          <w:lang w:val="es-ES_tradnl"/>
        </w:rPr>
        <w:t xml:space="preserve">toda vez que son referentes a la presentación de </w:t>
      </w:r>
      <w:r w:rsidR="00356E10">
        <w:rPr>
          <w:rFonts w:ascii="Arial" w:hAnsi="Arial" w:cs="Arial"/>
          <w:sz w:val="24"/>
          <w:szCs w:val="24"/>
          <w:lang w:val="es-ES_tradnl"/>
        </w:rPr>
        <w:t>información</w:t>
      </w:r>
      <w:r w:rsidR="007C0680">
        <w:rPr>
          <w:rFonts w:ascii="Arial" w:hAnsi="Arial" w:cs="Arial"/>
          <w:sz w:val="24"/>
          <w:szCs w:val="24"/>
          <w:lang w:val="es-ES_tradnl"/>
        </w:rPr>
        <w:t xml:space="preserve"> </w:t>
      </w:r>
      <w:r w:rsidR="00356E10">
        <w:rPr>
          <w:rFonts w:ascii="Arial" w:hAnsi="Arial" w:cs="Arial"/>
          <w:sz w:val="24"/>
          <w:szCs w:val="24"/>
          <w:lang w:val="es-ES_tradnl"/>
        </w:rPr>
        <w:t>estadística a la ciudadanía</w:t>
      </w:r>
      <w:r w:rsidR="00B75F14">
        <w:rPr>
          <w:rFonts w:ascii="Arial" w:hAnsi="Arial" w:cs="Arial"/>
          <w:sz w:val="24"/>
          <w:szCs w:val="24"/>
          <w:lang w:val="es-ES_tradnl"/>
        </w:rPr>
        <w:t xml:space="preserve"> y creación de bases de datos</w:t>
      </w:r>
      <w:r w:rsidR="00356E10">
        <w:rPr>
          <w:rFonts w:ascii="Arial" w:hAnsi="Arial" w:cs="Arial"/>
          <w:sz w:val="24"/>
          <w:szCs w:val="24"/>
          <w:lang w:val="es-ES_tradnl"/>
        </w:rPr>
        <w:t xml:space="preserve">, </w:t>
      </w:r>
      <w:r w:rsidR="00CB4192">
        <w:rPr>
          <w:rFonts w:ascii="Arial" w:hAnsi="Arial" w:cs="Arial"/>
          <w:sz w:val="24"/>
          <w:szCs w:val="24"/>
          <w:lang w:val="es-ES_tradnl"/>
        </w:rPr>
        <w:t xml:space="preserve">y actualmente </w:t>
      </w:r>
      <w:r w:rsidR="007C0680">
        <w:rPr>
          <w:rFonts w:ascii="Arial" w:hAnsi="Arial" w:cs="Arial"/>
          <w:sz w:val="24"/>
          <w:szCs w:val="24"/>
          <w:lang w:val="es-ES_tradnl"/>
        </w:rPr>
        <w:t xml:space="preserve">la Ley de Transparencia y </w:t>
      </w:r>
      <w:r w:rsidR="00356E10">
        <w:rPr>
          <w:rFonts w:ascii="Arial" w:hAnsi="Arial" w:cs="Arial"/>
          <w:sz w:val="24"/>
          <w:szCs w:val="24"/>
        </w:rPr>
        <w:t xml:space="preserve">Acceso a la Información Pública del Estado de Nuevo León obliga a dicha autoridad a presentar </w:t>
      </w:r>
      <w:r w:rsidR="00125492">
        <w:rPr>
          <w:rFonts w:ascii="Arial" w:hAnsi="Arial" w:cs="Arial"/>
          <w:sz w:val="24"/>
          <w:szCs w:val="24"/>
        </w:rPr>
        <w:t xml:space="preserve">dicha </w:t>
      </w:r>
      <w:r w:rsidR="00DD0049">
        <w:rPr>
          <w:rFonts w:ascii="Arial" w:hAnsi="Arial" w:cs="Arial"/>
          <w:sz w:val="24"/>
          <w:szCs w:val="24"/>
        </w:rPr>
        <w:t>información.</w:t>
      </w:r>
      <w:r w:rsidR="00356E10">
        <w:rPr>
          <w:rFonts w:ascii="Arial" w:hAnsi="Arial" w:cs="Arial"/>
          <w:sz w:val="24"/>
          <w:szCs w:val="24"/>
        </w:rPr>
        <w:t xml:space="preserve"> </w:t>
      </w:r>
    </w:p>
    <w:p w:rsidR="00125492" w:rsidRPr="00125492" w:rsidRDefault="00125492" w:rsidP="00125492">
      <w:pPr>
        <w:spacing w:after="0" w:line="360" w:lineRule="auto"/>
        <w:ind w:left="1843" w:firstLine="709"/>
        <w:jc w:val="both"/>
        <w:rPr>
          <w:rFonts w:ascii="Arial" w:hAnsi="Arial" w:cs="Arial"/>
          <w:sz w:val="24"/>
          <w:szCs w:val="24"/>
          <w:lang w:val="es-ES_tradnl"/>
        </w:rPr>
      </w:pPr>
    </w:p>
    <w:p w:rsidR="00A46DFB" w:rsidRPr="002D3B94" w:rsidRDefault="00A46DFB" w:rsidP="00B57A96">
      <w:pPr>
        <w:spacing w:line="360" w:lineRule="auto"/>
        <w:ind w:left="1843" w:firstLine="427"/>
        <w:jc w:val="both"/>
        <w:rPr>
          <w:rFonts w:ascii="Arial" w:hAnsi="Arial" w:cs="Arial"/>
          <w:sz w:val="24"/>
          <w:szCs w:val="24"/>
        </w:rPr>
      </w:pPr>
      <w:r w:rsidRPr="002D3B94">
        <w:rPr>
          <w:rFonts w:ascii="Arial" w:hAnsi="Arial" w:cs="Arial"/>
          <w:sz w:val="24"/>
          <w:szCs w:val="24"/>
        </w:rPr>
        <w:t>En atención a los argumentos v</w:t>
      </w:r>
      <w:r w:rsidR="00B57A96" w:rsidRPr="002D3B94">
        <w:rPr>
          <w:rFonts w:ascii="Arial" w:hAnsi="Arial" w:cs="Arial"/>
          <w:sz w:val="24"/>
          <w:szCs w:val="24"/>
        </w:rPr>
        <w:t xml:space="preserve">ertidos en el presente dictamen </w:t>
      </w:r>
      <w:r w:rsidRPr="002D3B94">
        <w:rPr>
          <w:rFonts w:ascii="Arial" w:hAnsi="Arial" w:cs="Arial"/>
          <w:sz w:val="24"/>
          <w:szCs w:val="24"/>
        </w:rPr>
        <w:t>por los suscritos Diputados que integramos ésta Comisión, y de acuerdo con lo que disponen los artículos 37 y 39 fracción II, del Reglamento para el Gobierno Interior del Congreso del Estado de Nuevo León, proponemos a esta Soberanía el siguiente:</w:t>
      </w:r>
    </w:p>
    <w:p w:rsidR="00A46DFB" w:rsidRPr="002D3B94" w:rsidRDefault="00A46DFB" w:rsidP="00B57A96">
      <w:pPr>
        <w:shd w:val="clear" w:color="auto" w:fill="FFFFFF"/>
        <w:spacing w:before="100" w:beforeAutospacing="1" w:after="100" w:afterAutospacing="1" w:line="360" w:lineRule="auto"/>
        <w:ind w:left="1843"/>
        <w:jc w:val="center"/>
        <w:rPr>
          <w:rFonts w:ascii="Arial" w:eastAsia="Times New Roman" w:hAnsi="Arial" w:cs="Arial"/>
          <w:b/>
          <w:bCs/>
          <w:sz w:val="24"/>
          <w:szCs w:val="24"/>
          <w:lang w:eastAsia="es-MX"/>
        </w:rPr>
      </w:pPr>
      <w:r w:rsidRPr="002D3B94">
        <w:rPr>
          <w:rFonts w:ascii="Arial" w:eastAsia="Times New Roman" w:hAnsi="Arial" w:cs="Arial"/>
          <w:b/>
          <w:bCs/>
          <w:sz w:val="24"/>
          <w:szCs w:val="24"/>
          <w:lang w:eastAsia="es-MX"/>
        </w:rPr>
        <w:t>ACUERDO</w:t>
      </w:r>
    </w:p>
    <w:p w:rsidR="00250A31" w:rsidRDefault="00A46DFB" w:rsidP="00B57A96">
      <w:pPr>
        <w:spacing w:after="0" w:line="360" w:lineRule="auto"/>
        <w:ind w:left="1843"/>
        <w:jc w:val="both"/>
        <w:rPr>
          <w:rFonts w:ascii="Arial" w:eastAsia="Times New Roman" w:hAnsi="Arial" w:cs="Arial"/>
          <w:bCs/>
          <w:sz w:val="24"/>
          <w:szCs w:val="24"/>
          <w:lang w:eastAsia="es-MX"/>
        </w:rPr>
      </w:pPr>
      <w:r w:rsidRPr="002D3B94">
        <w:rPr>
          <w:rFonts w:ascii="Arial" w:eastAsia="Times New Roman" w:hAnsi="Arial" w:cs="Arial"/>
          <w:b/>
          <w:bCs/>
          <w:sz w:val="24"/>
          <w:szCs w:val="24"/>
          <w:lang w:eastAsia="es-MX"/>
        </w:rPr>
        <w:t xml:space="preserve">PRIMERO.- </w:t>
      </w:r>
      <w:r w:rsidRPr="002D3B94">
        <w:rPr>
          <w:rFonts w:ascii="Arial" w:eastAsia="Times New Roman" w:hAnsi="Arial" w:cs="Arial"/>
          <w:bCs/>
          <w:sz w:val="24"/>
          <w:szCs w:val="24"/>
          <w:lang w:eastAsia="es-MX"/>
        </w:rPr>
        <w:t>Por las consideraciones de hecho y de derecho vertidas en el cuerpo del presente dictamen</w:t>
      </w:r>
      <w:r w:rsidR="00250A31" w:rsidRPr="002D3B94">
        <w:rPr>
          <w:rFonts w:ascii="Arial" w:eastAsia="Times New Roman" w:hAnsi="Arial" w:cs="Arial"/>
          <w:bCs/>
          <w:sz w:val="24"/>
          <w:szCs w:val="24"/>
          <w:lang w:eastAsia="es-MX"/>
        </w:rPr>
        <w:t>,</w:t>
      </w:r>
      <w:r w:rsidRPr="002D3B94">
        <w:rPr>
          <w:rFonts w:ascii="Arial" w:eastAsia="Times New Roman" w:hAnsi="Arial" w:cs="Arial"/>
          <w:bCs/>
          <w:sz w:val="24"/>
          <w:szCs w:val="24"/>
          <w:lang w:eastAsia="es-MX"/>
        </w:rPr>
        <w:t xml:space="preserve"> </w:t>
      </w:r>
      <w:r w:rsidR="00D32B63">
        <w:rPr>
          <w:rFonts w:ascii="Arial" w:eastAsia="Times New Roman" w:hAnsi="Arial" w:cs="Arial"/>
          <w:bCs/>
          <w:sz w:val="24"/>
          <w:szCs w:val="24"/>
          <w:lang w:eastAsia="es-MX"/>
        </w:rPr>
        <w:t>se da por atendida la</w:t>
      </w:r>
      <w:r w:rsidRPr="002D3B94">
        <w:rPr>
          <w:rFonts w:ascii="Arial" w:eastAsia="Times New Roman" w:hAnsi="Arial" w:cs="Arial"/>
          <w:bCs/>
          <w:sz w:val="24"/>
          <w:szCs w:val="24"/>
          <w:lang w:eastAsia="es-MX"/>
        </w:rPr>
        <w:t xml:space="preserve"> </w:t>
      </w:r>
      <w:r w:rsidR="00D86A41" w:rsidRPr="00D86A41">
        <w:rPr>
          <w:rFonts w:ascii="Arial" w:eastAsia="Times New Roman" w:hAnsi="Arial" w:cs="Arial"/>
          <w:bCs/>
          <w:sz w:val="24"/>
          <w:szCs w:val="24"/>
          <w:lang w:eastAsia="es-MX"/>
        </w:rPr>
        <w:t>Iniciativa de reforma al artículo 36 de la Ley de Acceso de las Mujeres a una Vida Libre de Violencia.</w:t>
      </w:r>
      <w:r w:rsidR="008F23E6">
        <w:rPr>
          <w:rFonts w:ascii="Arial" w:eastAsia="Times New Roman" w:hAnsi="Arial" w:cs="Arial"/>
          <w:bCs/>
          <w:sz w:val="24"/>
          <w:szCs w:val="24"/>
          <w:lang w:eastAsia="es-MX"/>
        </w:rPr>
        <w:t xml:space="preserve"> Presentada por el C. Diputado </w:t>
      </w:r>
      <w:r w:rsidR="008F23E6" w:rsidRPr="006F136E">
        <w:rPr>
          <w:rFonts w:ascii="Arial" w:hAnsi="Arial" w:cs="Arial"/>
          <w:sz w:val="24"/>
          <w:szCs w:val="24"/>
        </w:rPr>
        <w:t>Erick Godar Ureña Frausto Diputado de la LXXIII Legislatura</w:t>
      </w:r>
      <w:r w:rsidR="008F23E6">
        <w:rPr>
          <w:rFonts w:ascii="Arial" w:hAnsi="Arial" w:cs="Arial"/>
          <w:sz w:val="24"/>
          <w:szCs w:val="24"/>
        </w:rPr>
        <w:t>.</w:t>
      </w:r>
    </w:p>
    <w:p w:rsidR="00D86A41" w:rsidRPr="002D3B94" w:rsidRDefault="00D86A41" w:rsidP="00B57A96">
      <w:pPr>
        <w:spacing w:after="0" w:line="360" w:lineRule="auto"/>
        <w:ind w:left="1843"/>
        <w:jc w:val="both"/>
        <w:rPr>
          <w:rFonts w:ascii="Arial" w:hAnsi="Arial" w:cs="Arial"/>
          <w:b/>
          <w:sz w:val="24"/>
          <w:szCs w:val="24"/>
          <w:lang w:val="es-ES"/>
        </w:rPr>
      </w:pPr>
    </w:p>
    <w:p w:rsidR="00A46DFB" w:rsidRPr="002D3B94" w:rsidRDefault="00A46DFB" w:rsidP="00B57A96">
      <w:pPr>
        <w:spacing w:after="0" w:line="360" w:lineRule="auto"/>
        <w:ind w:left="1843"/>
        <w:jc w:val="both"/>
        <w:rPr>
          <w:rFonts w:ascii="Arial" w:eastAsia="Times New Roman" w:hAnsi="Arial" w:cs="Arial"/>
          <w:bCs/>
          <w:sz w:val="24"/>
          <w:szCs w:val="24"/>
          <w:lang w:eastAsia="es-MX"/>
        </w:rPr>
      </w:pPr>
      <w:r w:rsidRPr="002D3B94">
        <w:rPr>
          <w:rFonts w:ascii="Arial" w:hAnsi="Arial" w:cs="Arial"/>
          <w:b/>
          <w:sz w:val="24"/>
          <w:szCs w:val="24"/>
          <w:lang w:val="es-ES"/>
        </w:rPr>
        <w:t xml:space="preserve">SEGUNDO.- </w:t>
      </w:r>
      <w:r w:rsidRPr="002D3B94">
        <w:rPr>
          <w:rFonts w:ascii="Arial" w:hAnsi="Arial" w:cs="Arial"/>
          <w:sz w:val="24"/>
          <w:szCs w:val="24"/>
          <w:lang w:val="es-ES"/>
        </w:rPr>
        <w:t>Comuníquese el presente acuerdo al promovente, de conformidad con lo establecido en el artículo 124 del Reglamento para el Gobierno Interior del  Congreso del Estado de Nuevo León.</w:t>
      </w:r>
    </w:p>
    <w:p w:rsidR="00A46DFB" w:rsidRPr="002D3B94" w:rsidRDefault="00A46DFB" w:rsidP="00B57A96">
      <w:pPr>
        <w:spacing w:line="360" w:lineRule="auto"/>
        <w:ind w:left="1843"/>
        <w:jc w:val="both"/>
        <w:rPr>
          <w:rFonts w:ascii="Arial" w:hAnsi="Arial" w:cs="Arial"/>
          <w:b/>
          <w:sz w:val="24"/>
          <w:szCs w:val="24"/>
          <w:lang w:val="es-ES"/>
        </w:rPr>
      </w:pPr>
    </w:p>
    <w:p w:rsidR="00A46DFB" w:rsidRPr="002D3B94" w:rsidRDefault="00A46DFB" w:rsidP="00B57A96">
      <w:pPr>
        <w:spacing w:line="360" w:lineRule="auto"/>
        <w:ind w:left="1843"/>
        <w:jc w:val="both"/>
        <w:rPr>
          <w:rFonts w:ascii="Arial" w:hAnsi="Arial" w:cs="Arial"/>
          <w:sz w:val="24"/>
          <w:szCs w:val="24"/>
          <w:lang w:val="es-ES"/>
        </w:rPr>
      </w:pPr>
      <w:r w:rsidRPr="002D3B94">
        <w:rPr>
          <w:rFonts w:ascii="Arial" w:hAnsi="Arial" w:cs="Arial"/>
          <w:b/>
          <w:sz w:val="24"/>
          <w:szCs w:val="24"/>
          <w:lang w:val="es-ES"/>
        </w:rPr>
        <w:t>TERCERO.-</w:t>
      </w:r>
      <w:r w:rsidRPr="002D3B94">
        <w:rPr>
          <w:rFonts w:ascii="Arial" w:hAnsi="Arial" w:cs="Arial"/>
          <w:sz w:val="24"/>
          <w:szCs w:val="24"/>
          <w:lang w:val="es-ES"/>
        </w:rPr>
        <w:t xml:space="preserve"> Archívese y téngase por concluido el presente asunto.</w:t>
      </w:r>
    </w:p>
    <w:p w:rsidR="00A46DFB" w:rsidRPr="002D3B94" w:rsidRDefault="00A46DFB" w:rsidP="00B57A96">
      <w:pPr>
        <w:spacing w:after="0" w:line="360" w:lineRule="auto"/>
        <w:ind w:left="1843"/>
        <w:jc w:val="center"/>
        <w:rPr>
          <w:rFonts w:ascii="Arial" w:hAnsi="Arial" w:cs="Arial"/>
          <w:b/>
          <w:sz w:val="24"/>
          <w:szCs w:val="24"/>
        </w:rPr>
      </w:pPr>
    </w:p>
    <w:p w:rsidR="00A46DFB" w:rsidRPr="002D3B94" w:rsidRDefault="00A46DFB" w:rsidP="00A46DFB">
      <w:pPr>
        <w:spacing w:after="0" w:line="360" w:lineRule="auto"/>
        <w:jc w:val="center"/>
        <w:rPr>
          <w:rFonts w:ascii="Arial" w:hAnsi="Arial" w:cs="Arial"/>
          <w:b/>
          <w:sz w:val="24"/>
          <w:szCs w:val="24"/>
        </w:rPr>
      </w:pPr>
      <w:r w:rsidRPr="002D3B94">
        <w:rPr>
          <w:rFonts w:ascii="Arial" w:hAnsi="Arial" w:cs="Arial"/>
          <w:b/>
          <w:sz w:val="24"/>
          <w:szCs w:val="24"/>
        </w:rPr>
        <w:lastRenderedPageBreak/>
        <w:t xml:space="preserve">Monterrey, Nuevo León, </w:t>
      </w:r>
      <w:r w:rsidR="002E65B1">
        <w:rPr>
          <w:rFonts w:ascii="Arial" w:hAnsi="Arial" w:cs="Arial"/>
          <w:b/>
          <w:sz w:val="24"/>
          <w:szCs w:val="24"/>
        </w:rPr>
        <w:t xml:space="preserve"> </w:t>
      </w:r>
    </w:p>
    <w:p w:rsidR="00A46DFB" w:rsidRPr="002D3B94" w:rsidRDefault="00A46DFB" w:rsidP="00A46DFB">
      <w:pPr>
        <w:spacing w:line="360" w:lineRule="auto"/>
        <w:jc w:val="center"/>
        <w:rPr>
          <w:rFonts w:ascii="Arial" w:hAnsi="Arial" w:cs="Arial"/>
          <w:b/>
          <w:bCs/>
          <w:sz w:val="24"/>
          <w:szCs w:val="24"/>
        </w:rPr>
      </w:pPr>
      <w:r w:rsidRPr="002D3B94">
        <w:rPr>
          <w:rFonts w:ascii="Arial" w:hAnsi="Arial" w:cs="Arial"/>
          <w:b/>
          <w:bCs/>
          <w:sz w:val="24"/>
          <w:szCs w:val="24"/>
        </w:rPr>
        <w:t xml:space="preserve">Comisión de Legislación y Puntos Constitucionales </w:t>
      </w:r>
    </w:p>
    <w:p w:rsidR="00A46DFB" w:rsidRPr="002D3B94" w:rsidRDefault="00A46DFB" w:rsidP="00A46DFB">
      <w:pPr>
        <w:jc w:val="center"/>
        <w:rPr>
          <w:rFonts w:ascii="Arial" w:hAnsi="Arial" w:cs="Arial"/>
          <w:b/>
          <w:bCs/>
          <w:sz w:val="24"/>
          <w:szCs w:val="24"/>
        </w:rPr>
      </w:pPr>
      <w:r w:rsidRPr="002D3B94">
        <w:rPr>
          <w:rFonts w:ascii="Arial" w:hAnsi="Arial" w:cs="Arial"/>
          <w:b/>
          <w:bCs/>
          <w:sz w:val="24"/>
          <w:szCs w:val="24"/>
        </w:rPr>
        <w:t>DIP. PRESIDENTE:</w:t>
      </w:r>
    </w:p>
    <w:p w:rsidR="00A46DFB" w:rsidRPr="002D3B94" w:rsidRDefault="00A46DFB" w:rsidP="00A46DFB">
      <w:pPr>
        <w:rPr>
          <w:rFonts w:ascii="Arial" w:hAnsi="Arial" w:cs="Arial"/>
          <w:sz w:val="24"/>
          <w:szCs w:val="24"/>
        </w:rPr>
      </w:pPr>
    </w:p>
    <w:p w:rsidR="00A46DFB" w:rsidRPr="002D3B94" w:rsidRDefault="00A46DFB" w:rsidP="00A46DFB">
      <w:pPr>
        <w:rPr>
          <w:rFonts w:ascii="Arial" w:hAnsi="Arial" w:cs="Arial"/>
          <w:sz w:val="24"/>
          <w:szCs w:val="24"/>
        </w:rPr>
      </w:pPr>
    </w:p>
    <w:p w:rsidR="00A46DFB" w:rsidRPr="002D3B94" w:rsidRDefault="00A46DFB" w:rsidP="00A46DFB">
      <w:pPr>
        <w:jc w:val="center"/>
        <w:rPr>
          <w:rFonts w:ascii="Arial" w:hAnsi="Arial" w:cs="Arial"/>
          <w:sz w:val="24"/>
          <w:szCs w:val="24"/>
          <w:lang w:val="es-ES" w:eastAsia="es-ES"/>
        </w:rPr>
      </w:pPr>
      <w:r w:rsidRPr="002D3B94">
        <w:rPr>
          <w:rFonts w:ascii="Arial" w:hAnsi="Arial" w:cs="Arial"/>
          <w:sz w:val="24"/>
          <w:szCs w:val="24"/>
          <w:lang w:val="es-ES" w:eastAsia="es-ES"/>
        </w:rPr>
        <w:t>HÉCTOR GARCÍA GARCÍA</w:t>
      </w:r>
    </w:p>
    <w:p w:rsidR="00A46DFB" w:rsidRPr="002D3B94" w:rsidRDefault="00A46DFB" w:rsidP="00A46DFB">
      <w:pPr>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A46DFB" w:rsidRPr="002D3B94" w:rsidTr="00474DC4">
        <w:trPr>
          <w:trHeight w:val="3112"/>
          <w:jc w:val="center"/>
        </w:trPr>
        <w:tc>
          <w:tcPr>
            <w:tcW w:w="3857" w:type="dxa"/>
          </w:tcPr>
          <w:p w:rsidR="00A46DFB" w:rsidRPr="002D3B94" w:rsidRDefault="00A46DFB" w:rsidP="00474DC4">
            <w:pPr>
              <w:jc w:val="center"/>
              <w:rPr>
                <w:rFonts w:ascii="Arial" w:hAnsi="Arial" w:cs="Arial"/>
                <w:b/>
                <w:bCs/>
                <w:sz w:val="24"/>
                <w:szCs w:val="24"/>
                <w:lang w:val="es-ES" w:eastAsia="es-ES"/>
              </w:rPr>
            </w:pPr>
            <w:r w:rsidRPr="002D3B94">
              <w:rPr>
                <w:rFonts w:ascii="Arial" w:hAnsi="Arial" w:cs="Arial"/>
                <w:b/>
                <w:bCs/>
                <w:sz w:val="24"/>
                <w:szCs w:val="24"/>
                <w:lang w:val="es-ES" w:eastAsia="es-ES"/>
              </w:rPr>
              <w:t>DIP. VICEPRESIDENTE:</w:t>
            </w: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p>
          <w:p w:rsidR="0084690E" w:rsidRPr="002D3B94" w:rsidRDefault="00A46DFB" w:rsidP="002E65B1">
            <w:pPr>
              <w:jc w:val="center"/>
              <w:rPr>
                <w:rFonts w:ascii="Arial" w:hAnsi="Arial" w:cs="Arial"/>
                <w:bCs/>
                <w:sz w:val="24"/>
                <w:szCs w:val="24"/>
                <w:lang w:val="es-ES" w:eastAsia="es-ES"/>
              </w:rPr>
            </w:pPr>
            <w:r w:rsidRPr="002D3B94">
              <w:rPr>
                <w:rFonts w:ascii="Arial" w:hAnsi="Arial" w:cs="Arial"/>
                <w:bCs/>
                <w:sz w:val="24"/>
                <w:szCs w:val="24"/>
                <w:lang w:val="es-ES" w:eastAsia="es-ES"/>
              </w:rPr>
              <w:t>OSCAR ALEJANDRO FLORES ESCOBAR</w:t>
            </w:r>
          </w:p>
        </w:tc>
        <w:tc>
          <w:tcPr>
            <w:tcW w:w="4507" w:type="dxa"/>
          </w:tcPr>
          <w:p w:rsidR="00A46DFB" w:rsidRPr="002D3B94" w:rsidRDefault="00A46DFB" w:rsidP="00474DC4">
            <w:pPr>
              <w:jc w:val="center"/>
              <w:rPr>
                <w:rFonts w:ascii="Arial" w:hAnsi="Arial" w:cs="Arial"/>
                <w:b/>
                <w:bCs/>
                <w:sz w:val="24"/>
                <w:szCs w:val="24"/>
                <w:lang w:val="es-ES" w:eastAsia="es-ES"/>
              </w:rPr>
            </w:pPr>
            <w:r w:rsidRPr="002D3B94">
              <w:rPr>
                <w:rFonts w:ascii="Arial" w:hAnsi="Arial" w:cs="Arial"/>
                <w:b/>
                <w:bCs/>
                <w:sz w:val="24"/>
                <w:szCs w:val="24"/>
                <w:lang w:val="es-ES" w:eastAsia="es-ES"/>
              </w:rPr>
              <w:t>DIP. SECRETARIO:</w:t>
            </w: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r w:rsidRPr="002D3B94">
              <w:rPr>
                <w:rFonts w:ascii="Arial" w:hAnsi="Arial" w:cs="Arial"/>
                <w:bCs/>
                <w:sz w:val="24"/>
                <w:szCs w:val="24"/>
                <w:lang w:val="es-ES" w:eastAsia="es-ES"/>
              </w:rPr>
              <w:t>ANDRÉS MAURICIO CANTÚ RAMÍREZ</w:t>
            </w:r>
          </w:p>
          <w:p w:rsidR="00A46DFB" w:rsidRPr="002D3B94" w:rsidRDefault="00A46DFB" w:rsidP="00474DC4">
            <w:pPr>
              <w:jc w:val="center"/>
              <w:rPr>
                <w:rFonts w:ascii="Arial" w:hAnsi="Arial" w:cs="Arial"/>
                <w:bCs/>
                <w:sz w:val="24"/>
                <w:szCs w:val="24"/>
                <w:lang w:val="es-ES" w:eastAsia="es-ES"/>
              </w:rPr>
            </w:pPr>
          </w:p>
        </w:tc>
      </w:tr>
      <w:tr w:rsidR="00A46DFB" w:rsidRPr="002D3B94" w:rsidTr="00474DC4">
        <w:trPr>
          <w:jc w:val="center"/>
        </w:trPr>
        <w:tc>
          <w:tcPr>
            <w:tcW w:w="3857" w:type="dxa"/>
          </w:tcPr>
          <w:p w:rsidR="00A46DFB" w:rsidRPr="002D3B94" w:rsidRDefault="00A46DFB" w:rsidP="00474DC4">
            <w:pPr>
              <w:rPr>
                <w:rFonts w:ascii="Arial" w:hAnsi="Arial" w:cs="Arial"/>
                <w:sz w:val="24"/>
                <w:szCs w:val="24"/>
                <w:lang w:val="es-ES" w:eastAsia="es-ES"/>
              </w:rPr>
            </w:pPr>
          </w:p>
        </w:tc>
        <w:tc>
          <w:tcPr>
            <w:tcW w:w="4507" w:type="dxa"/>
          </w:tcPr>
          <w:p w:rsidR="00A46DFB" w:rsidRPr="002D3B94" w:rsidRDefault="00A46DFB" w:rsidP="00474DC4">
            <w:pPr>
              <w:jc w:val="center"/>
              <w:rPr>
                <w:rFonts w:ascii="Arial" w:hAnsi="Arial" w:cs="Arial"/>
                <w:sz w:val="24"/>
                <w:szCs w:val="24"/>
                <w:lang w:val="es-ES" w:eastAsia="es-ES"/>
              </w:rPr>
            </w:pPr>
          </w:p>
        </w:tc>
      </w:tr>
      <w:tr w:rsidR="00A46DFB" w:rsidRPr="002D3B94" w:rsidTr="00474DC4">
        <w:trPr>
          <w:jc w:val="center"/>
        </w:trPr>
        <w:tc>
          <w:tcPr>
            <w:tcW w:w="3857" w:type="dxa"/>
          </w:tcPr>
          <w:p w:rsidR="00A46DFB" w:rsidRPr="002D3B94" w:rsidRDefault="00A46DFB" w:rsidP="00474DC4">
            <w:pPr>
              <w:jc w:val="center"/>
              <w:rPr>
                <w:rFonts w:ascii="Arial" w:hAnsi="Arial" w:cs="Arial"/>
                <w:b/>
                <w:bCs/>
                <w:sz w:val="24"/>
                <w:szCs w:val="24"/>
                <w:lang w:val="es-ES" w:eastAsia="es-ES"/>
              </w:rPr>
            </w:pPr>
            <w:r w:rsidRPr="002D3B94">
              <w:rPr>
                <w:rFonts w:ascii="Arial" w:hAnsi="Arial" w:cs="Arial"/>
                <w:b/>
                <w:bCs/>
                <w:sz w:val="24"/>
                <w:szCs w:val="24"/>
                <w:lang w:val="es-ES" w:eastAsia="es-ES"/>
              </w:rPr>
              <w:t>DIP. VOCAL:</w:t>
            </w: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p>
          <w:p w:rsidR="00A46DFB" w:rsidRDefault="00A46DFB" w:rsidP="00474DC4">
            <w:pPr>
              <w:jc w:val="center"/>
              <w:rPr>
                <w:rFonts w:ascii="Arial" w:hAnsi="Arial" w:cs="Arial"/>
                <w:bCs/>
                <w:sz w:val="24"/>
                <w:szCs w:val="24"/>
                <w:lang w:val="es-ES" w:eastAsia="es-ES"/>
              </w:rPr>
            </w:pPr>
            <w:r w:rsidRPr="002D3B94">
              <w:rPr>
                <w:rFonts w:ascii="Arial" w:hAnsi="Arial" w:cs="Arial"/>
                <w:bCs/>
                <w:sz w:val="24"/>
                <w:szCs w:val="24"/>
                <w:lang w:val="es-ES" w:eastAsia="es-ES"/>
              </w:rPr>
              <w:t>MARCO ANTONIO GONZÁLEZ VALDEZ</w:t>
            </w:r>
          </w:p>
          <w:p w:rsidR="002E65B1" w:rsidRDefault="002E65B1" w:rsidP="00474DC4">
            <w:pPr>
              <w:jc w:val="center"/>
              <w:rPr>
                <w:rFonts w:ascii="Arial" w:hAnsi="Arial" w:cs="Arial"/>
                <w:bCs/>
                <w:sz w:val="24"/>
                <w:szCs w:val="24"/>
                <w:lang w:val="es-ES" w:eastAsia="es-ES"/>
              </w:rPr>
            </w:pPr>
          </w:p>
          <w:p w:rsidR="002E65B1" w:rsidRPr="002D3B94" w:rsidRDefault="002E65B1"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p>
        </w:tc>
        <w:tc>
          <w:tcPr>
            <w:tcW w:w="4507" w:type="dxa"/>
          </w:tcPr>
          <w:p w:rsidR="00A46DFB" w:rsidRPr="002D3B94" w:rsidRDefault="00A46DFB" w:rsidP="00474DC4">
            <w:pPr>
              <w:jc w:val="center"/>
              <w:rPr>
                <w:rFonts w:ascii="Arial" w:hAnsi="Arial" w:cs="Arial"/>
                <w:b/>
                <w:bCs/>
                <w:sz w:val="24"/>
                <w:szCs w:val="24"/>
                <w:lang w:val="es-ES" w:eastAsia="es-ES"/>
              </w:rPr>
            </w:pPr>
            <w:r w:rsidRPr="002D3B94">
              <w:rPr>
                <w:rFonts w:ascii="Arial" w:hAnsi="Arial" w:cs="Arial"/>
                <w:b/>
                <w:bCs/>
                <w:sz w:val="24"/>
                <w:szCs w:val="24"/>
                <w:lang w:val="es-ES" w:eastAsia="es-ES"/>
              </w:rPr>
              <w:t>DIP. VOCAL:</w:t>
            </w:r>
          </w:p>
          <w:p w:rsidR="00A46DFB" w:rsidRPr="002D3B94" w:rsidRDefault="00A46DFB" w:rsidP="00474DC4">
            <w:pP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r w:rsidRPr="002D3B94">
              <w:rPr>
                <w:rFonts w:ascii="Arial" w:hAnsi="Arial" w:cs="Arial"/>
                <w:bCs/>
                <w:sz w:val="24"/>
                <w:szCs w:val="24"/>
                <w:lang w:val="es-ES" w:eastAsia="es-ES"/>
              </w:rPr>
              <w:t>ADRIÁN DE LA GARZA TIJERINA</w:t>
            </w:r>
          </w:p>
        </w:tc>
      </w:tr>
      <w:tr w:rsidR="00A46DFB" w:rsidRPr="002D3B94" w:rsidTr="00474DC4">
        <w:trPr>
          <w:jc w:val="center"/>
        </w:trPr>
        <w:tc>
          <w:tcPr>
            <w:tcW w:w="3857" w:type="dxa"/>
            <w:hideMark/>
          </w:tcPr>
          <w:p w:rsidR="00A46DFB" w:rsidRPr="002D3B94" w:rsidRDefault="00A46DFB" w:rsidP="00474DC4">
            <w:pPr>
              <w:jc w:val="center"/>
              <w:rPr>
                <w:rFonts w:ascii="Arial" w:hAnsi="Arial" w:cs="Arial"/>
                <w:b/>
                <w:bCs/>
                <w:sz w:val="24"/>
                <w:szCs w:val="24"/>
                <w:lang w:val="es-ES" w:eastAsia="es-ES"/>
              </w:rPr>
            </w:pPr>
            <w:r w:rsidRPr="002D3B94">
              <w:rPr>
                <w:rFonts w:ascii="Arial" w:hAnsi="Arial" w:cs="Arial"/>
                <w:b/>
                <w:bCs/>
                <w:sz w:val="24"/>
                <w:szCs w:val="24"/>
                <w:lang w:val="es-ES" w:eastAsia="es-ES"/>
              </w:rPr>
              <w:lastRenderedPageBreak/>
              <w:t>DIP. VOCAL:</w:t>
            </w:r>
          </w:p>
        </w:tc>
        <w:tc>
          <w:tcPr>
            <w:tcW w:w="4507" w:type="dxa"/>
          </w:tcPr>
          <w:p w:rsidR="00A46DFB" w:rsidRPr="002D3B94" w:rsidRDefault="00A46DFB" w:rsidP="00474DC4">
            <w:pPr>
              <w:jc w:val="center"/>
              <w:rPr>
                <w:rFonts w:ascii="Arial" w:hAnsi="Arial" w:cs="Arial"/>
                <w:b/>
                <w:bCs/>
                <w:sz w:val="24"/>
                <w:szCs w:val="24"/>
                <w:lang w:val="es-ES" w:eastAsia="es-ES"/>
              </w:rPr>
            </w:pPr>
            <w:r w:rsidRPr="002D3B94">
              <w:rPr>
                <w:rFonts w:ascii="Arial" w:hAnsi="Arial" w:cs="Arial"/>
                <w:b/>
                <w:bCs/>
                <w:sz w:val="24"/>
                <w:szCs w:val="24"/>
                <w:lang w:val="es-ES" w:eastAsia="es-ES"/>
              </w:rPr>
              <w:t>DIP. VOCAL:</w:t>
            </w:r>
          </w:p>
          <w:p w:rsidR="00A46DFB" w:rsidRPr="002D3B94" w:rsidRDefault="00A46DFB" w:rsidP="00474DC4">
            <w:pPr>
              <w:jc w:val="center"/>
              <w:rPr>
                <w:rFonts w:ascii="Arial" w:hAnsi="Arial" w:cs="Arial"/>
                <w:b/>
                <w:bCs/>
                <w:sz w:val="24"/>
                <w:szCs w:val="24"/>
                <w:lang w:val="es-ES" w:eastAsia="es-ES"/>
              </w:rPr>
            </w:pPr>
          </w:p>
        </w:tc>
      </w:tr>
      <w:tr w:rsidR="00A46DFB" w:rsidRPr="002D3B94" w:rsidTr="00474DC4">
        <w:trPr>
          <w:jc w:val="center"/>
        </w:trPr>
        <w:tc>
          <w:tcPr>
            <w:tcW w:w="3857" w:type="dxa"/>
          </w:tcPr>
          <w:p w:rsidR="00A46DFB" w:rsidRPr="002D3B94" w:rsidRDefault="00A46DFB" w:rsidP="00474DC4">
            <w:pPr>
              <w:jc w:val="center"/>
              <w:rPr>
                <w:rFonts w:ascii="Arial" w:hAnsi="Arial" w:cs="Arial"/>
                <w:sz w:val="24"/>
                <w:szCs w:val="24"/>
                <w:lang w:val="es-ES" w:eastAsia="es-ES"/>
              </w:rPr>
            </w:pPr>
          </w:p>
          <w:p w:rsidR="00A46DFB" w:rsidRPr="002D3B94" w:rsidRDefault="00A46DFB" w:rsidP="00474DC4">
            <w:pPr>
              <w:jc w:val="center"/>
              <w:rPr>
                <w:rFonts w:ascii="Arial" w:hAnsi="Arial" w:cs="Arial"/>
                <w:sz w:val="24"/>
                <w:szCs w:val="24"/>
                <w:lang w:val="es-ES" w:eastAsia="es-ES"/>
              </w:rPr>
            </w:pPr>
          </w:p>
          <w:p w:rsidR="00A46DFB" w:rsidRPr="002D3B94" w:rsidRDefault="00A46DFB" w:rsidP="00474DC4">
            <w:pPr>
              <w:jc w:val="center"/>
              <w:rPr>
                <w:rFonts w:ascii="Arial" w:hAnsi="Arial" w:cs="Arial"/>
                <w:sz w:val="24"/>
                <w:szCs w:val="24"/>
                <w:lang w:val="es-ES" w:eastAsia="es-ES"/>
              </w:rPr>
            </w:pPr>
          </w:p>
          <w:p w:rsidR="00A46DFB" w:rsidRPr="002D3B94" w:rsidRDefault="00A46DFB" w:rsidP="002E65B1">
            <w:pPr>
              <w:jc w:val="center"/>
              <w:rPr>
                <w:rFonts w:ascii="Arial" w:hAnsi="Arial" w:cs="Arial"/>
                <w:sz w:val="24"/>
                <w:szCs w:val="24"/>
                <w:lang w:val="es-ES" w:eastAsia="es-ES"/>
              </w:rPr>
            </w:pPr>
            <w:r w:rsidRPr="002D3B94">
              <w:rPr>
                <w:rFonts w:ascii="Arial" w:hAnsi="Arial" w:cs="Arial"/>
                <w:sz w:val="24"/>
                <w:szCs w:val="24"/>
                <w:lang w:val="es-ES" w:eastAsia="es-ES"/>
              </w:rPr>
              <w:t xml:space="preserve"> JOSÉ ARTURO SALINAS GARZA</w:t>
            </w:r>
          </w:p>
        </w:tc>
        <w:tc>
          <w:tcPr>
            <w:tcW w:w="4507" w:type="dxa"/>
          </w:tcPr>
          <w:p w:rsidR="00A46DFB" w:rsidRPr="002D3B94" w:rsidRDefault="00A46DFB" w:rsidP="00474DC4">
            <w:pPr>
              <w:jc w:val="center"/>
              <w:rPr>
                <w:rFonts w:ascii="Arial" w:hAnsi="Arial" w:cs="Arial"/>
                <w:sz w:val="24"/>
                <w:szCs w:val="24"/>
                <w:lang w:val="es-ES" w:eastAsia="es-ES"/>
              </w:rPr>
            </w:pPr>
          </w:p>
          <w:p w:rsidR="00A46DFB" w:rsidRPr="002D3B94" w:rsidRDefault="00A46DFB" w:rsidP="00474DC4">
            <w:pPr>
              <w:jc w:val="center"/>
              <w:rPr>
                <w:rFonts w:ascii="Arial" w:hAnsi="Arial" w:cs="Arial"/>
                <w:sz w:val="24"/>
                <w:szCs w:val="24"/>
                <w:lang w:val="es-ES" w:eastAsia="es-ES"/>
              </w:rPr>
            </w:pPr>
          </w:p>
          <w:p w:rsidR="00A46DFB" w:rsidRPr="002D3B94" w:rsidRDefault="00A46DFB" w:rsidP="00474DC4">
            <w:pPr>
              <w:jc w:val="center"/>
              <w:rPr>
                <w:rFonts w:ascii="Arial" w:hAnsi="Arial" w:cs="Arial"/>
                <w:sz w:val="24"/>
                <w:szCs w:val="24"/>
                <w:lang w:val="es-ES" w:eastAsia="es-ES"/>
              </w:rPr>
            </w:pPr>
          </w:p>
          <w:p w:rsidR="00A46DFB" w:rsidRPr="002D3B94" w:rsidRDefault="00A46DFB" w:rsidP="00474DC4">
            <w:pPr>
              <w:jc w:val="center"/>
              <w:rPr>
                <w:rFonts w:ascii="Arial" w:hAnsi="Arial" w:cs="Arial"/>
                <w:sz w:val="24"/>
                <w:szCs w:val="24"/>
                <w:lang w:val="es-ES" w:eastAsia="es-ES"/>
              </w:rPr>
            </w:pPr>
            <w:r w:rsidRPr="002D3B94">
              <w:rPr>
                <w:rFonts w:ascii="Arial" w:hAnsi="Arial" w:cs="Arial"/>
                <w:sz w:val="24"/>
                <w:szCs w:val="24"/>
                <w:lang w:val="es-ES" w:eastAsia="es-ES"/>
              </w:rPr>
              <w:t>EUSTOLIA YANIRA GÓMEZ GARCÍA</w:t>
            </w:r>
          </w:p>
          <w:p w:rsidR="00A46DFB" w:rsidRPr="002D3B94" w:rsidRDefault="00A46DFB" w:rsidP="00474DC4">
            <w:pPr>
              <w:jc w:val="center"/>
              <w:rPr>
                <w:rFonts w:ascii="Arial" w:hAnsi="Arial" w:cs="Arial"/>
                <w:sz w:val="24"/>
                <w:szCs w:val="24"/>
                <w:lang w:val="es-ES" w:eastAsia="es-ES"/>
              </w:rPr>
            </w:pPr>
          </w:p>
        </w:tc>
      </w:tr>
      <w:tr w:rsidR="00A46DFB" w:rsidRPr="002D3B94" w:rsidTr="00474DC4">
        <w:trPr>
          <w:jc w:val="center"/>
        </w:trPr>
        <w:tc>
          <w:tcPr>
            <w:tcW w:w="3857" w:type="dxa"/>
          </w:tcPr>
          <w:p w:rsidR="00A46DFB" w:rsidRPr="002D3B94" w:rsidRDefault="00A46DFB" w:rsidP="00474DC4">
            <w:pPr>
              <w:jc w:val="center"/>
              <w:rPr>
                <w:rFonts w:ascii="Arial" w:hAnsi="Arial" w:cs="Arial"/>
                <w:b/>
                <w:bCs/>
                <w:sz w:val="24"/>
                <w:szCs w:val="24"/>
                <w:lang w:val="es-ES" w:eastAsia="es-ES"/>
              </w:rPr>
            </w:pPr>
            <w:r w:rsidRPr="002D3B94">
              <w:rPr>
                <w:rFonts w:ascii="Arial" w:hAnsi="Arial" w:cs="Arial"/>
                <w:b/>
                <w:bCs/>
                <w:sz w:val="24"/>
                <w:szCs w:val="24"/>
                <w:lang w:val="es-ES" w:eastAsia="es-ES"/>
              </w:rPr>
              <w:t>DIP. VOCAL:</w:t>
            </w:r>
          </w:p>
          <w:p w:rsidR="00A46DFB" w:rsidRPr="002D3B94" w:rsidRDefault="00A46DFB" w:rsidP="00474DC4">
            <w:pPr>
              <w:jc w:val="center"/>
              <w:rPr>
                <w:rFonts w:ascii="Arial" w:hAnsi="Arial" w:cs="Arial"/>
                <w:b/>
                <w:bCs/>
                <w:sz w:val="24"/>
                <w:szCs w:val="24"/>
                <w:lang w:val="es-ES" w:eastAsia="es-ES"/>
              </w:rPr>
            </w:pPr>
          </w:p>
          <w:p w:rsidR="00A46DFB" w:rsidRPr="002D3B94" w:rsidRDefault="00A46DFB" w:rsidP="00474DC4">
            <w:pPr>
              <w:jc w:val="center"/>
              <w:rPr>
                <w:rFonts w:ascii="Arial" w:hAnsi="Arial" w:cs="Arial"/>
                <w:b/>
                <w:bCs/>
                <w:sz w:val="24"/>
                <w:szCs w:val="24"/>
                <w:lang w:val="es-ES" w:eastAsia="es-ES"/>
              </w:rPr>
            </w:pPr>
          </w:p>
        </w:tc>
        <w:tc>
          <w:tcPr>
            <w:tcW w:w="4507" w:type="dxa"/>
            <w:hideMark/>
          </w:tcPr>
          <w:p w:rsidR="00A46DFB" w:rsidRPr="002D3B94" w:rsidRDefault="00A46DFB" w:rsidP="00474DC4">
            <w:pPr>
              <w:jc w:val="center"/>
              <w:rPr>
                <w:rFonts w:ascii="Arial" w:hAnsi="Arial" w:cs="Arial"/>
                <w:b/>
                <w:bCs/>
                <w:sz w:val="24"/>
                <w:szCs w:val="24"/>
                <w:lang w:val="es-ES" w:eastAsia="es-ES"/>
              </w:rPr>
            </w:pPr>
            <w:r w:rsidRPr="002D3B94">
              <w:rPr>
                <w:rFonts w:ascii="Arial" w:hAnsi="Arial" w:cs="Arial"/>
                <w:b/>
                <w:bCs/>
                <w:sz w:val="24"/>
                <w:szCs w:val="24"/>
                <w:lang w:val="es-ES" w:eastAsia="es-ES"/>
              </w:rPr>
              <w:t>DIP. VOCAL:</w:t>
            </w:r>
          </w:p>
        </w:tc>
      </w:tr>
      <w:tr w:rsidR="00A46DFB" w:rsidRPr="002D3B94" w:rsidTr="00474DC4">
        <w:trPr>
          <w:jc w:val="center"/>
        </w:trPr>
        <w:tc>
          <w:tcPr>
            <w:tcW w:w="3857" w:type="dxa"/>
          </w:tcPr>
          <w:p w:rsidR="00A46DFB" w:rsidRPr="002D3B94" w:rsidRDefault="00A46DFB" w:rsidP="00474DC4">
            <w:pPr>
              <w:jc w:val="center"/>
              <w:rPr>
                <w:rFonts w:ascii="Arial" w:hAnsi="Arial" w:cs="Arial"/>
                <w:sz w:val="24"/>
                <w:szCs w:val="24"/>
                <w:lang w:val="es-ES" w:eastAsia="es-ES"/>
              </w:rPr>
            </w:pPr>
          </w:p>
        </w:tc>
        <w:tc>
          <w:tcPr>
            <w:tcW w:w="4507" w:type="dxa"/>
          </w:tcPr>
          <w:p w:rsidR="00A46DFB" w:rsidRPr="002D3B94" w:rsidRDefault="00A46DFB" w:rsidP="00474DC4">
            <w:pPr>
              <w:jc w:val="center"/>
              <w:rPr>
                <w:rFonts w:ascii="Arial" w:hAnsi="Arial" w:cs="Arial"/>
                <w:sz w:val="24"/>
                <w:szCs w:val="24"/>
                <w:lang w:val="es-ES" w:eastAsia="es-ES"/>
              </w:rPr>
            </w:pPr>
          </w:p>
        </w:tc>
      </w:tr>
      <w:tr w:rsidR="00A46DFB" w:rsidRPr="002D3B94" w:rsidTr="00474DC4">
        <w:trPr>
          <w:trHeight w:val="1040"/>
          <w:jc w:val="center"/>
        </w:trPr>
        <w:tc>
          <w:tcPr>
            <w:tcW w:w="3857" w:type="dxa"/>
          </w:tcPr>
          <w:p w:rsidR="00A46DFB" w:rsidRDefault="00A46DFB" w:rsidP="0084690E">
            <w:pPr>
              <w:jc w:val="center"/>
              <w:rPr>
                <w:rFonts w:ascii="Arial" w:hAnsi="Arial" w:cs="Arial"/>
                <w:bCs/>
                <w:sz w:val="24"/>
                <w:szCs w:val="24"/>
                <w:lang w:val="es-ES" w:eastAsia="es-ES"/>
              </w:rPr>
            </w:pPr>
            <w:r w:rsidRPr="002D3B94">
              <w:rPr>
                <w:rFonts w:ascii="Arial" w:hAnsi="Arial" w:cs="Arial"/>
                <w:bCs/>
                <w:sz w:val="24"/>
                <w:szCs w:val="24"/>
                <w:lang w:val="es-ES" w:eastAsia="es-ES"/>
              </w:rPr>
              <w:t>EVA MARGARITA GÓMEZ TAMEZ</w:t>
            </w:r>
          </w:p>
          <w:p w:rsidR="0084690E" w:rsidRPr="002D3B94" w:rsidRDefault="0084690E" w:rsidP="0084690E">
            <w:pPr>
              <w:jc w:val="center"/>
              <w:rPr>
                <w:rFonts w:ascii="Arial" w:hAnsi="Arial" w:cs="Arial"/>
                <w:bCs/>
                <w:sz w:val="24"/>
                <w:szCs w:val="24"/>
                <w:lang w:val="es-ES" w:eastAsia="es-ES"/>
              </w:rPr>
            </w:pPr>
          </w:p>
          <w:p w:rsidR="00A46DFB" w:rsidRPr="002D3B94" w:rsidRDefault="00A46DFB" w:rsidP="00474DC4">
            <w:pPr>
              <w:jc w:val="center"/>
              <w:rPr>
                <w:rFonts w:ascii="Arial" w:hAnsi="Arial" w:cs="Arial"/>
                <w:b/>
                <w:bCs/>
                <w:sz w:val="24"/>
                <w:szCs w:val="24"/>
                <w:lang w:val="es-ES" w:eastAsia="es-ES"/>
              </w:rPr>
            </w:pPr>
            <w:r w:rsidRPr="002D3B94">
              <w:rPr>
                <w:rFonts w:ascii="Arial" w:hAnsi="Arial" w:cs="Arial"/>
                <w:b/>
                <w:bCs/>
                <w:sz w:val="24"/>
                <w:szCs w:val="24"/>
                <w:lang w:val="es-ES" w:eastAsia="es-ES"/>
              </w:rPr>
              <w:t>DIP. VOCAL:</w:t>
            </w: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r w:rsidRPr="002D3B94">
              <w:rPr>
                <w:rFonts w:ascii="Arial" w:hAnsi="Arial" w:cs="Arial"/>
                <w:bCs/>
                <w:sz w:val="24"/>
                <w:szCs w:val="24"/>
                <w:lang w:val="es-ES" w:eastAsia="es-ES"/>
              </w:rPr>
              <w:t>SERGIO ARELLANO BALDERAS</w:t>
            </w: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p>
          <w:p w:rsidR="00A46DFB" w:rsidRPr="002D3B94" w:rsidRDefault="00A46DFB" w:rsidP="00474DC4">
            <w:pPr>
              <w:jc w:val="center"/>
              <w:rPr>
                <w:rFonts w:ascii="Arial" w:hAnsi="Arial" w:cs="Arial"/>
                <w:bCs/>
                <w:sz w:val="24"/>
                <w:szCs w:val="24"/>
                <w:lang w:val="es-ES" w:eastAsia="es-ES"/>
              </w:rPr>
            </w:pPr>
          </w:p>
        </w:tc>
        <w:tc>
          <w:tcPr>
            <w:tcW w:w="4507" w:type="dxa"/>
          </w:tcPr>
          <w:p w:rsidR="00A46DFB" w:rsidRPr="002D3B94" w:rsidRDefault="00A46DFB" w:rsidP="00474DC4">
            <w:pPr>
              <w:jc w:val="center"/>
              <w:rPr>
                <w:rFonts w:ascii="Arial" w:hAnsi="Arial" w:cs="Arial"/>
                <w:bCs/>
                <w:sz w:val="24"/>
                <w:szCs w:val="24"/>
                <w:lang w:val="es-ES" w:eastAsia="es-ES"/>
              </w:rPr>
            </w:pPr>
            <w:r w:rsidRPr="002D3B94">
              <w:rPr>
                <w:rFonts w:ascii="Arial" w:hAnsi="Arial" w:cs="Arial"/>
                <w:bCs/>
                <w:sz w:val="24"/>
                <w:szCs w:val="24"/>
                <w:lang w:val="es-ES" w:eastAsia="es-ES"/>
              </w:rPr>
              <w:t>SAMUEL ALEJANDRO GARCÍA SEPÚLVEDA</w:t>
            </w:r>
          </w:p>
          <w:p w:rsidR="00A46DFB" w:rsidRPr="002D3B94" w:rsidRDefault="00A46DFB" w:rsidP="0084690E">
            <w:pPr>
              <w:rPr>
                <w:rFonts w:ascii="Arial" w:hAnsi="Arial" w:cs="Arial"/>
                <w:bCs/>
                <w:sz w:val="24"/>
                <w:szCs w:val="24"/>
                <w:lang w:val="es-ES" w:eastAsia="es-ES"/>
              </w:rPr>
            </w:pPr>
          </w:p>
          <w:p w:rsidR="00A46DFB" w:rsidRPr="002D3B94" w:rsidRDefault="00A46DFB" w:rsidP="00474DC4">
            <w:pPr>
              <w:jc w:val="center"/>
              <w:rPr>
                <w:rFonts w:ascii="Arial" w:hAnsi="Arial" w:cs="Arial"/>
                <w:b/>
                <w:bCs/>
                <w:sz w:val="24"/>
                <w:szCs w:val="24"/>
                <w:lang w:val="es-ES" w:eastAsia="es-ES"/>
              </w:rPr>
            </w:pPr>
            <w:r w:rsidRPr="002D3B94">
              <w:rPr>
                <w:rFonts w:ascii="Arial" w:hAnsi="Arial" w:cs="Arial"/>
                <w:b/>
                <w:bCs/>
                <w:sz w:val="24"/>
                <w:szCs w:val="24"/>
                <w:lang w:val="es-ES" w:eastAsia="es-ES"/>
              </w:rPr>
              <w:t>DIP. VOCAL:</w:t>
            </w:r>
          </w:p>
          <w:p w:rsidR="00A46DFB" w:rsidRPr="002D3B94" w:rsidRDefault="00A46DFB" w:rsidP="00474DC4">
            <w:pPr>
              <w:jc w:val="center"/>
              <w:rPr>
                <w:rFonts w:ascii="Arial" w:hAnsi="Arial" w:cs="Arial"/>
                <w:bCs/>
                <w:sz w:val="24"/>
                <w:szCs w:val="24"/>
                <w:lang w:val="es-ES" w:eastAsia="es-ES"/>
              </w:rPr>
            </w:pPr>
          </w:p>
          <w:p w:rsidR="00A46DFB" w:rsidRPr="002E65B1" w:rsidRDefault="00A46DFB" w:rsidP="00474DC4">
            <w:pPr>
              <w:rPr>
                <w:rFonts w:ascii="Arial" w:hAnsi="Arial" w:cs="Arial"/>
                <w:bCs/>
                <w:sz w:val="16"/>
                <w:szCs w:val="16"/>
                <w:lang w:val="es-ES" w:eastAsia="es-ES"/>
              </w:rPr>
            </w:pPr>
          </w:p>
          <w:p w:rsidR="00A46DFB" w:rsidRPr="002D3B94" w:rsidRDefault="00B57A96" w:rsidP="00B57A96">
            <w:pPr>
              <w:rPr>
                <w:rFonts w:ascii="Arial" w:hAnsi="Arial" w:cs="Arial"/>
                <w:bCs/>
                <w:sz w:val="24"/>
                <w:szCs w:val="24"/>
                <w:lang w:val="es-ES" w:eastAsia="es-ES"/>
              </w:rPr>
            </w:pPr>
            <w:r w:rsidRPr="002E65B1">
              <w:rPr>
                <w:rFonts w:ascii="Arial" w:hAnsi="Arial" w:cs="Arial"/>
                <w:bCs/>
                <w:sz w:val="16"/>
                <w:szCs w:val="16"/>
                <w:lang w:val="es-ES" w:eastAsia="es-ES"/>
              </w:rPr>
              <w:br/>
            </w:r>
            <w:r w:rsidRPr="002D3B94">
              <w:rPr>
                <w:rFonts w:ascii="Arial" w:hAnsi="Arial" w:cs="Arial"/>
                <w:bCs/>
                <w:sz w:val="24"/>
                <w:szCs w:val="24"/>
                <w:lang w:val="es-ES" w:eastAsia="es-ES"/>
              </w:rPr>
              <w:br/>
            </w:r>
            <w:r w:rsidR="00A46DFB" w:rsidRPr="002D3B94">
              <w:rPr>
                <w:rFonts w:ascii="Arial" w:hAnsi="Arial" w:cs="Arial"/>
                <w:bCs/>
                <w:sz w:val="24"/>
                <w:szCs w:val="24"/>
                <w:lang w:val="es-ES" w:eastAsia="es-ES"/>
              </w:rPr>
              <w:t>KAR</w:t>
            </w:r>
            <w:bookmarkStart w:id="0" w:name="_GoBack"/>
            <w:bookmarkEnd w:id="0"/>
            <w:r w:rsidR="00A46DFB" w:rsidRPr="002D3B94">
              <w:rPr>
                <w:rFonts w:ascii="Arial" w:hAnsi="Arial" w:cs="Arial"/>
                <w:bCs/>
                <w:sz w:val="24"/>
                <w:szCs w:val="24"/>
                <w:lang w:val="es-ES" w:eastAsia="es-ES"/>
              </w:rPr>
              <w:t>INA MARLEN BARRÓN PERALES</w:t>
            </w:r>
          </w:p>
        </w:tc>
      </w:tr>
    </w:tbl>
    <w:p w:rsidR="00A46DFB" w:rsidRPr="002D3B94" w:rsidRDefault="00A46DFB" w:rsidP="00A46DFB">
      <w:pPr>
        <w:pStyle w:val="NormalWeb"/>
        <w:tabs>
          <w:tab w:val="left" w:pos="3828"/>
        </w:tabs>
        <w:spacing w:before="0" w:beforeAutospacing="0" w:after="0" w:afterAutospacing="0" w:line="360" w:lineRule="auto"/>
        <w:rPr>
          <w:rFonts w:ascii="Arial" w:hAnsi="Arial" w:cs="Arial"/>
          <w:b/>
          <w:bCs/>
          <w:smallCaps/>
          <w:lang w:val="es-ES_tradnl"/>
        </w:rPr>
      </w:pPr>
    </w:p>
    <w:p w:rsidR="00306494" w:rsidRPr="002D3B94" w:rsidRDefault="00306494" w:rsidP="009F332C">
      <w:pPr>
        <w:spacing w:line="360" w:lineRule="auto"/>
        <w:ind w:left="1843" w:firstLine="708"/>
        <w:jc w:val="both"/>
        <w:rPr>
          <w:rFonts w:ascii="Arial" w:hAnsi="Arial" w:cs="Arial"/>
          <w:sz w:val="24"/>
          <w:szCs w:val="24"/>
        </w:rPr>
      </w:pPr>
    </w:p>
    <w:p w:rsidR="00306494" w:rsidRPr="002D3B94" w:rsidRDefault="00306494" w:rsidP="009F332C">
      <w:pPr>
        <w:spacing w:line="360" w:lineRule="auto"/>
        <w:ind w:left="1843" w:firstLine="708"/>
        <w:jc w:val="both"/>
        <w:rPr>
          <w:rFonts w:ascii="Arial" w:hAnsi="Arial" w:cs="Arial"/>
          <w:sz w:val="24"/>
          <w:szCs w:val="24"/>
        </w:rPr>
      </w:pPr>
    </w:p>
    <w:p w:rsidR="00306494" w:rsidRPr="002D3B94" w:rsidRDefault="00306494" w:rsidP="009F332C">
      <w:pPr>
        <w:spacing w:line="360" w:lineRule="auto"/>
        <w:ind w:left="1843" w:firstLine="708"/>
        <w:jc w:val="both"/>
        <w:rPr>
          <w:rFonts w:ascii="Arial" w:hAnsi="Arial" w:cs="Arial"/>
          <w:sz w:val="24"/>
          <w:szCs w:val="24"/>
        </w:rPr>
      </w:pPr>
    </w:p>
    <w:p w:rsidR="00995F21" w:rsidRPr="002D3B94" w:rsidRDefault="00995F21" w:rsidP="009F332C">
      <w:pPr>
        <w:ind w:left="1843"/>
        <w:rPr>
          <w:rFonts w:ascii="Arial" w:hAnsi="Arial" w:cs="Arial"/>
          <w:sz w:val="24"/>
          <w:szCs w:val="24"/>
        </w:rPr>
      </w:pPr>
    </w:p>
    <w:p w:rsidR="002D3B94" w:rsidRPr="002D3B94" w:rsidRDefault="002D3B94">
      <w:pPr>
        <w:ind w:left="1843"/>
        <w:rPr>
          <w:rFonts w:ascii="Arial" w:hAnsi="Arial" w:cs="Arial"/>
          <w:sz w:val="24"/>
          <w:szCs w:val="24"/>
        </w:rPr>
      </w:pPr>
    </w:p>
    <w:sectPr w:rsidR="002D3B94" w:rsidRPr="002D3B94" w:rsidSect="00FC4B11">
      <w:headerReference w:type="default" r:id="rId7"/>
      <w:footerReference w:type="default" r:id="rId8"/>
      <w:pgSz w:w="12240" w:h="15840"/>
      <w:pgMar w:top="3544"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D3" w:rsidRDefault="006158D3" w:rsidP="00FB46A2">
      <w:pPr>
        <w:spacing w:after="0" w:line="240" w:lineRule="auto"/>
      </w:pPr>
      <w:r>
        <w:separator/>
      </w:r>
    </w:p>
  </w:endnote>
  <w:endnote w:type="continuationSeparator" w:id="0">
    <w:p w:rsidR="006158D3" w:rsidRDefault="006158D3" w:rsidP="00FB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6A2" w:rsidRPr="00FB46A2" w:rsidRDefault="00FB46A2" w:rsidP="00FB46A2">
    <w:pPr>
      <w:pStyle w:val="Piedepgina"/>
      <w:jc w:val="center"/>
      <w:rPr>
        <w:rFonts w:ascii="Arial" w:hAnsi="Arial" w:cs="Arial"/>
        <w:b/>
        <w:sz w:val="16"/>
        <w:szCs w:val="16"/>
      </w:rPr>
    </w:pPr>
    <w:r w:rsidRPr="00FB46A2">
      <w:rPr>
        <w:rFonts w:ascii="Arial" w:hAnsi="Arial" w:cs="Arial"/>
        <w:b/>
        <w:sz w:val="16"/>
        <w:szCs w:val="16"/>
      </w:rPr>
      <w:t>Comisión de Legislación y Puntos Constitucionales</w:t>
    </w:r>
  </w:p>
  <w:p w:rsidR="00FB46A2" w:rsidRPr="00FB46A2" w:rsidRDefault="00886FDF" w:rsidP="00FB46A2">
    <w:pPr>
      <w:pStyle w:val="Piedepgina"/>
      <w:jc w:val="center"/>
      <w:rPr>
        <w:rFonts w:ascii="Arial" w:hAnsi="Arial" w:cs="Arial"/>
        <w:b/>
        <w:sz w:val="16"/>
        <w:szCs w:val="16"/>
      </w:rPr>
    </w:pPr>
    <w:r>
      <w:rPr>
        <w:rFonts w:ascii="Arial" w:hAnsi="Arial" w:cs="Arial"/>
        <w:b/>
        <w:sz w:val="16"/>
        <w:szCs w:val="16"/>
      </w:rPr>
      <w:t>Expediente 8342</w:t>
    </w:r>
    <w:r w:rsidR="00FB46A2" w:rsidRPr="00FB46A2">
      <w:rPr>
        <w:rFonts w:ascii="Arial" w:hAnsi="Arial" w:cs="Arial"/>
        <w:b/>
        <w:sz w:val="16"/>
        <w:szCs w:val="16"/>
      </w:rPr>
      <w:t>/LXXIII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D3" w:rsidRDefault="006158D3" w:rsidP="00FB46A2">
      <w:pPr>
        <w:spacing w:after="0" w:line="240" w:lineRule="auto"/>
      </w:pPr>
      <w:r>
        <w:separator/>
      </w:r>
    </w:p>
  </w:footnote>
  <w:footnote w:type="continuationSeparator" w:id="0">
    <w:p w:rsidR="006158D3" w:rsidRDefault="006158D3" w:rsidP="00FB4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667244"/>
      <w:docPartObj>
        <w:docPartGallery w:val="Page Numbers (Top of Page)"/>
        <w:docPartUnique/>
      </w:docPartObj>
    </w:sdtPr>
    <w:sdtContent>
      <w:p w:rsidR="002E65B1" w:rsidRDefault="002E65B1">
        <w:pPr>
          <w:pStyle w:val="Encabezado"/>
          <w:jc w:val="right"/>
        </w:pPr>
        <w:r>
          <w:fldChar w:fldCharType="begin"/>
        </w:r>
        <w:r>
          <w:instrText>PAGE   \* MERGEFORMAT</w:instrText>
        </w:r>
        <w:r>
          <w:fldChar w:fldCharType="separate"/>
        </w:r>
        <w:r w:rsidRPr="002E65B1">
          <w:rPr>
            <w:noProof/>
            <w:lang w:val="es-ES"/>
          </w:rPr>
          <w:t>10</w:t>
        </w:r>
        <w:r>
          <w:fldChar w:fldCharType="end"/>
        </w:r>
      </w:p>
    </w:sdtContent>
  </w:sdt>
  <w:p w:rsidR="002E65B1" w:rsidRDefault="002E65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844"/>
    <w:multiLevelType w:val="hybridMultilevel"/>
    <w:tmpl w:val="D2A0D0E0"/>
    <w:lvl w:ilvl="0" w:tplc="DE02AB0A">
      <w:start w:val="1"/>
      <w:numFmt w:val="upperRoman"/>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87F8E"/>
    <w:multiLevelType w:val="hybridMultilevel"/>
    <w:tmpl w:val="7C7E4F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45635"/>
    <w:multiLevelType w:val="hybridMultilevel"/>
    <w:tmpl w:val="107E20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307FE3"/>
    <w:multiLevelType w:val="hybridMultilevel"/>
    <w:tmpl w:val="5D24C61C"/>
    <w:lvl w:ilvl="0" w:tplc="A7F0333E">
      <w:start w:val="1"/>
      <w:numFmt w:val="decimal"/>
      <w:lvlText w:val="%1."/>
      <w:lvlJc w:val="left"/>
      <w:pPr>
        <w:ind w:left="2911" w:hanging="360"/>
      </w:pPr>
      <w:rPr>
        <w:rFonts w:hint="default"/>
      </w:rPr>
    </w:lvl>
    <w:lvl w:ilvl="1" w:tplc="080A0019" w:tentative="1">
      <w:start w:val="1"/>
      <w:numFmt w:val="lowerLetter"/>
      <w:lvlText w:val="%2."/>
      <w:lvlJc w:val="left"/>
      <w:pPr>
        <w:ind w:left="3631" w:hanging="360"/>
      </w:pPr>
    </w:lvl>
    <w:lvl w:ilvl="2" w:tplc="080A001B" w:tentative="1">
      <w:start w:val="1"/>
      <w:numFmt w:val="lowerRoman"/>
      <w:lvlText w:val="%3."/>
      <w:lvlJc w:val="right"/>
      <w:pPr>
        <w:ind w:left="4351" w:hanging="180"/>
      </w:pPr>
    </w:lvl>
    <w:lvl w:ilvl="3" w:tplc="080A000F" w:tentative="1">
      <w:start w:val="1"/>
      <w:numFmt w:val="decimal"/>
      <w:lvlText w:val="%4."/>
      <w:lvlJc w:val="left"/>
      <w:pPr>
        <w:ind w:left="5071" w:hanging="360"/>
      </w:pPr>
    </w:lvl>
    <w:lvl w:ilvl="4" w:tplc="080A0019" w:tentative="1">
      <w:start w:val="1"/>
      <w:numFmt w:val="lowerLetter"/>
      <w:lvlText w:val="%5."/>
      <w:lvlJc w:val="left"/>
      <w:pPr>
        <w:ind w:left="5791" w:hanging="360"/>
      </w:pPr>
    </w:lvl>
    <w:lvl w:ilvl="5" w:tplc="080A001B" w:tentative="1">
      <w:start w:val="1"/>
      <w:numFmt w:val="lowerRoman"/>
      <w:lvlText w:val="%6."/>
      <w:lvlJc w:val="right"/>
      <w:pPr>
        <w:ind w:left="6511" w:hanging="180"/>
      </w:pPr>
    </w:lvl>
    <w:lvl w:ilvl="6" w:tplc="080A000F" w:tentative="1">
      <w:start w:val="1"/>
      <w:numFmt w:val="decimal"/>
      <w:lvlText w:val="%7."/>
      <w:lvlJc w:val="left"/>
      <w:pPr>
        <w:ind w:left="7231" w:hanging="360"/>
      </w:pPr>
    </w:lvl>
    <w:lvl w:ilvl="7" w:tplc="080A0019" w:tentative="1">
      <w:start w:val="1"/>
      <w:numFmt w:val="lowerLetter"/>
      <w:lvlText w:val="%8."/>
      <w:lvlJc w:val="left"/>
      <w:pPr>
        <w:ind w:left="7951" w:hanging="360"/>
      </w:pPr>
    </w:lvl>
    <w:lvl w:ilvl="8" w:tplc="080A001B" w:tentative="1">
      <w:start w:val="1"/>
      <w:numFmt w:val="lowerRoman"/>
      <w:lvlText w:val="%9."/>
      <w:lvlJc w:val="right"/>
      <w:pPr>
        <w:ind w:left="8671" w:hanging="180"/>
      </w:pPr>
    </w:lvl>
  </w:abstractNum>
  <w:abstractNum w:abstractNumId="4" w15:restartNumberingAfterBreak="0">
    <w:nsid w:val="4AF96B76"/>
    <w:multiLevelType w:val="hybridMultilevel"/>
    <w:tmpl w:val="DB40DF02"/>
    <w:lvl w:ilvl="0" w:tplc="93C0AE8C">
      <w:start w:val="1"/>
      <w:numFmt w:val="upperRoman"/>
      <w:lvlText w:val="%1."/>
      <w:lvlJc w:val="left"/>
      <w:pPr>
        <w:ind w:left="2563" w:hanging="72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11"/>
    <w:rsid w:val="00012F01"/>
    <w:rsid w:val="00066856"/>
    <w:rsid w:val="000A2787"/>
    <w:rsid w:val="000A6FC3"/>
    <w:rsid w:val="000D70AC"/>
    <w:rsid w:val="000F18DA"/>
    <w:rsid w:val="000F35BD"/>
    <w:rsid w:val="001012C3"/>
    <w:rsid w:val="00116622"/>
    <w:rsid w:val="00125492"/>
    <w:rsid w:val="00125BD7"/>
    <w:rsid w:val="00137F50"/>
    <w:rsid w:val="00143AF2"/>
    <w:rsid w:val="001458D5"/>
    <w:rsid w:val="00157CD2"/>
    <w:rsid w:val="00174317"/>
    <w:rsid w:val="00183EB4"/>
    <w:rsid w:val="00192E4B"/>
    <w:rsid w:val="001A7454"/>
    <w:rsid w:val="00200C28"/>
    <w:rsid w:val="002264B1"/>
    <w:rsid w:val="002506FC"/>
    <w:rsid w:val="00250A31"/>
    <w:rsid w:val="0027675E"/>
    <w:rsid w:val="00281CF9"/>
    <w:rsid w:val="002B0476"/>
    <w:rsid w:val="002B1A27"/>
    <w:rsid w:val="002C1171"/>
    <w:rsid w:val="002D3B94"/>
    <w:rsid w:val="002D6E90"/>
    <w:rsid w:val="002E5CA0"/>
    <w:rsid w:val="002E65B1"/>
    <w:rsid w:val="003004B9"/>
    <w:rsid w:val="00302FA3"/>
    <w:rsid w:val="00306494"/>
    <w:rsid w:val="00315E42"/>
    <w:rsid w:val="003337C8"/>
    <w:rsid w:val="00346127"/>
    <w:rsid w:val="00356E10"/>
    <w:rsid w:val="00363EB9"/>
    <w:rsid w:val="0037117A"/>
    <w:rsid w:val="00395851"/>
    <w:rsid w:val="0041450D"/>
    <w:rsid w:val="004156D9"/>
    <w:rsid w:val="004321C8"/>
    <w:rsid w:val="00437768"/>
    <w:rsid w:val="00465ECF"/>
    <w:rsid w:val="00494BB6"/>
    <w:rsid w:val="004A48F8"/>
    <w:rsid w:val="004C4B90"/>
    <w:rsid w:val="004D6AA7"/>
    <w:rsid w:val="0051362A"/>
    <w:rsid w:val="00524EB0"/>
    <w:rsid w:val="00532162"/>
    <w:rsid w:val="00571844"/>
    <w:rsid w:val="00573617"/>
    <w:rsid w:val="005C376C"/>
    <w:rsid w:val="005C6876"/>
    <w:rsid w:val="005F4103"/>
    <w:rsid w:val="006158D3"/>
    <w:rsid w:val="00663596"/>
    <w:rsid w:val="00667D3F"/>
    <w:rsid w:val="006739DB"/>
    <w:rsid w:val="006806B3"/>
    <w:rsid w:val="00681DB8"/>
    <w:rsid w:val="00695664"/>
    <w:rsid w:val="006F136E"/>
    <w:rsid w:val="00703FEB"/>
    <w:rsid w:val="00724641"/>
    <w:rsid w:val="00736E7A"/>
    <w:rsid w:val="00770991"/>
    <w:rsid w:val="00783104"/>
    <w:rsid w:val="007A6944"/>
    <w:rsid w:val="007B0C2F"/>
    <w:rsid w:val="007C0680"/>
    <w:rsid w:val="007C1114"/>
    <w:rsid w:val="007E0BAB"/>
    <w:rsid w:val="00800994"/>
    <w:rsid w:val="008062FF"/>
    <w:rsid w:val="0081440C"/>
    <w:rsid w:val="00822873"/>
    <w:rsid w:val="00846249"/>
    <w:rsid w:val="0084690E"/>
    <w:rsid w:val="00856D08"/>
    <w:rsid w:val="008678B9"/>
    <w:rsid w:val="00874414"/>
    <w:rsid w:val="008854D7"/>
    <w:rsid w:val="00886FDF"/>
    <w:rsid w:val="00895C45"/>
    <w:rsid w:val="008A608A"/>
    <w:rsid w:val="008B65DD"/>
    <w:rsid w:val="008C0231"/>
    <w:rsid w:val="008D00BA"/>
    <w:rsid w:val="008D4ABE"/>
    <w:rsid w:val="008E1ED2"/>
    <w:rsid w:val="008F23E6"/>
    <w:rsid w:val="008F41E2"/>
    <w:rsid w:val="008F4FC6"/>
    <w:rsid w:val="008F7FF8"/>
    <w:rsid w:val="00910AF6"/>
    <w:rsid w:val="0091437F"/>
    <w:rsid w:val="0093500D"/>
    <w:rsid w:val="009702B0"/>
    <w:rsid w:val="00985917"/>
    <w:rsid w:val="00995F21"/>
    <w:rsid w:val="009B07A1"/>
    <w:rsid w:val="009B5258"/>
    <w:rsid w:val="009B6757"/>
    <w:rsid w:val="009C7825"/>
    <w:rsid w:val="009D34CE"/>
    <w:rsid w:val="009F332C"/>
    <w:rsid w:val="009F3C4B"/>
    <w:rsid w:val="009F79E8"/>
    <w:rsid w:val="00A063E5"/>
    <w:rsid w:val="00A274FB"/>
    <w:rsid w:val="00A33269"/>
    <w:rsid w:val="00A41EBF"/>
    <w:rsid w:val="00A46DFB"/>
    <w:rsid w:val="00A61860"/>
    <w:rsid w:val="00A77496"/>
    <w:rsid w:val="00A80ACE"/>
    <w:rsid w:val="00AA4AE3"/>
    <w:rsid w:val="00AC3104"/>
    <w:rsid w:val="00AC4649"/>
    <w:rsid w:val="00B056A6"/>
    <w:rsid w:val="00B153BD"/>
    <w:rsid w:val="00B217F6"/>
    <w:rsid w:val="00B41DF5"/>
    <w:rsid w:val="00B57A96"/>
    <w:rsid w:val="00B65A9A"/>
    <w:rsid w:val="00B75F14"/>
    <w:rsid w:val="00BB6365"/>
    <w:rsid w:val="00BC2550"/>
    <w:rsid w:val="00BC51BD"/>
    <w:rsid w:val="00C0042D"/>
    <w:rsid w:val="00C30E67"/>
    <w:rsid w:val="00C377F7"/>
    <w:rsid w:val="00C46851"/>
    <w:rsid w:val="00C71105"/>
    <w:rsid w:val="00C902C6"/>
    <w:rsid w:val="00CA2DCC"/>
    <w:rsid w:val="00CB4192"/>
    <w:rsid w:val="00CB4CBD"/>
    <w:rsid w:val="00CC1F97"/>
    <w:rsid w:val="00CF102E"/>
    <w:rsid w:val="00D00115"/>
    <w:rsid w:val="00D32B63"/>
    <w:rsid w:val="00D775CA"/>
    <w:rsid w:val="00D82CF6"/>
    <w:rsid w:val="00D86A41"/>
    <w:rsid w:val="00D86EC7"/>
    <w:rsid w:val="00DA1C86"/>
    <w:rsid w:val="00DB277A"/>
    <w:rsid w:val="00DB64F3"/>
    <w:rsid w:val="00DC2899"/>
    <w:rsid w:val="00DD0049"/>
    <w:rsid w:val="00E149AB"/>
    <w:rsid w:val="00E47BE9"/>
    <w:rsid w:val="00E711DB"/>
    <w:rsid w:val="00E837FA"/>
    <w:rsid w:val="00E945B7"/>
    <w:rsid w:val="00EC3C7E"/>
    <w:rsid w:val="00EE7D9B"/>
    <w:rsid w:val="00F10516"/>
    <w:rsid w:val="00F17A8E"/>
    <w:rsid w:val="00F77420"/>
    <w:rsid w:val="00F91166"/>
    <w:rsid w:val="00FA62AF"/>
    <w:rsid w:val="00FB46A2"/>
    <w:rsid w:val="00FC4B11"/>
    <w:rsid w:val="00FD1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00141-FB55-4FF7-8E8C-52506790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A46DF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B46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6A2"/>
  </w:style>
  <w:style w:type="paragraph" w:styleId="Piedepgina">
    <w:name w:val="footer"/>
    <w:basedOn w:val="Normal"/>
    <w:link w:val="PiedepginaCar"/>
    <w:uiPriority w:val="99"/>
    <w:unhideWhenUsed/>
    <w:rsid w:val="00FB46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6A2"/>
  </w:style>
  <w:style w:type="paragraph" w:styleId="Prrafodelista">
    <w:name w:val="List Paragraph"/>
    <w:basedOn w:val="Normal"/>
    <w:uiPriority w:val="34"/>
    <w:qFormat/>
    <w:rsid w:val="00CC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1679</Words>
  <Characters>9239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Maria Concepcion Sarmiento Salinas</cp:lastModifiedBy>
  <cp:revision>2</cp:revision>
  <cp:lastPrinted>2016-10-26T17:15:00Z</cp:lastPrinted>
  <dcterms:created xsi:type="dcterms:W3CDTF">2016-10-26T17:15:00Z</dcterms:created>
  <dcterms:modified xsi:type="dcterms:W3CDTF">2016-10-26T17:15:00Z</dcterms:modified>
</cp:coreProperties>
</file>