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4B9" w:rsidRPr="00152264" w:rsidRDefault="004344B9" w:rsidP="00394840">
      <w:pPr>
        <w:spacing w:line="360" w:lineRule="auto"/>
        <w:ind w:left="142" w:right="530" w:firstLine="284"/>
        <w:jc w:val="both"/>
        <w:rPr>
          <w:rFonts w:cs="Arial"/>
          <w:b/>
        </w:rPr>
      </w:pPr>
      <w:r w:rsidRPr="00152264">
        <w:rPr>
          <w:rFonts w:cs="Arial"/>
          <w:b/>
        </w:rPr>
        <w:t>HONORABLE ASAMBLEA</w:t>
      </w:r>
    </w:p>
    <w:p w:rsidR="004344B9" w:rsidRPr="00152264" w:rsidRDefault="004344B9" w:rsidP="00394840">
      <w:pPr>
        <w:spacing w:line="360" w:lineRule="auto"/>
        <w:ind w:left="142" w:right="530" w:firstLine="284"/>
        <w:jc w:val="both"/>
        <w:rPr>
          <w:rFonts w:cs="Arial"/>
          <w:lang w:val="es-MX"/>
        </w:rPr>
      </w:pPr>
    </w:p>
    <w:p w:rsidR="00943EEA" w:rsidRDefault="004344B9" w:rsidP="00394840">
      <w:pPr>
        <w:spacing w:line="360" w:lineRule="auto"/>
        <w:ind w:left="142" w:right="530" w:firstLine="284"/>
        <w:jc w:val="both"/>
        <w:rPr>
          <w:rFonts w:cs="Arial"/>
        </w:rPr>
      </w:pPr>
      <w:r w:rsidRPr="00555818">
        <w:rPr>
          <w:rFonts w:cs="Arial"/>
          <w:lang w:val="es-MX"/>
        </w:rPr>
        <w:t xml:space="preserve">A la </w:t>
      </w:r>
      <w:r w:rsidR="00E45614" w:rsidRPr="00555818">
        <w:rPr>
          <w:rFonts w:cs="Arial"/>
          <w:b/>
          <w:lang w:val="es-MX"/>
        </w:rPr>
        <w:t>Comisión A</w:t>
      </w:r>
      <w:r w:rsidRPr="00555818">
        <w:rPr>
          <w:rFonts w:cs="Arial"/>
          <w:b/>
          <w:lang w:val="es-MX"/>
        </w:rPr>
        <w:t>nticorrupción</w:t>
      </w:r>
      <w:r w:rsidR="00943EEA">
        <w:rPr>
          <w:rFonts w:cs="Arial"/>
          <w:lang w:val="es-MX"/>
        </w:rPr>
        <w:t xml:space="preserve">, </w:t>
      </w:r>
      <w:r w:rsidR="002041AA">
        <w:rPr>
          <w:rFonts w:cs="Arial"/>
          <w:bCs/>
          <w:lang w:val="es-MX"/>
        </w:rPr>
        <w:t>se le remitió</w:t>
      </w:r>
      <w:r w:rsidRPr="00555818">
        <w:rPr>
          <w:rFonts w:cs="Arial"/>
          <w:lang w:val="es-MX"/>
        </w:rPr>
        <w:t xml:space="preserve"> para su estudio y dictamen el Expediente Legislativo número </w:t>
      </w:r>
      <w:r w:rsidR="00205979">
        <w:rPr>
          <w:rFonts w:cs="Arial"/>
          <w:b/>
          <w:lang w:val="es-MX"/>
        </w:rPr>
        <w:t>10718</w:t>
      </w:r>
      <w:r w:rsidR="00284262">
        <w:rPr>
          <w:rFonts w:cs="Arial"/>
          <w:b/>
          <w:lang w:val="es-MX"/>
        </w:rPr>
        <w:t>/LXXIV</w:t>
      </w:r>
      <w:r w:rsidR="00943EEA">
        <w:rPr>
          <w:rFonts w:cs="Arial"/>
          <w:lang w:val="es-MX"/>
        </w:rPr>
        <w:t>,</w:t>
      </w:r>
      <w:r w:rsidRPr="00555818">
        <w:rPr>
          <w:rFonts w:cs="Arial"/>
          <w:lang w:val="es-MX"/>
        </w:rPr>
        <w:t xml:space="preserve"> </w:t>
      </w:r>
      <w:r w:rsidR="00943EEA" w:rsidRPr="00943EEA">
        <w:rPr>
          <w:rFonts w:cs="Arial"/>
          <w:lang w:val="es-MX"/>
        </w:rPr>
        <w:t>el cual le fue turnado p</w:t>
      </w:r>
      <w:r w:rsidR="00205979">
        <w:rPr>
          <w:rFonts w:cs="Arial"/>
          <w:lang w:val="es-MX"/>
        </w:rPr>
        <w:t>or acuerdo del Pleno en fecha 21</w:t>
      </w:r>
      <w:r w:rsidR="00943EEA">
        <w:rPr>
          <w:rFonts w:cs="Arial"/>
          <w:lang w:val="es-MX"/>
        </w:rPr>
        <w:t xml:space="preserve"> de febrero de 2017</w:t>
      </w:r>
      <w:r w:rsidR="00943EEA" w:rsidRPr="00943EEA">
        <w:rPr>
          <w:rFonts w:cs="Arial"/>
          <w:lang w:val="es-MX"/>
        </w:rPr>
        <w:t xml:space="preserve">, mismo que contiene escrito signado </w:t>
      </w:r>
      <w:r w:rsidR="00205979">
        <w:rPr>
          <w:rFonts w:cs="Arial"/>
          <w:lang w:val="es-MX"/>
        </w:rPr>
        <w:t xml:space="preserve">por la </w:t>
      </w:r>
      <w:r w:rsidR="00205979" w:rsidRPr="00205979">
        <w:rPr>
          <w:rFonts w:cs="Arial"/>
          <w:b/>
          <w:lang w:val="es-MX"/>
        </w:rPr>
        <w:t>Diputada Gloria Concepción Treviño Salazar</w:t>
      </w:r>
      <w:r w:rsidR="00365780" w:rsidRPr="00205979">
        <w:rPr>
          <w:rFonts w:cs="Arial"/>
          <w:b/>
          <w:lang w:val="es-MX"/>
        </w:rPr>
        <w:t>,</w:t>
      </w:r>
      <w:r w:rsidR="00205979">
        <w:rPr>
          <w:rFonts w:cs="Arial"/>
          <w:b/>
          <w:lang w:val="es-MX"/>
        </w:rPr>
        <w:t xml:space="preserve"> integrante del Grupo Legislativo del Partido Revolucionario Institucional,</w:t>
      </w:r>
      <w:r w:rsidR="00365780">
        <w:rPr>
          <w:rFonts w:cs="Arial"/>
          <w:lang w:val="es-MX"/>
        </w:rPr>
        <w:t xml:space="preserve"> </w:t>
      </w:r>
      <w:r w:rsidR="00205979">
        <w:rPr>
          <w:rFonts w:cs="Arial"/>
          <w:lang w:val="es-MX"/>
        </w:rPr>
        <w:t xml:space="preserve">perteneciente a la LXXIV Legislatura al H. Congreso del Estado de Nuevo León, ocurso donde solicita la aprobación de un punto de acuerdo, a fin de que esta soberanía exhorte </w:t>
      </w:r>
      <w:r w:rsidR="00BC1C39">
        <w:rPr>
          <w:rFonts w:cs="Arial"/>
          <w:lang w:val="es-MX"/>
        </w:rPr>
        <w:t>al C. Gobernador del Estado para que instruya a la Contraloría del Estado a que realice un análisis e investigación a cualquier tipo de responsabilidad de los servidores públicos que estuvieron a cargo de ejercer 500 millones de pesos</w:t>
      </w:r>
      <w:r w:rsidR="002E0BA8">
        <w:rPr>
          <w:rFonts w:cs="Arial"/>
          <w:lang w:val="es-MX"/>
        </w:rPr>
        <w:t>,</w:t>
      </w:r>
      <w:r w:rsidR="00BC1C39">
        <w:rPr>
          <w:rFonts w:cs="Arial"/>
          <w:lang w:val="es-MX"/>
        </w:rPr>
        <w:t xml:space="preserve"> de los diversos fondos federales </w:t>
      </w:r>
      <w:r w:rsidR="00BC1C39" w:rsidRPr="00BC1C39">
        <w:rPr>
          <w:rFonts w:cs="Arial"/>
          <w:lang w:val="es-MX"/>
        </w:rPr>
        <w:t>y en caso de que resulte al</w:t>
      </w:r>
      <w:r w:rsidR="002E0BA8">
        <w:rPr>
          <w:rFonts w:cs="Arial"/>
          <w:lang w:val="es-MX"/>
        </w:rPr>
        <w:t>guna irregularidad se sancione e</w:t>
      </w:r>
      <w:r w:rsidR="00BC1C39" w:rsidRPr="00BC1C39">
        <w:rPr>
          <w:rFonts w:cs="Arial"/>
          <w:lang w:val="es-MX"/>
        </w:rPr>
        <w:t>l actuar de los servidores públicos involucrados</w:t>
      </w:r>
      <w:r w:rsidR="00BC1C39">
        <w:rPr>
          <w:rFonts w:cs="Arial"/>
          <w:lang w:val="es-MX"/>
        </w:rPr>
        <w:t xml:space="preserve">, así también se </w:t>
      </w:r>
      <w:r w:rsidR="00BC1C39" w:rsidRPr="00BC1C39">
        <w:rPr>
          <w:rFonts w:cs="Arial"/>
          <w:lang w:val="es-MX"/>
        </w:rPr>
        <w:t>exhorte a la Auditoria Superior del Estado para que en el ámbito de sus atribuciones</w:t>
      </w:r>
      <w:r w:rsidR="002E0BA8">
        <w:rPr>
          <w:rFonts w:cs="Arial"/>
          <w:lang w:val="es-MX"/>
        </w:rPr>
        <w:t>,</w:t>
      </w:r>
      <w:r w:rsidR="00BC1C39" w:rsidRPr="00BC1C39">
        <w:rPr>
          <w:rFonts w:cs="Arial"/>
          <w:lang w:val="es-MX"/>
        </w:rPr>
        <w:t xml:space="preserve"> de seguimiento a los procedimientos instaurados por la Contraloría y verifique que se hayan llevado a cabo con conforme a derecho</w:t>
      </w:r>
      <w:r w:rsidR="00BC1C39">
        <w:rPr>
          <w:rFonts w:cs="Arial"/>
          <w:lang w:val="es-MX"/>
        </w:rPr>
        <w:t>.</w:t>
      </w:r>
    </w:p>
    <w:p w:rsidR="004344B9" w:rsidRPr="00152264" w:rsidRDefault="004344B9" w:rsidP="00394840">
      <w:pPr>
        <w:pStyle w:val="NormalWeb"/>
        <w:spacing w:line="360" w:lineRule="auto"/>
        <w:ind w:left="142" w:right="530" w:firstLine="284"/>
        <w:jc w:val="both"/>
        <w:rPr>
          <w:rFonts w:ascii="Arial" w:hAnsi="Arial" w:cs="Arial"/>
        </w:rPr>
      </w:pPr>
      <w:r w:rsidRPr="00152264">
        <w:rPr>
          <w:rFonts w:ascii="Arial" w:hAnsi="Arial" w:cs="Arial"/>
        </w:rPr>
        <w:t>Con el fin de ver proveído el requisito fundamental de dar vista al contenido de la Iniciativa citada y de conformidad con lo establecido en el artículo 47 inciso b) del Reglamento p</w:t>
      </w:r>
      <w:bookmarkStart w:id="0" w:name="_GoBack"/>
      <w:bookmarkEnd w:id="0"/>
      <w:r w:rsidRPr="00152264">
        <w:rPr>
          <w:rFonts w:ascii="Arial" w:hAnsi="Arial" w:cs="Arial"/>
        </w:rPr>
        <w:t xml:space="preserve">ara el Gobierno Interior del Congreso del Estado de Nuevo León, quienes integramos </w:t>
      </w:r>
      <w:r w:rsidR="00152264">
        <w:rPr>
          <w:rFonts w:ascii="Arial" w:hAnsi="Arial" w:cs="Arial"/>
        </w:rPr>
        <w:t>la</w:t>
      </w:r>
      <w:r w:rsidRPr="00152264">
        <w:rPr>
          <w:rFonts w:ascii="Arial" w:hAnsi="Arial" w:cs="Arial"/>
        </w:rPr>
        <w:t xml:space="preserve"> Comisión </w:t>
      </w:r>
      <w:r w:rsidRPr="00152264">
        <w:rPr>
          <w:rFonts w:ascii="Arial" w:hAnsi="Arial" w:cs="Arial"/>
        </w:rPr>
        <w:lastRenderedPageBreak/>
        <w:t xml:space="preserve">de Dictamen Legislativo que sustenta el presente documento, consignamos ante este Pleno los siguientes: </w:t>
      </w:r>
    </w:p>
    <w:p w:rsidR="004344B9" w:rsidRPr="00152264" w:rsidRDefault="004344B9" w:rsidP="00394840">
      <w:pPr>
        <w:spacing w:line="360" w:lineRule="auto"/>
        <w:ind w:left="142" w:right="530" w:firstLine="284"/>
        <w:jc w:val="both"/>
        <w:rPr>
          <w:rFonts w:cs="Arial"/>
          <w:b/>
          <w:lang w:val="es-MX"/>
        </w:rPr>
      </w:pPr>
    </w:p>
    <w:p w:rsidR="004344B9" w:rsidRDefault="004344B9" w:rsidP="00394840">
      <w:pPr>
        <w:spacing w:line="360" w:lineRule="auto"/>
        <w:ind w:left="142" w:right="530" w:firstLine="284"/>
        <w:jc w:val="both"/>
        <w:rPr>
          <w:rFonts w:cs="Arial"/>
          <w:b/>
          <w:lang w:val="es-MX"/>
        </w:rPr>
      </w:pPr>
      <w:r w:rsidRPr="00152264">
        <w:rPr>
          <w:rFonts w:cs="Arial"/>
          <w:b/>
          <w:lang w:val="es-MX"/>
        </w:rPr>
        <w:t>ANTECEDENTES</w:t>
      </w:r>
    </w:p>
    <w:p w:rsidR="00B163CB" w:rsidRPr="003752D0" w:rsidRDefault="00B163CB" w:rsidP="00394840">
      <w:pPr>
        <w:spacing w:line="360" w:lineRule="auto"/>
        <w:ind w:left="142" w:right="530" w:firstLine="284"/>
        <w:jc w:val="both"/>
        <w:rPr>
          <w:rFonts w:cs="Arial"/>
          <w:lang w:val="es-MX"/>
        </w:rPr>
      </w:pPr>
    </w:p>
    <w:p w:rsidR="007945C6" w:rsidRPr="003752D0" w:rsidRDefault="002E0BA8" w:rsidP="00394840">
      <w:pPr>
        <w:spacing w:line="360" w:lineRule="auto"/>
        <w:ind w:left="142" w:right="530" w:firstLine="284"/>
        <w:jc w:val="both"/>
        <w:rPr>
          <w:rFonts w:cs="Arial"/>
          <w:lang w:val="es-MX"/>
        </w:rPr>
      </w:pPr>
      <w:r>
        <w:rPr>
          <w:rFonts w:cs="Arial"/>
          <w:lang w:val="es-MX"/>
        </w:rPr>
        <w:t xml:space="preserve">La diputada </w:t>
      </w:r>
      <w:proofErr w:type="spellStart"/>
      <w:r>
        <w:rPr>
          <w:rFonts w:cs="Arial"/>
          <w:lang w:val="es-MX"/>
        </w:rPr>
        <w:t>promovente</w:t>
      </w:r>
      <w:proofErr w:type="spellEnd"/>
      <w:r>
        <w:rPr>
          <w:rFonts w:cs="Arial"/>
          <w:lang w:val="es-MX"/>
        </w:rPr>
        <w:t xml:space="preserve"> mediante escrito que rubrica refiere en su exposición de motivos como casusa de su petición de exhorto</w:t>
      </w:r>
      <w:r w:rsidR="00AD1251">
        <w:rPr>
          <w:rFonts w:cs="Arial"/>
          <w:lang w:val="es-MX"/>
        </w:rPr>
        <w:t xml:space="preserve"> lo sigui</w:t>
      </w:r>
      <w:r w:rsidR="000C6CCB">
        <w:rPr>
          <w:rFonts w:cs="Arial"/>
          <w:lang w:val="es-MX"/>
        </w:rPr>
        <w:t>e</w:t>
      </w:r>
      <w:r w:rsidR="00AD1251">
        <w:rPr>
          <w:rFonts w:cs="Arial"/>
          <w:lang w:val="es-MX"/>
        </w:rPr>
        <w:t>nte</w:t>
      </w:r>
      <w:r w:rsidR="007945C6" w:rsidRPr="007945C6">
        <w:rPr>
          <w:rFonts w:cs="Arial"/>
          <w:lang w:val="es-MX"/>
        </w:rPr>
        <w:t>:</w:t>
      </w:r>
    </w:p>
    <w:p w:rsidR="00C13EC2" w:rsidRDefault="00C13EC2" w:rsidP="00394840">
      <w:pPr>
        <w:spacing w:line="360" w:lineRule="auto"/>
        <w:ind w:left="142" w:right="530" w:firstLine="284"/>
        <w:jc w:val="both"/>
        <w:rPr>
          <w:rFonts w:cs="Arial"/>
          <w:i/>
          <w:lang w:val="es-MX"/>
        </w:rPr>
      </w:pPr>
    </w:p>
    <w:p w:rsidR="00C13EC2" w:rsidRDefault="00C13EC2" w:rsidP="00394840">
      <w:pPr>
        <w:spacing w:line="360" w:lineRule="auto"/>
        <w:ind w:left="142" w:right="530" w:firstLine="284"/>
        <w:jc w:val="both"/>
        <w:rPr>
          <w:rFonts w:cs="Arial"/>
          <w:i/>
          <w:lang w:val="es-MX"/>
        </w:rPr>
      </w:pPr>
    </w:p>
    <w:p w:rsidR="00205979" w:rsidRDefault="00001ADD" w:rsidP="00205979">
      <w:pPr>
        <w:spacing w:line="360" w:lineRule="auto"/>
        <w:ind w:left="142" w:right="530" w:firstLine="284"/>
        <w:jc w:val="both"/>
        <w:rPr>
          <w:rFonts w:cs="Arial"/>
          <w:i/>
          <w:lang w:val="es-MX"/>
        </w:rPr>
      </w:pPr>
      <w:r w:rsidRPr="00001ADD">
        <w:rPr>
          <w:rFonts w:cs="Arial"/>
          <w:i/>
          <w:lang w:val="es-MX"/>
        </w:rPr>
        <w:t>“</w:t>
      </w:r>
      <w:r w:rsidR="00205979" w:rsidRPr="00205979">
        <w:rPr>
          <w:rFonts w:cs="Arial"/>
          <w:i/>
          <w:lang w:val="es-MX"/>
        </w:rPr>
        <w:t>Nuevo León, es un Estado pujante  en el desarrollo económico del país cuya característica principal es el detonante de las empresas que brindan empleo a la gente de nuestro estado.</w:t>
      </w:r>
    </w:p>
    <w:p w:rsidR="004F2239" w:rsidRPr="00205979" w:rsidRDefault="004F2239" w:rsidP="00205979">
      <w:pPr>
        <w:spacing w:line="360" w:lineRule="auto"/>
        <w:ind w:left="142" w:right="530" w:firstLine="284"/>
        <w:jc w:val="both"/>
        <w:rPr>
          <w:rFonts w:cs="Arial"/>
          <w:i/>
          <w:lang w:val="es-MX"/>
        </w:rPr>
      </w:pPr>
    </w:p>
    <w:p w:rsidR="00205979" w:rsidRPr="00205979" w:rsidRDefault="00205979" w:rsidP="00205979">
      <w:pPr>
        <w:spacing w:line="360" w:lineRule="auto"/>
        <w:ind w:left="142" w:right="530" w:firstLine="284"/>
        <w:jc w:val="both"/>
        <w:rPr>
          <w:rFonts w:cs="Arial"/>
          <w:i/>
          <w:lang w:val="es-MX"/>
        </w:rPr>
      </w:pPr>
      <w:r w:rsidRPr="00205979">
        <w:rPr>
          <w:rFonts w:cs="Arial"/>
          <w:i/>
          <w:lang w:val="es-MX"/>
        </w:rPr>
        <w:t>Durante muchos años hemos visto con buenos ojos la inyección de recursos que hace el Ejecutivo del Estado en infraestructura vial, para la movilidad de mercancías, el traslado de los trabajadores a sus fuentes de empleo y los centros educativos.</w:t>
      </w:r>
    </w:p>
    <w:p w:rsidR="00205979" w:rsidRDefault="00205979" w:rsidP="00205979">
      <w:pPr>
        <w:spacing w:line="360" w:lineRule="auto"/>
        <w:ind w:left="142" w:right="530" w:firstLine="284"/>
        <w:jc w:val="both"/>
        <w:rPr>
          <w:rFonts w:cs="Arial"/>
          <w:i/>
          <w:lang w:val="es-MX"/>
        </w:rPr>
      </w:pPr>
      <w:r w:rsidRPr="00205979">
        <w:rPr>
          <w:rFonts w:cs="Arial"/>
          <w:i/>
          <w:lang w:val="es-MX"/>
        </w:rPr>
        <w:t xml:space="preserve">Sin embargo hemos visto que ante la entrada del nuevo gobierno independiente la ejecución de obra y de recursos en este rubro ha sido nula, así como el diseño de una política pública que coadyuve a mejorar la infraestructura carretera, de calles, avenidas y de transporte público de pasajeros, entendiéndose por este último </w:t>
      </w:r>
      <w:proofErr w:type="spellStart"/>
      <w:r w:rsidRPr="00205979">
        <w:rPr>
          <w:rFonts w:cs="Arial"/>
          <w:i/>
          <w:lang w:val="es-MX"/>
        </w:rPr>
        <w:t>Ecovía</w:t>
      </w:r>
      <w:proofErr w:type="spellEnd"/>
      <w:r w:rsidRPr="00205979">
        <w:rPr>
          <w:rFonts w:cs="Arial"/>
          <w:i/>
          <w:lang w:val="es-MX"/>
        </w:rPr>
        <w:t xml:space="preserve"> y Metro, siendo </w:t>
      </w:r>
      <w:r w:rsidRPr="00205979">
        <w:rPr>
          <w:rFonts w:cs="Arial"/>
          <w:i/>
          <w:lang w:val="es-MX"/>
        </w:rPr>
        <w:lastRenderedPageBreak/>
        <w:t>estos unas de las obras que más desahogan la movilidad de miles de personas día con día.</w:t>
      </w:r>
    </w:p>
    <w:p w:rsidR="002E0BA8" w:rsidRPr="00205979" w:rsidRDefault="002E0BA8" w:rsidP="00205979">
      <w:pPr>
        <w:spacing w:line="360" w:lineRule="auto"/>
        <w:ind w:left="142" w:right="530" w:firstLine="284"/>
        <w:jc w:val="both"/>
        <w:rPr>
          <w:rFonts w:cs="Arial"/>
          <w:i/>
          <w:lang w:val="es-MX"/>
        </w:rPr>
      </w:pPr>
    </w:p>
    <w:p w:rsidR="00205979" w:rsidRPr="00205979" w:rsidRDefault="00205979" w:rsidP="00205979">
      <w:pPr>
        <w:spacing w:line="360" w:lineRule="auto"/>
        <w:ind w:left="142" w:right="530" w:firstLine="284"/>
        <w:jc w:val="both"/>
        <w:rPr>
          <w:rFonts w:cs="Arial"/>
          <w:i/>
          <w:lang w:val="es-MX"/>
        </w:rPr>
      </w:pPr>
      <w:r w:rsidRPr="00205979">
        <w:rPr>
          <w:rFonts w:cs="Arial"/>
          <w:i/>
          <w:lang w:val="es-MX"/>
        </w:rPr>
        <w:t>Resulta preocupante que hace unos días se diera a conocer un subejercicio de cerca de 500 millones de pesos que no ejerció el Gobierno Estatal en diversos programas y fondos federales, mismos que no fueron aprovechados por los municipios del Estado para llevar a cabo diversos proyectos que tanto se necesitan.</w:t>
      </w:r>
    </w:p>
    <w:p w:rsidR="00205979" w:rsidRPr="00205979" w:rsidRDefault="00205979" w:rsidP="00205979">
      <w:pPr>
        <w:spacing w:line="360" w:lineRule="auto"/>
        <w:ind w:left="142" w:right="530" w:firstLine="284"/>
        <w:jc w:val="both"/>
        <w:rPr>
          <w:rFonts w:cs="Arial"/>
          <w:i/>
          <w:lang w:val="es-MX"/>
        </w:rPr>
      </w:pPr>
    </w:p>
    <w:p w:rsidR="00205979" w:rsidRDefault="00205979" w:rsidP="00205979">
      <w:pPr>
        <w:spacing w:line="360" w:lineRule="auto"/>
        <w:ind w:left="142" w:right="530" w:firstLine="284"/>
        <w:jc w:val="both"/>
        <w:rPr>
          <w:rFonts w:cs="Arial"/>
          <w:i/>
          <w:lang w:val="es-MX"/>
        </w:rPr>
      </w:pPr>
      <w:r w:rsidRPr="00205979">
        <w:rPr>
          <w:rFonts w:cs="Arial"/>
          <w:i/>
          <w:lang w:val="es-MX"/>
        </w:rPr>
        <w:t>Ahora bien, la Auditoria Superior de la Federación en el Informe de Resultados de la Cuenta Pública 2015 realizó dicho señalamiento cuestionando la omisión de su aplicación por parte del Ejecutivo Estatal.</w:t>
      </w:r>
    </w:p>
    <w:p w:rsidR="002E0BA8" w:rsidRPr="00205979" w:rsidRDefault="002E0BA8" w:rsidP="00205979">
      <w:pPr>
        <w:spacing w:line="360" w:lineRule="auto"/>
        <w:ind w:left="142" w:right="530" w:firstLine="284"/>
        <w:jc w:val="both"/>
        <w:rPr>
          <w:rFonts w:cs="Arial"/>
          <w:i/>
          <w:lang w:val="es-MX"/>
        </w:rPr>
      </w:pPr>
    </w:p>
    <w:p w:rsidR="00205979" w:rsidRPr="00205979" w:rsidRDefault="00205979" w:rsidP="00205979">
      <w:pPr>
        <w:spacing w:line="360" w:lineRule="auto"/>
        <w:ind w:left="142" w:right="530" w:firstLine="284"/>
        <w:jc w:val="both"/>
        <w:rPr>
          <w:rFonts w:cs="Arial"/>
          <w:i/>
          <w:lang w:val="es-MX"/>
        </w:rPr>
      </w:pPr>
      <w:r w:rsidRPr="00205979">
        <w:rPr>
          <w:rFonts w:cs="Arial"/>
          <w:i/>
          <w:lang w:val="es-MX"/>
        </w:rPr>
        <w:t>Según la información revelada fueron 235.9 millones de pesos del Fondo Metropolitano; 162.7 millones del programa de agua potable, alcantarillado y saneamiento, 105.5 millones del Fondo de Contingencias Económicas y 32.9 millones del fondo de Infraestructura Social Básica que equivale al 40% por ciento de lo asignado.</w:t>
      </w:r>
    </w:p>
    <w:p w:rsidR="00205979" w:rsidRDefault="00205979" w:rsidP="00205979">
      <w:pPr>
        <w:spacing w:line="360" w:lineRule="auto"/>
        <w:ind w:left="142" w:right="530" w:firstLine="284"/>
        <w:jc w:val="both"/>
        <w:rPr>
          <w:rFonts w:cs="Arial"/>
          <w:i/>
          <w:lang w:val="es-MX"/>
        </w:rPr>
      </w:pPr>
      <w:r w:rsidRPr="00205979">
        <w:rPr>
          <w:rFonts w:cs="Arial"/>
          <w:i/>
          <w:lang w:val="es-MX"/>
        </w:rPr>
        <w:t>Este antecedente deja ver nuevamente una falta de previsión y planeación de parte del Ejecutivo del Estado, ya que tan solo hace un par de semana perdió 21 millones de un fondo federal asignado al Estado para implementación de infraestructura con personas con discapacidad, mismos que creemos también eran de gran importancia para este sector tan vulnerable.</w:t>
      </w:r>
    </w:p>
    <w:p w:rsidR="002E0BA8" w:rsidRPr="00205979" w:rsidRDefault="002E0BA8" w:rsidP="00205979">
      <w:pPr>
        <w:spacing w:line="360" w:lineRule="auto"/>
        <w:ind w:left="142" w:right="530" w:firstLine="284"/>
        <w:jc w:val="both"/>
        <w:rPr>
          <w:rFonts w:cs="Arial"/>
          <w:i/>
          <w:lang w:val="es-MX"/>
        </w:rPr>
      </w:pPr>
    </w:p>
    <w:p w:rsidR="00205979" w:rsidRPr="00205979" w:rsidRDefault="00205979" w:rsidP="00205979">
      <w:pPr>
        <w:spacing w:line="360" w:lineRule="auto"/>
        <w:ind w:left="142" w:right="530" w:firstLine="284"/>
        <w:jc w:val="both"/>
        <w:rPr>
          <w:rFonts w:cs="Arial"/>
          <w:i/>
          <w:lang w:val="es-MX"/>
        </w:rPr>
      </w:pPr>
      <w:r w:rsidRPr="00205979">
        <w:rPr>
          <w:rFonts w:cs="Arial"/>
          <w:i/>
          <w:lang w:val="es-MX"/>
        </w:rPr>
        <w:lastRenderedPageBreak/>
        <w:t>Esto nos lleva a pensar que falta una debida diligencia en los recursos que envía la federación como en su aplicación, toda vez que el no haber aplicado estos recursos puede haber causado un grave daño a la hacienda pública por la acción u omisión de algún funcionario de las instancias de Gobierno Estatal.</w:t>
      </w:r>
    </w:p>
    <w:p w:rsidR="00371089" w:rsidRPr="003752D0" w:rsidRDefault="00371089" w:rsidP="00394840">
      <w:pPr>
        <w:spacing w:line="360" w:lineRule="auto"/>
        <w:ind w:left="142" w:right="530" w:firstLine="284"/>
        <w:jc w:val="both"/>
        <w:rPr>
          <w:rFonts w:cs="Arial"/>
          <w:lang w:val="es-MX"/>
        </w:rPr>
      </w:pPr>
    </w:p>
    <w:p w:rsidR="00C44976" w:rsidRDefault="00515A32" w:rsidP="00394840">
      <w:pPr>
        <w:spacing w:line="360" w:lineRule="auto"/>
        <w:ind w:left="142" w:right="530" w:firstLine="284"/>
        <w:jc w:val="both"/>
        <w:rPr>
          <w:rFonts w:cs="Arial"/>
        </w:rPr>
      </w:pPr>
      <w:r w:rsidRPr="00515A32">
        <w:rPr>
          <w:rFonts w:cs="Arial"/>
        </w:rPr>
        <w:t>Una vez analizados los antecedentes y solicitud de mérito y con fundamento en el artículo 47, inciso c) del Reglamento para el Gobierno Interior del Congreso del Estado de Nuevo León, quienes integramos la Comisión Anticorrupción,  ofrecemos al Pleno de este Poder Legislativo, a manera de sustento para este dictamen las siguientes:</w:t>
      </w:r>
    </w:p>
    <w:p w:rsidR="00515A32" w:rsidRPr="00152264" w:rsidRDefault="00515A32" w:rsidP="00394840">
      <w:pPr>
        <w:spacing w:line="360" w:lineRule="auto"/>
        <w:ind w:left="142" w:right="530" w:firstLine="284"/>
        <w:jc w:val="both"/>
        <w:rPr>
          <w:rFonts w:cs="Arial"/>
        </w:rPr>
      </w:pPr>
    </w:p>
    <w:p w:rsidR="00C44976" w:rsidRPr="00152264" w:rsidRDefault="00C44976" w:rsidP="00394840">
      <w:pPr>
        <w:spacing w:line="360" w:lineRule="auto"/>
        <w:ind w:left="142" w:right="530" w:firstLine="284"/>
        <w:jc w:val="both"/>
        <w:outlineLvl w:val="0"/>
        <w:rPr>
          <w:rFonts w:cs="Arial"/>
          <w:b/>
          <w:bCs/>
        </w:rPr>
      </w:pPr>
      <w:r w:rsidRPr="00152264">
        <w:rPr>
          <w:rFonts w:cs="Arial"/>
          <w:b/>
          <w:bCs/>
        </w:rPr>
        <w:t>CONSIDERACIONES</w:t>
      </w:r>
    </w:p>
    <w:p w:rsidR="00D378C8" w:rsidRPr="00152264" w:rsidRDefault="00D378C8" w:rsidP="00394840">
      <w:pPr>
        <w:spacing w:line="360" w:lineRule="auto"/>
        <w:ind w:left="142" w:right="530" w:firstLine="284"/>
        <w:jc w:val="both"/>
        <w:outlineLvl w:val="0"/>
        <w:rPr>
          <w:rFonts w:cs="Arial"/>
          <w:b/>
          <w:bCs/>
        </w:rPr>
      </w:pPr>
    </w:p>
    <w:p w:rsidR="00D378C8" w:rsidRPr="00152264" w:rsidRDefault="00D378C8" w:rsidP="00394840">
      <w:pPr>
        <w:spacing w:line="360" w:lineRule="auto"/>
        <w:ind w:left="142" w:right="530" w:firstLine="284"/>
        <w:jc w:val="both"/>
        <w:rPr>
          <w:rFonts w:cs="Arial"/>
        </w:rPr>
      </w:pPr>
      <w:r w:rsidRPr="00152264">
        <w:rPr>
          <w:rFonts w:cs="Arial"/>
        </w:rPr>
        <w:t>La competencia que le resulta a esta Comisión Anticorrupción para conocer de los asuntos que le fueron turnados, se encuentra sustentada por los numerales 70 fracción XXI</w:t>
      </w:r>
      <w:r w:rsidR="00515A32">
        <w:rPr>
          <w:rFonts w:cs="Arial"/>
        </w:rPr>
        <w:t>I</w:t>
      </w:r>
      <w:r w:rsidRPr="00152264">
        <w:rPr>
          <w:rFonts w:cs="Arial"/>
        </w:rPr>
        <w:t xml:space="preserve">, y demás relativos de la Ley Orgánica del Poder Legislativo del Estado de Nuevo León, así como lo dispuesto en los artículos 37 y 39 fracción </w:t>
      </w:r>
      <w:r w:rsidR="00D92D82" w:rsidRPr="00152264">
        <w:rPr>
          <w:rFonts w:cs="Arial"/>
        </w:rPr>
        <w:t>XXI</w:t>
      </w:r>
      <w:r w:rsidR="00F30C93">
        <w:rPr>
          <w:rFonts w:cs="Arial"/>
        </w:rPr>
        <w:t>I</w:t>
      </w:r>
      <w:r w:rsidR="00D92D82" w:rsidRPr="00152264">
        <w:rPr>
          <w:rFonts w:cs="Arial"/>
        </w:rPr>
        <w:t xml:space="preserve"> </w:t>
      </w:r>
      <w:r w:rsidRPr="00152264">
        <w:rPr>
          <w:rFonts w:cs="Arial"/>
        </w:rPr>
        <w:t>del Reglamento para el Gobierno Interior del Congreso del Estado de Nuevo León.</w:t>
      </w:r>
    </w:p>
    <w:p w:rsidR="00C44976" w:rsidRPr="00152264" w:rsidRDefault="00C44976" w:rsidP="00394840">
      <w:pPr>
        <w:spacing w:line="360" w:lineRule="auto"/>
        <w:ind w:left="142" w:right="530" w:firstLine="284"/>
        <w:jc w:val="both"/>
        <w:outlineLvl w:val="0"/>
        <w:rPr>
          <w:rFonts w:cs="Arial"/>
          <w:b/>
          <w:bCs/>
        </w:rPr>
      </w:pPr>
    </w:p>
    <w:p w:rsidR="004344B9" w:rsidRPr="00152264" w:rsidRDefault="004344B9" w:rsidP="00394840">
      <w:pPr>
        <w:spacing w:line="360" w:lineRule="auto"/>
        <w:ind w:left="142" w:right="530" w:firstLine="284"/>
        <w:jc w:val="both"/>
        <w:rPr>
          <w:rFonts w:cs="Arial"/>
          <w:lang w:val="es-MX"/>
        </w:rPr>
      </w:pPr>
      <w:r w:rsidRPr="00152264">
        <w:rPr>
          <w:rFonts w:cs="Arial"/>
          <w:lang w:val="es-MX"/>
        </w:rPr>
        <w:t>Ahora bien</w:t>
      </w:r>
      <w:r w:rsidR="00D92D82" w:rsidRPr="00152264">
        <w:rPr>
          <w:rFonts w:cs="Arial"/>
          <w:lang w:val="es-MX"/>
        </w:rPr>
        <w:t>,</w:t>
      </w:r>
      <w:r w:rsidRPr="00152264">
        <w:rPr>
          <w:rFonts w:cs="Arial"/>
          <w:lang w:val="es-MX"/>
        </w:rPr>
        <w:t xml:space="preserve"> en respeto, promoción y garantía al derecho constitucional</w:t>
      </w:r>
      <w:r w:rsidR="00515A32">
        <w:rPr>
          <w:rFonts w:cs="Arial"/>
          <w:lang w:val="es-MX"/>
        </w:rPr>
        <w:t xml:space="preserve"> de petición que le asiste a la</w:t>
      </w:r>
      <w:r w:rsidRPr="00152264">
        <w:rPr>
          <w:rFonts w:cs="Arial"/>
          <w:lang w:val="es-MX"/>
        </w:rPr>
        <w:t xml:space="preserve"> </w:t>
      </w:r>
      <w:r w:rsidR="00D92D82" w:rsidRPr="00152264">
        <w:rPr>
          <w:rFonts w:cs="Arial"/>
          <w:lang w:val="es-MX"/>
        </w:rPr>
        <w:t>solicitant</w:t>
      </w:r>
      <w:r w:rsidR="00515A32">
        <w:rPr>
          <w:rFonts w:cs="Arial"/>
          <w:lang w:val="es-MX"/>
        </w:rPr>
        <w:t>e</w:t>
      </w:r>
      <w:r w:rsidRPr="00152264">
        <w:rPr>
          <w:rFonts w:cs="Arial"/>
          <w:lang w:val="es-MX"/>
        </w:rPr>
        <w:t xml:space="preserve">, previsto por el artículo 8 de la Constitución Política de los Estados Unidos Mexicanos, el cual dispone que a toda petición que se realice por algún ciudadano a </w:t>
      </w:r>
      <w:r w:rsidRPr="00152264">
        <w:rPr>
          <w:rFonts w:cs="Arial"/>
          <w:lang w:val="es-MX"/>
        </w:rPr>
        <w:lastRenderedPageBreak/>
        <w:t>cualquier autoridad, siempre que se formule por escrito y en forma respetuosa, deberá recaer una contestación, estimamos procedente a</w:t>
      </w:r>
      <w:r w:rsidR="00D92D82" w:rsidRPr="00152264">
        <w:rPr>
          <w:rFonts w:cs="Arial"/>
          <w:lang w:val="es-MX"/>
        </w:rPr>
        <w:t>b</w:t>
      </w:r>
      <w:r w:rsidRPr="00152264">
        <w:rPr>
          <w:rFonts w:cs="Arial"/>
          <w:lang w:val="es-MX"/>
        </w:rPr>
        <w:t>ocarnos al estudio y análisis de las cuestiones sometidas a resolución de es</w:t>
      </w:r>
      <w:r w:rsidR="007945C6">
        <w:rPr>
          <w:rFonts w:cs="Arial"/>
          <w:lang w:val="es-MX"/>
        </w:rPr>
        <w:t>ta Comisión por el</w:t>
      </w:r>
      <w:r w:rsidR="007F0732">
        <w:rPr>
          <w:rFonts w:cs="Arial"/>
          <w:lang w:val="es-MX"/>
        </w:rPr>
        <w:t xml:space="preserve"> denunciante</w:t>
      </w:r>
      <w:r w:rsidR="007945C6">
        <w:rPr>
          <w:rFonts w:cs="Arial"/>
          <w:lang w:val="es-MX"/>
        </w:rPr>
        <w:t xml:space="preserve"> enunciado</w:t>
      </w:r>
      <w:r w:rsidRPr="00152264">
        <w:rPr>
          <w:rFonts w:cs="Arial"/>
          <w:lang w:val="es-MX"/>
        </w:rPr>
        <w:t xml:space="preserve"> en el proemio de este </w:t>
      </w:r>
      <w:r w:rsidR="00D92D82" w:rsidRPr="00152264">
        <w:rPr>
          <w:rFonts w:cs="Arial"/>
          <w:lang w:val="es-MX"/>
        </w:rPr>
        <w:t>dictamen</w:t>
      </w:r>
      <w:r w:rsidRPr="00152264">
        <w:rPr>
          <w:rFonts w:cs="Arial"/>
          <w:lang w:val="es-MX"/>
        </w:rPr>
        <w:t>, con el objeto de precisar, de conformidad con la normatividad aplicable y en observancia al principio de legalidad, los términos en que habrá de producirse la contestación respectiva a los puntos petitorios:</w:t>
      </w:r>
    </w:p>
    <w:p w:rsidR="004344B9" w:rsidRPr="00152264" w:rsidRDefault="004344B9" w:rsidP="00394840">
      <w:pPr>
        <w:spacing w:line="360" w:lineRule="auto"/>
        <w:ind w:left="142" w:right="530" w:firstLine="284"/>
        <w:rPr>
          <w:rFonts w:cs="Arial"/>
          <w:b/>
          <w:lang w:val="es-MX"/>
        </w:rPr>
      </w:pPr>
    </w:p>
    <w:p w:rsidR="00EE1734" w:rsidRDefault="004344B9" w:rsidP="00394840">
      <w:pPr>
        <w:spacing w:line="360" w:lineRule="auto"/>
        <w:ind w:left="142" w:right="530" w:firstLine="284"/>
        <w:jc w:val="both"/>
        <w:rPr>
          <w:rFonts w:cs="Arial"/>
          <w:lang w:val="es-MX"/>
        </w:rPr>
      </w:pPr>
      <w:r w:rsidRPr="00152264">
        <w:rPr>
          <w:rFonts w:cs="Arial"/>
          <w:b/>
          <w:lang w:val="es-MX"/>
        </w:rPr>
        <w:t>Primero.-</w:t>
      </w:r>
      <w:r w:rsidR="003A686F">
        <w:rPr>
          <w:rFonts w:cs="Arial"/>
          <w:b/>
          <w:lang w:val="es-MX"/>
        </w:rPr>
        <w:t xml:space="preserve"> </w:t>
      </w:r>
      <w:r w:rsidR="00205979">
        <w:rPr>
          <w:rFonts w:cs="Arial"/>
          <w:lang w:val="es-MX"/>
        </w:rPr>
        <w:t>La procedencia del presente dictamen</w:t>
      </w:r>
      <w:r w:rsidR="003A686F" w:rsidRPr="00EE1734">
        <w:rPr>
          <w:rFonts w:cs="Arial"/>
          <w:lang w:val="es-MX"/>
        </w:rPr>
        <w:t xml:space="preserve"> recae </w:t>
      </w:r>
      <w:r w:rsidR="00001ADD">
        <w:rPr>
          <w:rFonts w:cs="Arial"/>
          <w:lang w:val="es-MX"/>
        </w:rPr>
        <w:t>en la garantía por</w:t>
      </w:r>
      <w:r w:rsidR="003A686F" w:rsidRPr="00EE1734">
        <w:rPr>
          <w:rFonts w:cs="Arial"/>
          <w:lang w:val="es-MX"/>
        </w:rPr>
        <w:t xml:space="preserve"> derecho constitucional de petición, invocada en el párrafo que antecede, </w:t>
      </w:r>
      <w:r w:rsidR="00205979">
        <w:rPr>
          <w:rFonts w:cs="Arial"/>
          <w:lang w:val="es-MX"/>
        </w:rPr>
        <w:t xml:space="preserve">así como en el diverso 123 del Reglamento para el Gobierno Interior del Congreso del Estado de Nuevo León el cual a la </w:t>
      </w:r>
      <w:proofErr w:type="spellStart"/>
      <w:r w:rsidR="00205979">
        <w:rPr>
          <w:rFonts w:cs="Arial"/>
          <w:lang w:val="es-MX"/>
        </w:rPr>
        <w:t>la</w:t>
      </w:r>
      <w:proofErr w:type="spellEnd"/>
      <w:r w:rsidR="00205979">
        <w:rPr>
          <w:rFonts w:cs="Arial"/>
          <w:lang w:val="es-MX"/>
        </w:rPr>
        <w:t xml:space="preserve"> letra dice:</w:t>
      </w:r>
    </w:p>
    <w:p w:rsidR="00205979" w:rsidRDefault="00205979" w:rsidP="00394840">
      <w:pPr>
        <w:spacing w:line="360" w:lineRule="auto"/>
        <w:ind w:left="142" w:right="530" w:firstLine="284"/>
        <w:jc w:val="both"/>
        <w:rPr>
          <w:rFonts w:cs="Arial"/>
          <w:lang w:val="es-MX"/>
        </w:rPr>
      </w:pPr>
    </w:p>
    <w:p w:rsidR="00205979" w:rsidRPr="00205979" w:rsidRDefault="00205979" w:rsidP="00205979">
      <w:pPr>
        <w:spacing w:line="360" w:lineRule="auto"/>
        <w:ind w:left="142" w:right="530" w:firstLine="284"/>
        <w:jc w:val="both"/>
        <w:rPr>
          <w:rFonts w:cs="Arial"/>
          <w:i/>
          <w:lang w:val="es-MX"/>
        </w:rPr>
      </w:pPr>
      <w:r w:rsidRPr="00205979">
        <w:rPr>
          <w:rFonts w:cs="Arial"/>
          <w:i/>
          <w:lang w:val="es-MX"/>
        </w:rPr>
        <w:t>“ARTICULO 123.- Bajo la denominación de Acuerdo, el Congreso dictará resolución sobre cualquier asunto concreto y específico que sea sometido a su consideración y que no sea Decreto o Ley.</w:t>
      </w:r>
    </w:p>
    <w:p w:rsidR="00205979" w:rsidRPr="00205979" w:rsidRDefault="00205979" w:rsidP="00205979">
      <w:pPr>
        <w:spacing w:line="360" w:lineRule="auto"/>
        <w:ind w:right="530"/>
        <w:jc w:val="both"/>
        <w:rPr>
          <w:rFonts w:cs="Arial"/>
          <w:i/>
          <w:lang w:val="es-MX"/>
        </w:rPr>
      </w:pPr>
    </w:p>
    <w:p w:rsidR="00205979" w:rsidRPr="00205979" w:rsidRDefault="00205979" w:rsidP="00205979">
      <w:pPr>
        <w:spacing w:line="360" w:lineRule="auto"/>
        <w:ind w:right="530"/>
        <w:jc w:val="both"/>
        <w:rPr>
          <w:rFonts w:cs="Arial"/>
          <w:i/>
          <w:lang w:val="es-MX"/>
        </w:rPr>
      </w:pPr>
      <w:r w:rsidRPr="00205979">
        <w:rPr>
          <w:rFonts w:cs="Arial"/>
          <w:i/>
          <w:lang w:val="es-MX"/>
        </w:rPr>
        <w:t>Los Acuerdos Administrativos son las resoluciones del Pleno o de la Comisión de Coordinación y Régimen Interno sobre asuntos concretos específicos que solo se comunicarán a los interesados.”</w:t>
      </w:r>
    </w:p>
    <w:p w:rsidR="00205979" w:rsidRDefault="00205979" w:rsidP="00394840">
      <w:pPr>
        <w:spacing w:line="360" w:lineRule="auto"/>
        <w:ind w:left="142" w:right="530" w:firstLine="284"/>
        <w:jc w:val="both"/>
        <w:rPr>
          <w:rFonts w:cs="Arial"/>
          <w:lang w:val="es-MX"/>
        </w:rPr>
      </w:pPr>
    </w:p>
    <w:p w:rsidR="00205979" w:rsidRPr="00EE1734" w:rsidRDefault="00205979" w:rsidP="00205979">
      <w:pPr>
        <w:spacing w:line="360" w:lineRule="auto"/>
        <w:ind w:right="530"/>
        <w:jc w:val="both"/>
        <w:rPr>
          <w:rFonts w:cs="Arial"/>
          <w:lang w:val="es-MX"/>
        </w:rPr>
      </w:pPr>
    </w:p>
    <w:p w:rsidR="00470A6D" w:rsidRDefault="00EE1734" w:rsidP="004F2239">
      <w:pPr>
        <w:spacing w:line="360" w:lineRule="auto"/>
        <w:ind w:left="142" w:right="530" w:firstLine="284"/>
        <w:jc w:val="both"/>
        <w:rPr>
          <w:rFonts w:cs="Arial"/>
          <w:lang w:val="es-MX"/>
        </w:rPr>
      </w:pPr>
      <w:r>
        <w:rPr>
          <w:rFonts w:cs="Arial"/>
          <w:b/>
          <w:lang w:val="es-MX"/>
        </w:rPr>
        <w:t xml:space="preserve">Segundo: </w:t>
      </w:r>
      <w:r w:rsidR="004F2239">
        <w:rPr>
          <w:rFonts w:cs="Arial"/>
          <w:lang w:val="es-MX"/>
        </w:rPr>
        <w:t xml:space="preserve">La Diputada </w:t>
      </w:r>
      <w:proofErr w:type="spellStart"/>
      <w:r w:rsidR="004F2239">
        <w:rPr>
          <w:rFonts w:cs="Arial"/>
          <w:lang w:val="es-MX"/>
        </w:rPr>
        <w:t>promovente</w:t>
      </w:r>
      <w:proofErr w:type="spellEnd"/>
      <w:r w:rsidR="004F2239">
        <w:rPr>
          <w:rFonts w:cs="Arial"/>
          <w:lang w:val="es-MX"/>
        </w:rPr>
        <w:t xml:space="preserve"> refiere como acciones omisas</w:t>
      </w:r>
      <w:r w:rsidR="00767C8E">
        <w:rPr>
          <w:rFonts w:cs="Arial"/>
          <w:lang w:val="es-MX"/>
        </w:rPr>
        <w:t xml:space="preserve"> del Ejecutivo</w:t>
      </w:r>
      <w:r w:rsidR="004F2239">
        <w:rPr>
          <w:rFonts w:cs="Arial"/>
          <w:lang w:val="es-MX"/>
        </w:rPr>
        <w:t xml:space="preserve">, el </w:t>
      </w:r>
      <w:r w:rsidR="004F2239" w:rsidRPr="004F2239">
        <w:rPr>
          <w:rFonts w:cs="Arial"/>
          <w:lang w:val="es-MX"/>
        </w:rPr>
        <w:t>subejercicio de cerca de 500 millones de pesos que no ejerció el Gobierno Estatal en diversos programas y fondos federales</w:t>
      </w:r>
      <w:r w:rsidR="00767C8E">
        <w:rPr>
          <w:rFonts w:cs="Arial"/>
          <w:lang w:val="es-MX"/>
        </w:rPr>
        <w:t xml:space="preserve">, </w:t>
      </w:r>
      <w:r w:rsidR="00767C8E">
        <w:rPr>
          <w:rFonts w:cs="Arial"/>
          <w:lang w:val="es-MX"/>
        </w:rPr>
        <w:lastRenderedPageBreak/>
        <w:t xml:space="preserve">detectado en la </w:t>
      </w:r>
      <w:r w:rsidR="004F2239">
        <w:rPr>
          <w:rFonts w:cs="Arial"/>
          <w:lang w:val="es-MX"/>
        </w:rPr>
        <w:t>Cuenta Pública 2015, lo cual se desglosa de la siguiente forma:</w:t>
      </w:r>
    </w:p>
    <w:p w:rsidR="004F2239" w:rsidRDefault="00767C8E" w:rsidP="00767C8E">
      <w:pPr>
        <w:spacing w:line="360" w:lineRule="auto"/>
        <w:ind w:right="530"/>
        <w:jc w:val="both"/>
        <w:rPr>
          <w:rFonts w:cs="Arial"/>
          <w:lang w:val="es-MX"/>
        </w:rPr>
      </w:pPr>
      <w:r>
        <w:rPr>
          <w:rFonts w:cs="Arial"/>
          <w:lang w:val="es-MX"/>
        </w:rPr>
        <w:t xml:space="preserve"> 1.- </w:t>
      </w:r>
      <w:r w:rsidR="004F2239" w:rsidRPr="004F2239">
        <w:rPr>
          <w:rFonts w:cs="Arial"/>
          <w:lang w:val="es-MX"/>
        </w:rPr>
        <w:t>235.9 millones de pesos del Fondo Metropolitano</w:t>
      </w:r>
    </w:p>
    <w:p w:rsidR="004F2239" w:rsidRDefault="00767C8E" w:rsidP="00767C8E">
      <w:pPr>
        <w:spacing w:line="360" w:lineRule="auto"/>
        <w:ind w:right="530"/>
        <w:jc w:val="both"/>
        <w:rPr>
          <w:rFonts w:cs="Arial"/>
          <w:lang w:val="es-MX"/>
        </w:rPr>
      </w:pPr>
      <w:r>
        <w:rPr>
          <w:rFonts w:cs="Arial"/>
          <w:lang w:val="es-MX"/>
        </w:rPr>
        <w:t xml:space="preserve"> 2.- </w:t>
      </w:r>
      <w:r w:rsidRPr="00767C8E">
        <w:rPr>
          <w:rFonts w:cs="Arial"/>
          <w:lang w:val="es-MX"/>
        </w:rPr>
        <w:t>162.7 millones del programa de agua potable</w:t>
      </w:r>
    </w:p>
    <w:p w:rsidR="00767C8E" w:rsidRDefault="00767C8E" w:rsidP="00767C8E">
      <w:pPr>
        <w:spacing w:line="360" w:lineRule="auto"/>
        <w:ind w:right="530"/>
        <w:jc w:val="both"/>
        <w:rPr>
          <w:rFonts w:cs="Arial"/>
          <w:lang w:val="es-MX"/>
        </w:rPr>
      </w:pPr>
      <w:r>
        <w:rPr>
          <w:rFonts w:cs="Arial"/>
          <w:lang w:val="es-MX"/>
        </w:rPr>
        <w:t xml:space="preserve"> 3.- </w:t>
      </w:r>
      <w:r w:rsidRPr="00767C8E">
        <w:rPr>
          <w:rFonts w:cs="Arial"/>
          <w:lang w:val="es-MX"/>
        </w:rPr>
        <w:t>105.5 millones del Fondo de Contingencias Económicas</w:t>
      </w:r>
      <w:r>
        <w:rPr>
          <w:rFonts w:cs="Arial"/>
          <w:lang w:val="es-MX"/>
        </w:rPr>
        <w:t xml:space="preserve"> y;</w:t>
      </w:r>
    </w:p>
    <w:p w:rsidR="00767C8E" w:rsidRDefault="00767C8E" w:rsidP="00767C8E">
      <w:pPr>
        <w:spacing w:line="360" w:lineRule="auto"/>
        <w:ind w:right="530"/>
        <w:jc w:val="both"/>
        <w:rPr>
          <w:rFonts w:cs="Arial"/>
          <w:lang w:val="es-MX"/>
        </w:rPr>
      </w:pPr>
      <w:r>
        <w:rPr>
          <w:rFonts w:cs="Arial"/>
          <w:lang w:val="es-MX"/>
        </w:rPr>
        <w:t xml:space="preserve"> 4.- </w:t>
      </w:r>
      <w:r w:rsidRPr="00767C8E">
        <w:rPr>
          <w:rFonts w:cs="Arial"/>
          <w:lang w:val="es-MX"/>
        </w:rPr>
        <w:t>32.9 millones del fondo de Infraestructura Social Básica que equivale al 40% por ciento de lo asignado.</w:t>
      </w:r>
    </w:p>
    <w:p w:rsidR="00767C8E" w:rsidRDefault="00767C8E" w:rsidP="00767C8E">
      <w:pPr>
        <w:spacing w:line="360" w:lineRule="auto"/>
        <w:ind w:right="530"/>
        <w:jc w:val="both"/>
        <w:rPr>
          <w:rFonts w:cs="Arial"/>
          <w:lang w:val="es-MX"/>
        </w:rPr>
      </w:pPr>
    </w:p>
    <w:p w:rsidR="00767C8E" w:rsidRDefault="00767C8E" w:rsidP="00767C8E">
      <w:pPr>
        <w:spacing w:line="360" w:lineRule="auto"/>
        <w:ind w:right="530"/>
        <w:jc w:val="both"/>
        <w:rPr>
          <w:rFonts w:cs="Arial"/>
          <w:lang w:val="es-MX"/>
        </w:rPr>
      </w:pPr>
      <w:r>
        <w:rPr>
          <w:rFonts w:cs="Arial"/>
          <w:lang w:val="es-MX"/>
        </w:rPr>
        <w:t xml:space="preserve">Es menester de esta Comisión que las irregularidades señaladas por la diputada </w:t>
      </w:r>
      <w:proofErr w:type="spellStart"/>
      <w:r>
        <w:rPr>
          <w:rFonts w:cs="Arial"/>
          <w:lang w:val="es-MX"/>
        </w:rPr>
        <w:t>promovente</w:t>
      </w:r>
      <w:proofErr w:type="spellEnd"/>
      <w:r w:rsidR="00494638">
        <w:rPr>
          <w:rFonts w:cs="Arial"/>
          <w:lang w:val="es-MX"/>
        </w:rPr>
        <w:t xml:space="preserve"> pueden ser sustentadas bajo la figura de incumplimiento indicado </w:t>
      </w:r>
      <w:r>
        <w:rPr>
          <w:rFonts w:cs="Arial"/>
          <w:lang w:val="es-MX"/>
        </w:rPr>
        <w:t>en la Ley de responsabilidades de los servidores públicos del Estado y Municipios de Nuevo León, el cual al respecto señala</w:t>
      </w:r>
      <w:r w:rsidR="00494638">
        <w:rPr>
          <w:rFonts w:cs="Arial"/>
          <w:lang w:val="es-MX"/>
        </w:rPr>
        <w:t xml:space="preserve"> en su artículo 50 fracciones I, II, XXII, XXV, y artículo 51, lo </w:t>
      </w:r>
      <w:proofErr w:type="spellStart"/>
      <w:r w:rsidR="00494638">
        <w:rPr>
          <w:rFonts w:cs="Arial"/>
          <w:lang w:val="es-MX"/>
        </w:rPr>
        <w:t>siguente</w:t>
      </w:r>
      <w:proofErr w:type="spellEnd"/>
      <w:r>
        <w:rPr>
          <w:rFonts w:cs="Arial"/>
          <w:lang w:val="es-MX"/>
        </w:rPr>
        <w:t>:</w:t>
      </w:r>
    </w:p>
    <w:p w:rsidR="00767C8E" w:rsidRDefault="00767C8E" w:rsidP="00767C8E">
      <w:pPr>
        <w:spacing w:line="360" w:lineRule="auto"/>
        <w:ind w:right="530"/>
        <w:jc w:val="both"/>
        <w:rPr>
          <w:rFonts w:cs="Arial"/>
          <w:lang w:val="es-MX"/>
        </w:rPr>
      </w:pPr>
    </w:p>
    <w:p w:rsidR="00767C8E" w:rsidRPr="00494638" w:rsidRDefault="00494638" w:rsidP="00767C8E">
      <w:pPr>
        <w:spacing w:line="360" w:lineRule="auto"/>
        <w:ind w:right="530"/>
        <w:jc w:val="both"/>
        <w:rPr>
          <w:rFonts w:cs="Arial"/>
          <w:i/>
          <w:lang w:val="es-MX"/>
        </w:rPr>
      </w:pPr>
      <w:r>
        <w:rPr>
          <w:rFonts w:cs="Arial"/>
          <w:i/>
          <w:lang w:val="es-MX"/>
        </w:rPr>
        <w:t>“</w:t>
      </w:r>
      <w:r w:rsidR="00767C8E" w:rsidRPr="00494638">
        <w:rPr>
          <w:rFonts w:cs="Arial"/>
          <w:i/>
          <w:lang w:val="es-MX"/>
        </w:rPr>
        <w:t>Artículo 50.- Todo servidor público incurrirá en responsabilidad administrativa cuando incumpla con las siguientes obligaciones generales de salvaguardar la legalidad, honradez, lealtad, imparcialidad y eficiencia en el desempeño de sus funciones, empleos, cargos y comisiones:</w:t>
      </w:r>
    </w:p>
    <w:p w:rsidR="00767C8E" w:rsidRPr="00494638" w:rsidRDefault="00767C8E" w:rsidP="00767C8E">
      <w:pPr>
        <w:spacing w:line="360" w:lineRule="auto"/>
        <w:ind w:right="530"/>
        <w:jc w:val="both"/>
        <w:rPr>
          <w:rFonts w:cs="Arial"/>
          <w:i/>
          <w:lang w:val="es-MX"/>
        </w:rPr>
      </w:pPr>
    </w:p>
    <w:p w:rsidR="00767C8E" w:rsidRPr="00494638" w:rsidRDefault="00767C8E" w:rsidP="00767C8E">
      <w:pPr>
        <w:spacing w:line="360" w:lineRule="auto"/>
        <w:ind w:right="530"/>
        <w:jc w:val="both"/>
        <w:rPr>
          <w:rFonts w:cs="Arial"/>
          <w:i/>
          <w:lang w:val="es-MX"/>
        </w:rPr>
      </w:pPr>
      <w:r w:rsidRPr="00494638">
        <w:rPr>
          <w:rFonts w:cs="Arial"/>
          <w:i/>
          <w:lang w:val="es-MX"/>
        </w:rPr>
        <w:t>I. Cumplir con la máxima diligencia el servicio que le sea encomendado y abstenerse de cualquier acto u omisión que cause la suspensión o deficiencia de dicho servicio o implique abuso o ejercicio indebido de un empleo, cargo o comisión;</w:t>
      </w:r>
    </w:p>
    <w:p w:rsidR="00767C8E" w:rsidRPr="00494638" w:rsidRDefault="00767C8E" w:rsidP="00767C8E">
      <w:pPr>
        <w:spacing w:line="360" w:lineRule="auto"/>
        <w:ind w:right="530"/>
        <w:jc w:val="both"/>
        <w:rPr>
          <w:rFonts w:cs="Arial"/>
          <w:i/>
          <w:lang w:val="es-MX"/>
        </w:rPr>
      </w:pPr>
    </w:p>
    <w:p w:rsidR="00767C8E" w:rsidRPr="00494638" w:rsidRDefault="00767C8E" w:rsidP="00767C8E">
      <w:pPr>
        <w:spacing w:line="360" w:lineRule="auto"/>
        <w:ind w:right="530"/>
        <w:jc w:val="both"/>
        <w:rPr>
          <w:rFonts w:cs="Arial"/>
          <w:i/>
          <w:lang w:val="es-MX"/>
        </w:rPr>
      </w:pPr>
      <w:r w:rsidRPr="00494638">
        <w:rPr>
          <w:rFonts w:cs="Arial"/>
          <w:i/>
          <w:lang w:val="es-MX"/>
        </w:rPr>
        <w:lastRenderedPageBreak/>
        <w:t>II. Formular y ejecutar legalmente, en su caso, los planes, programas y presupuestos correspondientes a su competencia y cumplir las leyes y otras normas que determinen el manejo de recursos económicos públicos;</w:t>
      </w:r>
    </w:p>
    <w:p w:rsidR="00767C8E" w:rsidRPr="00494638" w:rsidRDefault="00767C8E" w:rsidP="00767C8E">
      <w:pPr>
        <w:spacing w:line="360" w:lineRule="auto"/>
        <w:ind w:right="530"/>
        <w:jc w:val="both"/>
        <w:rPr>
          <w:rFonts w:cs="Arial"/>
          <w:i/>
          <w:lang w:val="es-MX"/>
        </w:rPr>
      </w:pPr>
    </w:p>
    <w:p w:rsidR="00767C8E" w:rsidRPr="00494638" w:rsidRDefault="00767C8E" w:rsidP="00767C8E">
      <w:pPr>
        <w:spacing w:line="360" w:lineRule="auto"/>
        <w:ind w:right="530"/>
        <w:jc w:val="both"/>
        <w:rPr>
          <w:rFonts w:cs="Arial"/>
          <w:i/>
          <w:lang w:val="es-MX"/>
        </w:rPr>
      </w:pPr>
      <w:r w:rsidRPr="00494638">
        <w:rPr>
          <w:rFonts w:cs="Arial"/>
          <w:i/>
          <w:lang w:val="es-MX"/>
        </w:rPr>
        <w:t>XXII. Abstenerse de cualquier acto u omisión que implique incumplimiento de cualquier disposición jurídica relacionada con el servicio público;</w:t>
      </w:r>
    </w:p>
    <w:p w:rsidR="00767C8E" w:rsidRPr="00494638" w:rsidRDefault="00767C8E" w:rsidP="00767C8E">
      <w:pPr>
        <w:spacing w:line="360" w:lineRule="auto"/>
        <w:ind w:left="142" w:right="530"/>
        <w:jc w:val="both"/>
        <w:rPr>
          <w:rFonts w:cs="Arial"/>
          <w:i/>
          <w:lang w:val="es-MX"/>
        </w:rPr>
      </w:pPr>
    </w:p>
    <w:p w:rsidR="00767C8E" w:rsidRPr="00494638" w:rsidRDefault="00767C8E" w:rsidP="00767C8E">
      <w:pPr>
        <w:spacing w:line="360" w:lineRule="auto"/>
        <w:ind w:right="530"/>
        <w:jc w:val="both"/>
        <w:rPr>
          <w:rFonts w:cs="Arial"/>
          <w:i/>
          <w:lang w:val="es-MX"/>
        </w:rPr>
      </w:pPr>
      <w:r w:rsidRPr="00494638">
        <w:rPr>
          <w:rFonts w:cs="Arial"/>
          <w:i/>
          <w:lang w:val="es-MX"/>
        </w:rPr>
        <w:t>XXV. Abstenerse de causar daños y perjuicios a la Hacienda Pública Estatal o Municipal, sea por el manejo irregular de fondos y valores estatales o municipales, o por irregularidades en el manejo, administración, ejercicio o pago de recursos económicos y del gasto público del Estado o Municipios; o de los transferidos, descentralizados, concertados o convenidos por el Estado con la Federación, o sus Municipios;</w:t>
      </w:r>
    </w:p>
    <w:p w:rsidR="00767C8E" w:rsidRPr="00494638" w:rsidRDefault="00767C8E" w:rsidP="00767C8E">
      <w:pPr>
        <w:spacing w:line="360" w:lineRule="auto"/>
        <w:ind w:left="142" w:right="530" w:firstLine="284"/>
        <w:jc w:val="both"/>
        <w:rPr>
          <w:rFonts w:cs="Arial"/>
          <w:i/>
          <w:lang w:val="es-MX"/>
        </w:rPr>
      </w:pPr>
    </w:p>
    <w:p w:rsidR="00767C8E" w:rsidRPr="00494638" w:rsidRDefault="00767C8E" w:rsidP="00767C8E">
      <w:pPr>
        <w:spacing w:line="360" w:lineRule="auto"/>
        <w:ind w:left="142" w:right="530" w:firstLine="284"/>
        <w:jc w:val="both"/>
        <w:rPr>
          <w:rFonts w:cs="Arial"/>
          <w:i/>
          <w:lang w:val="es-MX"/>
        </w:rPr>
      </w:pPr>
      <w:r w:rsidRPr="00494638">
        <w:rPr>
          <w:rFonts w:cs="Arial"/>
          <w:i/>
          <w:lang w:val="es-MX"/>
        </w:rPr>
        <w:t>Artículo 51.- Se incurre en responsabilidad administrativa por incumplimiento de cualquiera de las obligaciones generales a que se refiere el Artículo anterior y dará lugar a la instrucción del procedimiento de responsabilidades establecido en esta Ley y, en su caso, a la sanción correspondiente, independientemente de las obligaciones específicas inherentes a su empleo, cargo o comisión y de los derechos y obligaciones laborales de los servidores públicos.</w:t>
      </w:r>
      <w:r w:rsidR="00494638">
        <w:rPr>
          <w:rFonts w:cs="Arial"/>
          <w:i/>
          <w:lang w:val="es-MX"/>
        </w:rPr>
        <w:t>”</w:t>
      </w:r>
    </w:p>
    <w:p w:rsidR="00767C8E" w:rsidRDefault="00767C8E" w:rsidP="004F2239">
      <w:pPr>
        <w:spacing w:line="360" w:lineRule="auto"/>
        <w:ind w:left="142" w:right="530" w:firstLine="284"/>
        <w:jc w:val="both"/>
        <w:rPr>
          <w:rFonts w:cs="Arial"/>
          <w:i/>
          <w:lang w:val="es-MX"/>
        </w:rPr>
      </w:pPr>
    </w:p>
    <w:p w:rsidR="00590795" w:rsidRPr="00494638" w:rsidRDefault="00494638" w:rsidP="00494638">
      <w:pPr>
        <w:spacing w:line="360" w:lineRule="auto"/>
        <w:ind w:left="142" w:right="530" w:firstLine="284"/>
        <w:jc w:val="both"/>
        <w:rPr>
          <w:rFonts w:cs="Arial"/>
          <w:lang w:val="es-MX"/>
        </w:rPr>
      </w:pPr>
      <w:r w:rsidRPr="00494638">
        <w:rPr>
          <w:rFonts w:cs="Arial"/>
          <w:lang w:val="es-MX"/>
        </w:rPr>
        <w:t xml:space="preserve">Ahora bien al efecto de tener que atender, investigar y efectuar lo conducente para aclarar y/o sancionar a los responsables cuando se </w:t>
      </w:r>
      <w:r w:rsidRPr="00494638">
        <w:rPr>
          <w:rFonts w:cs="Arial"/>
          <w:lang w:val="es-MX"/>
        </w:rPr>
        <w:lastRenderedPageBreak/>
        <w:t xml:space="preserve">incurre en irregularidades en el Gobierno Estatal, la Ley de responsabilidades antes invocada párrafos anteriores en su artículo 63 fracción I, y artículo 67  </w:t>
      </w:r>
      <w:r w:rsidR="00590795" w:rsidRPr="00494638">
        <w:rPr>
          <w:rFonts w:cs="Arial"/>
          <w:lang w:val="es-MX"/>
        </w:rPr>
        <w:t>a la letra dice:</w:t>
      </w:r>
    </w:p>
    <w:p w:rsidR="00210158" w:rsidRPr="00494638" w:rsidRDefault="00210158" w:rsidP="00394840">
      <w:pPr>
        <w:spacing w:line="360" w:lineRule="auto"/>
        <w:ind w:left="142" w:right="530" w:firstLine="284"/>
        <w:jc w:val="both"/>
        <w:rPr>
          <w:rFonts w:cs="Arial"/>
          <w:lang w:val="es-MX"/>
        </w:rPr>
      </w:pPr>
    </w:p>
    <w:p w:rsidR="00D45B0C" w:rsidRPr="005540FC" w:rsidRDefault="00590795" w:rsidP="00394840">
      <w:pPr>
        <w:spacing w:line="360" w:lineRule="auto"/>
        <w:ind w:left="142" w:right="530" w:firstLine="284"/>
        <w:jc w:val="both"/>
        <w:rPr>
          <w:rFonts w:cs="Arial"/>
          <w:i/>
          <w:lang w:val="es-MX"/>
        </w:rPr>
      </w:pPr>
      <w:r>
        <w:rPr>
          <w:rFonts w:cs="Arial"/>
          <w:i/>
          <w:lang w:val="es-MX"/>
        </w:rPr>
        <w:t>“</w:t>
      </w:r>
      <w:r w:rsidR="00D45B0C" w:rsidRPr="00590795">
        <w:rPr>
          <w:rFonts w:cs="Arial"/>
          <w:i/>
          <w:lang w:val="es-MX"/>
        </w:rPr>
        <w:t xml:space="preserve">Artículo 63.- Para los efectos de este Título, en el Poder Ejecutivo del Estado </w:t>
      </w:r>
      <w:r w:rsidR="00D45B0C" w:rsidRPr="005540FC">
        <w:rPr>
          <w:rFonts w:cs="Arial"/>
          <w:i/>
          <w:lang w:val="es-MX"/>
        </w:rPr>
        <w:t>se entenderá por superior jerárquico:</w:t>
      </w:r>
    </w:p>
    <w:p w:rsidR="00D45B0C" w:rsidRPr="005540FC" w:rsidRDefault="00D45B0C" w:rsidP="00394840">
      <w:pPr>
        <w:spacing w:line="360" w:lineRule="auto"/>
        <w:ind w:left="142" w:right="530" w:firstLine="284"/>
        <w:jc w:val="both"/>
        <w:rPr>
          <w:rFonts w:cs="Arial"/>
          <w:i/>
          <w:lang w:val="es-MX"/>
        </w:rPr>
      </w:pPr>
    </w:p>
    <w:p w:rsidR="00F66E02" w:rsidRPr="005540FC" w:rsidRDefault="00D45B0C" w:rsidP="00394840">
      <w:pPr>
        <w:pStyle w:val="Prrafodelista"/>
        <w:numPr>
          <w:ilvl w:val="0"/>
          <w:numId w:val="3"/>
        </w:numPr>
        <w:spacing w:line="360" w:lineRule="auto"/>
        <w:ind w:left="142" w:right="530" w:firstLine="284"/>
        <w:jc w:val="both"/>
        <w:rPr>
          <w:rFonts w:ascii="Arial" w:hAnsi="Arial" w:cs="Arial"/>
          <w:i/>
          <w:sz w:val="24"/>
          <w:szCs w:val="24"/>
          <w:lang w:val="es-MX"/>
        </w:rPr>
      </w:pPr>
      <w:r w:rsidRPr="005540FC">
        <w:rPr>
          <w:rFonts w:ascii="Arial" w:hAnsi="Arial" w:cs="Arial"/>
          <w:i/>
          <w:sz w:val="24"/>
          <w:szCs w:val="24"/>
          <w:lang w:val="es-MX"/>
        </w:rPr>
        <w:t>Al Gobernador del Estado, tratándose de Titulares de las Dependencias, Organismos y Entidades de la Administración Pública del Estado, Presidente del Tribunal de Arbitraje del Estado y Presidente de la Junta Local de Conciliación y Arbitraje, quienes serán sancionados por las faltas, infracciones, acciones u omisiones por responsabilidad administrativa, de conformidad con los procedimientos establecidos por esta Ley;</w:t>
      </w:r>
      <w:r w:rsidR="00590795" w:rsidRPr="005540FC">
        <w:rPr>
          <w:rFonts w:ascii="Arial" w:hAnsi="Arial" w:cs="Arial"/>
          <w:i/>
          <w:sz w:val="24"/>
          <w:szCs w:val="24"/>
          <w:lang w:val="es-MX"/>
        </w:rPr>
        <w:t>”</w:t>
      </w:r>
    </w:p>
    <w:p w:rsidR="00B92D46" w:rsidRPr="00B92D46" w:rsidRDefault="00B92D46" w:rsidP="00B92D46">
      <w:pPr>
        <w:spacing w:line="360" w:lineRule="auto"/>
        <w:ind w:left="142" w:right="530" w:firstLine="284"/>
        <w:jc w:val="both"/>
        <w:rPr>
          <w:rFonts w:cs="Arial"/>
        </w:rPr>
      </w:pPr>
    </w:p>
    <w:p w:rsidR="00B92D46" w:rsidRPr="00B92D46" w:rsidRDefault="00B92D46" w:rsidP="00B92D46">
      <w:pPr>
        <w:spacing w:line="360" w:lineRule="auto"/>
        <w:ind w:left="142" w:right="530" w:firstLine="284"/>
        <w:jc w:val="both"/>
        <w:rPr>
          <w:rFonts w:cs="Arial"/>
          <w:i/>
        </w:rPr>
      </w:pPr>
      <w:r w:rsidRPr="00B92D46">
        <w:rPr>
          <w:rFonts w:cs="Arial"/>
          <w:i/>
        </w:rPr>
        <w:t xml:space="preserve">Artículo 67.- Cuando por motivo de las funciones que realice la Contraloría resultare responsabilidad de servidores públicos, informará de ello al superior jerárquico de éstos para que inicien el procedimiento de responsabilidad y en su momento proceda a su determinación y sanción correspondiente, si fuera de su competencia.  </w:t>
      </w:r>
    </w:p>
    <w:p w:rsidR="00B92D46" w:rsidRPr="00B92D46" w:rsidRDefault="00B92D46" w:rsidP="00B92D46">
      <w:pPr>
        <w:spacing w:line="360" w:lineRule="auto"/>
        <w:ind w:left="142" w:right="530" w:firstLine="284"/>
        <w:jc w:val="both"/>
        <w:rPr>
          <w:rFonts w:cs="Arial"/>
          <w:i/>
        </w:rPr>
      </w:pPr>
    </w:p>
    <w:p w:rsidR="00B92D46" w:rsidRPr="00B92D46" w:rsidRDefault="00B92D46" w:rsidP="00B92D46">
      <w:pPr>
        <w:spacing w:line="360" w:lineRule="auto"/>
        <w:ind w:right="530"/>
        <w:jc w:val="both"/>
        <w:rPr>
          <w:rFonts w:cs="Arial"/>
          <w:i/>
        </w:rPr>
      </w:pPr>
      <w:r w:rsidRPr="00B92D46">
        <w:rPr>
          <w:rFonts w:cs="Arial"/>
          <w:i/>
        </w:rPr>
        <w:t>Tratándose de responsabilidades cuyo conocimiento sea competencia del Gobernador del Estado como superior jerárquico, la Contraloría será quien conozca directamente del asunto.</w:t>
      </w:r>
      <w:r>
        <w:rPr>
          <w:rFonts w:cs="Arial"/>
          <w:i/>
        </w:rPr>
        <w:t>”</w:t>
      </w:r>
    </w:p>
    <w:p w:rsidR="00B92D46" w:rsidRDefault="00B92D46" w:rsidP="00394840">
      <w:pPr>
        <w:spacing w:line="360" w:lineRule="auto"/>
        <w:ind w:left="142" w:right="530" w:firstLine="284"/>
        <w:jc w:val="both"/>
        <w:rPr>
          <w:rFonts w:cs="Arial"/>
        </w:rPr>
      </w:pPr>
    </w:p>
    <w:p w:rsidR="00B92D46" w:rsidRDefault="00B92D46" w:rsidP="00494638">
      <w:pPr>
        <w:spacing w:line="360" w:lineRule="auto"/>
        <w:ind w:right="530"/>
        <w:jc w:val="both"/>
        <w:rPr>
          <w:rFonts w:cs="Arial"/>
        </w:rPr>
      </w:pPr>
      <w:r>
        <w:rPr>
          <w:rFonts w:cs="Arial"/>
        </w:rPr>
        <w:lastRenderedPageBreak/>
        <w:t>En el mismo sentido la Constitución Política del Estado Libre y Soberano de Nuevo Le</w:t>
      </w:r>
      <w:r w:rsidR="00494638">
        <w:rPr>
          <w:rFonts w:cs="Arial"/>
        </w:rPr>
        <w:t xml:space="preserve">ón,  en </w:t>
      </w:r>
      <w:r>
        <w:rPr>
          <w:rFonts w:cs="Arial"/>
        </w:rPr>
        <w:t>su artículo 136 párrafo primero y quinto a la letra dicen:</w:t>
      </w:r>
    </w:p>
    <w:p w:rsidR="00B92D46" w:rsidRDefault="00B92D46" w:rsidP="00B92D46">
      <w:pPr>
        <w:spacing w:line="360" w:lineRule="auto"/>
        <w:ind w:left="142" w:right="530" w:firstLine="284"/>
        <w:jc w:val="both"/>
        <w:rPr>
          <w:rFonts w:cs="Arial"/>
        </w:rPr>
      </w:pPr>
    </w:p>
    <w:p w:rsidR="00B92D46" w:rsidRPr="00B92D46" w:rsidRDefault="00B92D46" w:rsidP="00B92D46">
      <w:pPr>
        <w:spacing w:line="360" w:lineRule="auto"/>
        <w:ind w:left="142" w:right="530" w:firstLine="284"/>
        <w:jc w:val="both"/>
        <w:rPr>
          <w:rFonts w:cs="Arial"/>
          <w:i/>
        </w:rPr>
      </w:pPr>
      <w:r>
        <w:rPr>
          <w:rFonts w:cs="Arial"/>
          <w:i/>
        </w:rPr>
        <w:t>“</w:t>
      </w:r>
      <w:r w:rsidRPr="00B92D46">
        <w:rPr>
          <w:rFonts w:cs="Arial"/>
          <w:i/>
        </w:rPr>
        <w:t>ARTÍCULO 136.- La Auditoría Superior del Estado es un órgano auxiliar del Congreso en la facultad de fiscalización sobre las cuentas públicas presentadas por los sujetos de fiscalización a los que se refiere el Artículo 63 fracción XIII de esta Constitución. Asimismo, deberán fiscalizar los hechos, actos u omisiones de las entidades del  Estado y los Municipios  en materia de fondos, recursos locales y deuda pública.</w:t>
      </w:r>
    </w:p>
    <w:p w:rsidR="00B92D46" w:rsidRPr="00B92D46" w:rsidRDefault="00B92D46" w:rsidP="00394840">
      <w:pPr>
        <w:spacing w:line="360" w:lineRule="auto"/>
        <w:ind w:left="142" w:right="530" w:firstLine="284"/>
        <w:jc w:val="both"/>
        <w:rPr>
          <w:rFonts w:cs="Arial"/>
          <w:i/>
        </w:rPr>
      </w:pPr>
    </w:p>
    <w:p w:rsidR="00B92D46" w:rsidRPr="00B92D46" w:rsidRDefault="00B92D46" w:rsidP="00B92D46">
      <w:pPr>
        <w:spacing w:line="360" w:lineRule="auto"/>
        <w:jc w:val="both"/>
        <w:rPr>
          <w:rFonts w:cs="Arial"/>
          <w:i/>
        </w:rPr>
      </w:pPr>
      <w:r w:rsidRPr="00B92D46">
        <w:rPr>
          <w:rFonts w:cs="Arial"/>
          <w:i/>
        </w:rPr>
        <w:t>Asimismo, sin perjuicio del principio de posterioridad, en las situaciones excepcionales que determine la Ley, derivado de denuncias, la Auditoría Superior del Estado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del Estado rendirá un informe específico al Congreso y, en su caso, promoverá las acciones que correspondan ante el Tribunal de Justicia Administrativa, la Fiscalía Anticorrupción o las autoridades competentes, en los términos que establezca la Ley.</w:t>
      </w:r>
      <w:r>
        <w:rPr>
          <w:rFonts w:cs="Arial"/>
          <w:i/>
        </w:rPr>
        <w:t>”</w:t>
      </w:r>
    </w:p>
    <w:p w:rsidR="00B92D46" w:rsidRDefault="00B92D46" w:rsidP="00394840">
      <w:pPr>
        <w:spacing w:line="360" w:lineRule="auto"/>
        <w:ind w:left="142" w:right="530" w:firstLine="284"/>
        <w:jc w:val="both"/>
        <w:rPr>
          <w:rFonts w:cs="Arial"/>
        </w:rPr>
      </w:pPr>
    </w:p>
    <w:p w:rsidR="00B92D46" w:rsidRDefault="00B92D46" w:rsidP="00494638">
      <w:pPr>
        <w:spacing w:line="360" w:lineRule="auto"/>
        <w:ind w:right="530"/>
        <w:jc w:val="both"/>
        <w:rPr>
          <w:rFonts w:cs="Arial"/>
        </w:rPr>
      </w:pPr>
    </w:p>
    <w:p w:rsidR="00494638" w:rsidRDefault="00F66E02" w:rsidP="00394840">
      <w:pPr>
        <w:spacing w:line="360" w:lineRule="auto"/>
        <w:ind w:left="142" w:right="530" w:firstLine="284"/>
        <w:jc w:val="both"/>
        <w:rPr>
          <w:rFonts w:cs="Arial"/>
        </w:rPr>
      </w:pPr>
      <w:r w:rsidRPr="00F66E02">
        <w:rPr>
          <w:rFonts w:cs="Arial"/>
        </w:rPr>
        <w:lastRenderedPageBreak/>
        <w:t xml:space="preserve">En este sentido, </w:t>
      </w:r>
      <w:r w:rsidR="00494638">
        <w:rPr>
          <w:rFonts w:cs="Arial"/>
        </w:rPr>
        <w:t>es importante señalar que es fundamental aclarar mediante los mecanismos legales y procedimentales, lo correspondiente a cualquier tipo de irregularidad efectuada en la omisión de la inaplicación de estos Fondos Federales, pues toda deficiencia en el servicio público que dañe los intereses colectivos de la ciudadanía neolonesa, tienen y deben ser castigados conforme a derecho.</w:t>
      </w:r>
    </w:p>
    <w:p w:rsidR="00590795" w:rsidRDefault="00590795" w:rsidP="00394840">
      <w:pPr>
        <w:spacing w:line="360" w:lineRule="auto"/>
        <w:ind w:left="142" w:right="530" w:firstLine="284"/>
        <w:jc w:val="both"/>
        <w:rPr>
          <w:rFonts w:cs="Arial"/>
        </w:rPr>
      </w:pPr>
    </w:p>
    <w:p w:rsidR="00AB10DD" w:rsidRPr="00E34F00" w:rsidRDefault="005D6837" w:rsidP="00394840">
      <w:pPr>
        <w:spacing w:line="360" w:lineRule="auto"/>
        <w:ind w:left="142" w:right="530" w:firstLine="284"/>
        <w:jc w:val="both"/>
        <w:rPr>
          <w:rFonts w:cs="Arial"/>
        </w:rPr>
      </w:pPr>
      <w:r>
        <w:rPr>
          <w:rFonts w:cs="Arial"/>
        </w:rPr>
        <w:t xml:space="preserve"> </w:t>
      </w:r>
      <w:r w:rsidR="00927E6B">
        <w:rPr>
          <w:rFonts w:cs="Arial"/>
        </w:rPr>
        <w:t xml:space="preserve"> </w:t>
      </w:r>
    </w:p>
    <w:p w:rsidR="003752D0" w:rsidRPr="00152264" w:rsidRDefault="003752D0" w:rsidP="00394840">
      <w:pPr>
        <w:spacing w:line="360" w:lineRule="auto"/>
        <w:ind w:left="142" w:right="530" w:firstLine="284"/>
        <w:jc w:val="both"/>
        <w:rPr>
          <w:rFonts w:cs="Arial"/>
        </w:rPr>
      </w:pPr>
      <w:r w:rsidRPr="00152264">
        <w:rPr>
          <w:rFonts w:cs="Arial"/>
        </w:rPr>
        <w:t>En atención a los argumentos vertidos en el presente dictamen por los suscritos Diputados que integramos ésta Comisión Anticorrupción, y de acuerdo con lo que disponen los artículos 37 y 39 fracción XXI</w:t>
      </w:r>
      <w:r w:rsidR="007F3C9C">
        <w:rPr>
          <w:rFonts w:cs="Arial"/>
        </w:rPr>
        <w:t>I</w:t>
      </w:r>
      <w:r w:rsidRPr="00152264">
        <w:rPr>
          <w:rFonts w:cs="Arial"/>
        </w:rPr>
        <w:t xml:space="preserve"> inciso </w:t>
      </w:r>
      <w:r w:rsidR="007F3C9C">
        <w:rPr>
          <w:rFonts w:cs="Arial"/>
        </w:rPr>
        <w:t xml:space="preserve">a) y </w:t>
      </w:r>
      <w:r w:rsidRPr="00152264">
        <w:rPr>
          <w:rFonts w:cs="Arial"/>
        </w:rPr>
        <w:t>b), del Reglamento para el Gobierno Interior del Congreso del Estado de Nuevo León, proponemos a esta Soberanía el siguiente:</w:t>
      </w:r>
    </w:p>
    <w:p w:rsidR="004344B9" w:rsidRPr="00152264" w:rsidRDefault="004344B9" w:rsidP="00394840">
      <w:pPr>
        <w:spacing w:line="360" w:lineRule="auto"/>
        <w:ind w:left="142" w:right="530" w:firstLine="284"/>
        <w:jc w:val="both"/>
        <w:rPr>
          <w:rFonts w:cs="Arial"/>
        </w:rPr>
      </w:pPr>
    </w:p>
    <w:p w:rsidR="004344B9" w:rsidRPr="00152264" w:rsidRDefault="004344B9" w:rsidP="00394840">
      <w:pPr>
        <w:spacing w:line="360" w:lineRule="auto"/>
        <w:ind w:left="142" w:right="530" w:firstLine="284"/>
        <w:jc w:val="center"/>
        <w:rPr>
          <w:rFonts w:cs="Arial"/>
          <w:b/>
          <w:lang w:val="es-MX"/>
        </w:rPr>
      </w:pPr>
      <w:r w:rsidRPr="00152264">
        <w:rPr>
          <w:rFonts w:cs="Arial"/>
          <w:b/>
          <w:lang w:val="es-MX"/>
        </w:rPr>
        <w:t>ACUERDO</w:t>
      </w:r>
    </w:p>
    <w:p w:rsidR="004344B9" w:rsidRPr="00152264" w:rsidRDefault="004344B9" w:rsidP="00394840">
      <w:pPr>
        <w:spacing w:line="360" w:lineRule="auto"/>
        <w:ind w:left="142" w:right="530"/>
        <w:jc w:val="both"/>
        <w:rPr>
          <w:rFonts w:cs="Arial"/>
          <w:b/>
          <w:lang w:val="es-MX"/>
        </w:rPr>
      </w:pPr>
    </w:p>
    <w:p w:rsidR="00B92D46" w:rsidRPr="00B92D46" w:rsidRDefault="004344B9" w:rsidP="00B92D46">
      <w:pPr>
        <w:spacing w:line="360" w:lineRule="auto"/>
        <w:ind w:left="142" w:right="530"/>
        <w:jc w:val="both"/>
        <w:rPr>
          <w:rFonts w:cs="Arial"/>
          <w:bCs/>
          <w:lang w:val="es-MX"/>
        </w:rPr>
      </w:pPr>
      <w:r w:rsidRPr="00152264">
        <w:rPr>
          <w:rFonts w:cs="Arial"/>
          <w:b/>
          <w:bCs/>
          <w:lang w:val="es-MX"/>
        </w:rPr>
        <w:t>PRIMERO.-</w:t>
      </w:r>
      <w:r w:rsidRPr="00152264">
        <w:rPr>
          <w:rFonts w:cs="Arial"/>
          <w:bCs/>
          <w:lang w:val="es-MX"/>
        </w:rPr>
        <w:t xml:space="preserve">  </w:t>
      </w:r>
      <w:r w:rsidR="00B820A8" w:rsidRPr="00B820A8">
        <w:rPr>
          <w:rFonts w:cs="Arial"/>
          <w:bCs/>
          <w:lang w:val="es-MX"/>
        </w:rPr>
        <w:t xml:space="preserve">La LXXIV Legislatura del H. Congreso del Estado Nuevo León, </w:t>
      </w:r>
      <w:r w:rsidR="006C4E11">
        <w:rPr>
          <w:rFonts w:cs="Arial"/>
          <w:bCs/>
          <w:lang w:val="es-MX"/>
        </w:rPr>
        <w:t xml:space="preserve">de manera respetuosa </w:t>
      </w:r>
      <w:r w:rsidR="00B820A8" w:rsidRPr="00B820A8">
        <w:rPr>
          <w:rFonts w:cs="Arial"/>
          <w:bCs/>
          <w:lang w:val="es-MX"/>
        </w:rPr>
        <w:t xml:space="preserve">exhorta al </w:t>
      </w:r>
      <w:r w:rsidR="00B820A8" w:rsidRPr="00B820A8">
        <w:rPr>
          <w:rFonts w:cs="Arial"/>
          <w:b/>
          <w:bCs/>
          <w:lang w:val="es-MX"/>
        </w:rPr>
        <w:t>C. ING. JAIME HELIODORO RODRÍGUEZ CALDERÓN</w:t>
      </w:r>
      <w:r w:rsidR="00B820A8" w:rsidRPr="00B820A8">
        <w:rPr>
          <w:rFonts w:cs="Arial"/>
          <w:bCs/>
          <w:lang w:val="es-MX"/>
        </w:rPr>
        <w:t>, Gobernador del Estado de Nuevo León, para que inst</w:t>
      </w:r>
      <w:r w:rsidR="006C4E11">
        <w:rPr>
          <w:rFonts w:cs="Arial"/>
          <w:bCs/>
          <w:lang w:val="es-MX"/>
        </w:rPr>
        <w:t>ruya a la Titular de la</w:t>
      </w:r>
      <w:r w:rsidR="00B820A8">
        <w:rPr>
          <w:rFonts w:cs="Arial"/>
          <w:bCs/>
          <w:lang w:val="es-MX"/>
        </w:rPr>
        <w:t xml:space="preserve"> Contraloría y Transparencia Gubernamental</w:t>
      </w:r>
      <w:r w:rsidR="00D65182">
        <w:rPr>
          <w:rFonts w:cs="Arial"/>
          <w:bCs/>
          <w:lang w:val="es-MX"/>
        </w:rPr>
        <w:t>,</w:t>
      </w:r>
      <w:r w:rsidR="00B820A8" w:rsidRPr="00B820A8">
        <w:rPr>
          <w:rFonts w:cs="Arial"/>
          <w:bCs/>
          <w:lang w:val="es-MX"/>
        </w:rPr>
        <w:t xml:space="preserve"> a fin de</w:t>
      </w:r>
      <w:r w:rsidR="00B820A8">
        <w:rPr>
          <w:rFonts w:cs="Arial"/>
          <w:bCs/>
          <w:lang w:val="es-MX"/>
        </w:rPr>
        <w:t xml:space="preserve"> que</w:t>
      </w:r>
      <w:r w:rsidR="00B820A8" w:rsidRPr="00B820A8">
        <w:rPr>
          <w:rFonts w:cs="Arial"/>
          <w:bCs/>
          <w:lang w:val="es-MX"/>
        </w:rPr>
        <w:t xml:space="preserve"> realice un análisis e investigación de los servidores públicos que estuvier</w:t>
      </w:r>
      <w:r w:rsidR="00D65182">
        <w:rPr>
          <w:rFonts w:cs="Arial"/>
          <w:bCs/>
          <w:lang w:val="es-MX"/>
        </w:rPr>
        <w:t>on a cargo de ejercer los 537</w:t>
      </w:r>
      <w:r w:rsidR="00B820A8" w:rsidRPr="00B820A8">
        <w:rPr>
          <w:rFonts w:cs="Arial"/>
          <w:bCs/>
          <w:lang w:val="es-MX"/>
        </w:rPr>
        <w:t xml:space="preserve"> millones de pesos de los diversos Fondos federales</w:t>
      </w:r>
      <w:r w:rsidR="00D65182">
        <w:rPr>
          <w:rFonts w:cs="Arial"/>
          <w:bCs/>
          <w:lang w:val="es-MX"/>
        </w:rPr>
        <w:t xml:space="preserve">, mismos </w:t>
      </w:r>
      <w:r w:rsidR="007671C2">
        <w:rPr>
          <w:rFonts w:cs="Arial"/>
          <w:bCs/>
          <w:lang w:val="es-MX"/>
        </w:rPr>
        <w:t xml:space="preserve">que </w:t>
      </w:r>
      <w:r w:rsidR="00D65182">
        <w:rPr>
          <w:rFonts w:cs="Arial"/>
          <w:bCs/>
          <w:lang w:val="es-MX"/>
        </w:rPr>
        <w:t xml:space="preserve">fueran señalados por la Auditoria Superior del Estado </w:t>
      </w:r>
      <w:r w:rsidR="007671C2">
        <w:rPr>
          <w:rFonts w:cs="Arial"/>
          <w:bCs/>
          <w:lang w:val="es-MX"/>
        </w:rPr>
        <w:t>en la cuenta</w:t>
      </w:r>
      <w:r w:rsidR="00D65182">
        <w:rPr>
          <w:rFonts w:cs="Arial"/>
          <w:bCs/>
          <w:lang w:val="es-MX"/>
        </w:rPr>
        <w:t xml:space="preserve"> pública 2015,</w:t>
      </w:r>
      <w:r w:rsidR="007671C2">
        <w:rPr>
          <w:rFonts w:cs="Arial"/>
          <w:bCs/>
          <w:lang w:val="es-MX"/>
        </w:rPr>
        <w:t xml:space="preserve"> </w:t>
      </w:r>
      <w:r w:rsidR="00B820A8" w:rsidRPr="00B820A8">
        <w:rPr>
          <w:rFonts w:cs="Arial"/>
          <w:bCs/>
          <w:lang w:val="es-MX"/>
        </w:rPr>
        <w:t xml:space="preserve"> y en caso de que resulte alguna irregularidad</w:t>
      </w:r>
      <w:r w:rsidR="007F0E87">
        <w:rPr>
          <w:rFonts w:cs="Arial"/>
          <w:bCs/>
          <w:lang w:val="es-MX"/>
        </w:rPr>
        <w:t>,</w:t>
      </w:r>
      <w:r w:rsidR="00B820A8" w:rsidRPr="00B820A8">
        <w:rPr>
          <w:rFonts w:cs="Arial"/>
          <w:bCs/>
          <w:lang w:val="es-MX"/>
        </w:rPr>
        <w:t xml:space="preserve"> se </w:t>
      </w:r>
      <w:r w:rsidR="00B820A8">
        <w:rPr>
          <w:rFonts w:cs="Arial"/>
          <w:bCs/>
          <w:lang w:val="es-MX"/>
        </w:rPr>
        <w:t>sancione e</w:t>
      </w:r>
      <w:r w:rsidR="00B820A8" w:rsidRPr="00B820A8">
        <w:rPr>
          <w:rFonts w:cs="Arial"/>
          <w:bCs/>
          <w:lang w:val="es-MX"/>
        </w:rPr>
        <w:t xml:space="preserve">l actuar </w:t>
      </w:r>
      <w:r w:rsidR="00B820A8">
        <w:rPr>
          <w:rFonts w:cs="Arial"/>
          <w:bCs/>
          <w:lang w:val="es-MX"/>
        </w:rPr>
        <w:t>de</w:t>
      </w:r>
      <w:r w:rsidR="00B820A8" w:rsidRPr="00B820A8">
        <w:rPr>
          <w:rFonts w:cs="Arial"/>
          <w:bCs/>
          <w:lang w:val="es-MX"/>
        </w:rPr>
        <w:t xml:space="preserve"> </w:t>
      </w:r>
      <w:r w:rsidR="00B820A8" w:rsidRPr="00B820A8">
        <w:rPr>
          <w:rFonts w:cs="Arial"/>
          <w:bCs/>
          <w:lang w:val="es-MX"/>
        </w:rPr>
        <w:lastRenderedPageBreak/>
        <w:t>cualquier tipo de responsabilidad de los involucrados</w:t>
      </w:r>
      <w:r w:rsidR="006C4E11">
        <w:rPr>
          <w:rFonts w:cs="Arial"/>
          <w:bCs/>
          <w:lang w:val="es-MX"/>
        </w:rPr>
        <w:t xml:space="preserve"> conforme a la legislación en la materia</w:t>
      </w:r>
      <w:r w:rsidR="00B820A8" w:rsidRPr="00B820A8">
        <w:rPr>
          <w:rFonts w:cs="Arial"/>
          <w:bCs/>
          <w:lang w:val="es-MX"/>
        </w:rPr>
        <w:t>.</w:t>
      </w:r>
    </w:p>
    <w:p w:rsidR="00B92D46" w:rsidRPr="00B92D46" w:rsidRDefault="00B92D46" w:rsidP="00B92D46">
      <w:pPr>
        <w:spacing w:line="360" w:lineRule="auto"/>
        <w:ind w:left="142" w:right="530"/>
        <w:jc w:val="both"/>
        <w:rPr>
          <w:rFonts w:cs="Arial"/>
          <w:bCs/>
          <w:lang w:val="es-MX"/>
        </w:rPr>
      </w:pPr>
    </w:p>
    <w:p w:rsidR="00B820A8" w:rsidRDefault="006C4E11" w:rsidP="00B92D46">
      <w:pPr>
        <w:spacing w:line="360" w:lineRule="auto"/>
        <w:ind w:left="142" w:right="530"/>
        <w:jc w:val="both"/>
        <w:rPr>
          <w:rFonts w:cs="Arial"/>
          <w:bCs/>
          <w:lang w:val="es-MX"/>
        </w:rPr>
      </w:pPr>
      <w:r w:rsidRPr="006C4E11">
        <w:rPr>
          <w:rFonts w:cs="Arial"/>
          <w:b/>
          <w:bCs/>
          <w:lang w:val="es-MX"/>
        </w:rPr>
        <w:t>SEGUNDO.-</w:t>
      </w:r>
      <w:r w:rsidRPr="006C4E11">
        <w:rPr>
          <w:rFonts w:cs="Arial"/>
          <w:bCs/>
          <w:lang w:val="es-MX"/>
        </w:rPr>
        <w:t xml:space="preserve"> </w:t>
      </w:r>
      <w:r w:rsidR="00B820A8" w:rsidRPr="00B820A8">
        <w:rPr>
          <w:rFonts w:cs="Arial"/>
          <w:bCs/>
          <w:lang w:val="es-MX"/>
        </w:rPr>
        <w:t>La LXXIV Legislatura del H. Congres</w:t>
      </w:r>
      <w:r w:rsidR="00CE4C2B">
        <w:rPr>
          <w:rFonts w:cs="Arial"/>
          <w:bCs/>
          <w:lang w:val="es-MX"/>
        </w:rPr>
        <w:t>o del Estado Nuevo León, solicita</w:t>
      </w:r>
      <w:r w:rsidRPr="006C4E11">
        <w:t xml:space="preserve"> </w:t>
      </w:r>
      <w:r w:rsidRPr="006C4E11">
        <w:rPr>
          <w:rFonts w:cs="Arial"/>
          <w:bCs/>
          <w:lang w:val="es-MX"/>
        </w:rPr>
        <w:t>a la Auditoria Superior del Estado</w:t>
      </w:r>
      <w:r>
        <w:rPr>
          <w:rFonts w:cs="Arial"/>
          <w:bCs/>
          <w:lang w:val="es-MX"/>
        </w:rPr>
        <w:t>,</w:t>
      </w:r>
      <w:r w:rsidRPr="006C4E11">
        <w:rPr>
          <w:rFonts w:cs="Arial"/>
          <w:bCs/>
          <w:lang w:val="es-MX"/>
        </w:rPr>
        <w:t xml:space="preserve"> para que en el ámbito de sus atribuciones de seguimiento a los procedimientos</w:t>
      </w:r>
      <w:r w:rsidR="00CE4C2B">
        <w:rPr>
          <w:rFonts w:cs="Arial"/>
          <w:bCs/>
          <w:lang w:val="es-MX"/>
        </w:rPr>
        <w:t xml:space="preserve"> invocados en el anterior numeral e</w:t>
      </w:r>
      <w:r w:rsidRPr="006C4E11">
        <w:rPr>
          <w:rFonts w:cs="Arial"/>
          <w:bCs/>
          <w:lang w:val="es-MX"/>
        </w:rPr>
        <w:t xml:space="preserve"> instaurados por la Contraloría</w:t>
      </w:r>
      <w:r w:rsidR="00CE4C2B">
        <w:rPr>
          <w:rFonts w:cs="Arial"/>
          <w:bCs/>
          <w:lang w:val="es-MX"/>
        </w:rPr>
        <w:t xml:space="preserve"> Estatal, verificando</w:t>
      </w:r>
      <w:r w:rsidRPr="006C4E11">
        <w:rPr>
          <w:rFonts w:cs="Arial"/>
          <w:bCs/>
          <w:lang w:val="es-MX"/>
        </w:rPr>
        <w:t xml:space="preserve"> que </w:t>
      </w:r>
      <w:r w:rsidR="007F0E87">
        <w:rPr>
          <w:rFonts w:cs="Arial"/>
          <w:bCs/>
          <w:lang w:val="es-MX"/>
        </w:rPr>
        <w:t xml:space="preserve">se efectúen </w:t>
      </w:r>
      <w:r>
        <w:rPr>
          <w:rFonts w:cs="Arial"/>
          <w:bCs/>
          <w:lang w:val="es-MX"/>
        </w:rPr>
        <w:t>conforme a derecho</w:t>
      </w:r>
      <w:r w:rsidRPr="006C4E11">
        <w:rPr>
          <w:rFonts w:cs="Arial"/>
          <w:bCs/>
          <w:lang w:val="es-MX"/>
        </w:rPr>
        <w:t>.</w:t>
      </w:r>
    </w:p>
    <w:p w:rsidR="00B820A8" w:rsidRDefault="00B820A8" w:rsidP="00B92D46">
      <w:pPr>
        <w:spacing w:line="360" w:lineRule="auto"/>
        <w:ind w:left="142" w:right="530"/>
        <w:jc w:val="both"/>
        <w:rPr>
          <w:rFonts w:cs="Arial"/>
          <w:bCs/>
          <w:lang w:val="es-MX"/>
        </w:rPr>
      </w:pPr>
    </w:p>
    <w:p w:rsidR="004344B9" w:rsidRPr="00152264" w:rsidRDefault="004344B9" w:rsidP="00394840">
      <w:pPr>
        <w:spacing w:line="360" w:lineRule="auto"/>
        <w:ind w:left="142" w:right="530" w:firstLine="284"/>
        <w:jc w:val="both"/>
        <w:rPr>
          <w:rFonts w:cs="Arial"/>
          <w:lang w:val="es-MX"/>
        </w:rPr>
      </w:pPr>
    </w:p>
    <w:p w:rsidR="004344B9" w:rsidRPr="00152264" w:rsidRDefault="00AB10DD" w:rsidP="00394840">
      <w:pPr>
        <w:spacing w:line="360" w:lineRule="auto"/>
        <w:ind w:left="142" w:right="530" w:firstLine="284"/>
        <w:jc w:val="center"/>
        <w:rPr>
          <w:rFonts w:cs="Arial"/>
        </w:rPr>
      </w:pPr>
      <w:r>
        <w:rPr>
          <w:rFonts w:cs="Arial"/>
        </w:rPr>
        <w:t xml:space="preserve">Monterrey,  Nuevo León a </w:t>
      </w:r>
    </w:p>
    <w:p w:rsidR="004344B9" w:rsidRPr="00152264" w:rsidRDefault="004344B9" w:rsidP="00394840">
      <w:pPr>
        <w:pStyle w:val="Sangradetextonormal"/>
        <w:spacing w:line="360" w:lineRule="auto"/>
        <w:ind w:left="142" w:right="530" w:firstLine="284"/>
        <w:jc w:val="center"/>
        <w:rPr>
          <w:rFonts w:cs="Arial"/>
          <w:b/>
          <w:smallCaps/>
        </w:rPr>
      </w:pPr>
      <w:r w:rsidRPr="00152264">
        <w:rPr>
          <w:rFonts w:cs="Arial"/>
          <w:b/>
          <w:smallCaps/>
        </w:rPr>
        <w:t>Comisión Anticorrupción</w:t>
      </w:r>
    </w:p>
    <w:p w:rsidR="004344B9" w:rsidRDefault="004344B9" w:rsidP="00394840">
      <w:pPr>
        <w:spacing w:line="360" w:lineRule="auto"/>
        <w:ind w:left="142" w:right="530" w:firstLine="284"/>
        <w:jc w:val="center"/>
        <w:rPr>
          <w:rFonts w:cs="Arial"/>
          <w:b/>
          <w:smallCaps/>
        </w:rPr>
      </w:pPr>
      <w:r w:rsidRPr="00152264">
        <w:rPr>
          <w:rFonts w:cs="Arial"/>
          <w:b/>
          <w:smallCaps/>
        </w:rPr>
        <w:t xml:space="preserve">P r e s i d e n t </w:t>
      </w:r>
      <w:r w:rsidR="0090563D">
        <w:rPr>
          <w:rFonts w:cs="Arial"/>
          <w:b/>
          <w:smallCaps/>
        </w:rPr>
        <w:t>E</w:t>
      </w:r>
    </w:p>
    <w:p w:rsidR="00E418B0" w:rsidRPr="00152264" w:rsidRDefault="00E418B0" w:rsidP="00394840">
      <w:pPr>
        <w:spacing w:line="360" w:lineRule="auto"/>
        <w:ind w:left="142" w:right="530" w:firstLine="284"/>
        <w:jc w:val="center"/>
        <w:rPr>
          <w:rFonts w:cs="Arial"/>
          <w:b/>
          <w:smallCaps/>
        </w:rPr>
      </w:pPr>
    </w:p>
    <w:p w:rsidR="004344B9" w:rsidRDefault="0090563D" w:rsidP="00394840">
      <w:pPr>
        <w:spacing w:line="360" w:lineRule="auto"/>
        <w:ind w:left="142" w:right="530" w:firstLine="284"/>
        <w:jc w:val="center"/>
        <w:rPr>
          <w:rFonts w:cs="Arial"/>
          <w:b/>
          <w:smallCaps/>
        </w:rPr>
      </w:pPr>
      <w:proofErr w:type="spellStart"/>
      <w:r>
        <w:rPr>
          <w:rFonts w:cs="Arial"/>
          <w:b/>
          <w:smallCaps/>
        </w:rPr>
        <w:t>Dip</w:t>
      </w:r>
      <w:proofErr w:type="spellEnd"/>
      <w:r>
        <w:rPr>
          <w:rFonts w:cs="Arial"/>
          <w:b/>
          <w:smallCaps/>
        </w:rPr>
        <w:t xml:space="preserve">. </w:t>
      </w:r>
      <w:r w:rsidR="004344B9" w:rsidRPr="00152264">
        <w:rPr>
          <w:rFonts w:cs="Arial"/>
          <w:b/>
          <w:smallCaps/>
        </w:rPr>
        <w:t>Yanira Gómez García</w:t>
      </w:r>
    </w:p>
    <w:p w:rsidR="00C520D0" w:rsidRPr="00152264" w:rsidRDefault="00C520D0" w:rsidP="00394840">
      <w:pPr>
        <w:spacing w:line="360" w:lineRule="auto"/>
        <w:ind w:left="142" w:right="530" w:firstLine="284"/>
        <w:jc w:val="center"/>
        <w:rPr>
          <w:rFonts w:cs="Arial"/>
          <w:b/>
        </w:rPr>
      </w:pPr>
    </w:p>
    <w:tbl>
      <w:tblPr>
        <w:tblW w:w="8156" w:type="dxa"/>
        <w:jc w:val="center"/>
        <w:tblLayout w:type="fixed"/>
        <w:tblCellMar>
          <w:left w:w="70" w:type="dxa"/>
          <w:right w:w="70" w:type="dxa"/>
        </w:tblCellMar>
        <w:tblLook w:val="0000" w:firstRow="0" w:lastRow="0" w:firstColumn="0" w:lastColumn="0" w:noHBand="0" w:noVBand="0"/>
      </w:tblPr>
      <w:tblGrid>
        <w:gridCol w:w="4078"/>
        <w:gridCol w:w="4078"/>
      </w:tblGrid>
      <w:tr w:rsidR="004344B9" w:rsidRPr="00152264" w:rsidTr="005B49A1">
        <w:trPr>
          <w:trHeight w:val="269"/>
          <w:jc w:val="center"/>
        </w:trPr>
        <w:tc>
          <w:tcPr>
            <w:tcW w:w="4078" w:type="dxa"/>
          </w:tcPr>
          <w:p w:rsidR="004344B9" w:rsidRDefault="004344B9" w:rsidP="00394840">
            <w:pPr>
              <w:spacing w:line="360" w:lineRule="auto"/>
              <w:ind w:left="142" w:right="530" w:firstLine="284"/>
              <w:jc w:val="center"/>
              <w:rPr>
                <w:rFonts w:cs="Arial"/>
                <w:b/>
                <w:smallCaps/>
              </w:rPr>
            </w:pPr>
            <w:r w:rsidRPr="00152264">
              <w:rPr>
                <w:rFonts w:cs="Arial"/>
                <w:b/>
                <w:smallCaps/>
              </w:rPr>
              <w:t>Vicepresidente</w:t>
            </w:r>
          </w:p>
          <w:p w:rsidR="00C520D0" w:rsidRDefault="00C520D0" w:rsidP="00394840">
            <w:pPr>
              <w:spacing w:line="360" w:lineRule="auto"/>
              <w:ind w:left="142" w:right="530" w:firstLine="284"/>
              <w:jc w:val="center"/>
              <w:rPr>
                <w:rFonts w:cs="Arial"/>
                <w:b/>
                <w:smallCaps/>
              </w:rPr>
            </w:pPr>
          </w:p>
          <w:p w:rsidR="00C520D0" w:rsidRPr="00152264" w:rsidRDefault="00C520D0" w:rsidP="00394840">
            <w:pPr>
              <w:spacing w:line="360" w:lineRule="auto"/>
              <w:ind w:left="142" w:right="530" w:firstLine="284"/>
              <w:jc w:val="center"/>
              <w:rPr>
                <w:rFonts w:cs="Arial"/>
                <w:b/>
                <w:smallCaps/>
              </w:rPr>
            </w:pPr>
          </w:p>
        </w:tc>
        <w:tc>
          <w:tcPr>
            <w:tcW w:w="4078" w:type="dxa"/>
          </w:tcPr>
          <w:p w:rsidR="004344B9" w:rsidRPr="00152264" w:rsidRDefault="004344B9" w:rsidP="00394840">
            <w:pPr>
              <w:spacing w:line="360" w:lineRule="auto"/>
              <w:ind w:left="142" w:right="530" w:firstLine="284"/>
              <w:jc w:val="center"/>
              <w:rPr>
                <w:rFonts w:cs="Arial"/>
                <w:b/>
                <w:smallCaps/>
              </w:rPr>
            </w:pPr>
            <w:r w:rsidRPr="00152264">
              <w:rPr>
                <w:rFonts w:cs="Arial"/>
                <w:b/>
                <w:smallCaps/>
              </w:rPr>
              <w:t>Secretario</w:t>
            </w:r>
          </w:p>
        </w:tc>
      </w:tr>
      <w:tr w:rsidR="004344B9" w:rsidRPr="00152264" w:rsidTr="005B49A1">
        <w:trPr>
          <w:trHeight w:val="317"/>
          <w:jc w:val="center"/>
        </w:trPr>
        <w:tc>
          <w:tcPr>
            <w:tcW w:w="4078" w:type="dxa"/>
          </w:tcPr>
          <w:p w:rsidR="004344B9" w:rsidRPr="00152264" w:rsidRDefault="004344B9" w:rsidP="00394840">
            <w:pPr>
              <w:spacing w:line="360" w:lineRule="auto"/>
              <w:ind w:left="142" w:right="530" w:firstLine="284"/>
              <w:jc w:val="center"/>
              <w:rPr>
                <w:rFonts w:cs="Arial"/>
                <w:b/>
                <w:smallCaps/>
              </w:rPr>
            </w:pPr>
            <w:proofErr w:type="spellStart"/>
            <w:r w:rsidRPr="00152264">
              <w:rPr>
                <w:rFonts w:cs="Arial"/>
                <w:b/>
                <w:smallCaps/>
              </w:rPr>
              <w:t>Dip</w:t>
            </w:r>
            <w:proofErr w:type="spellEnd"/>
            <w:r w:rsidRPr="00152264">
              <w:rPr>
                <w:rFonts w:cs="Arial"/>
                <w:b/>
                <w:smallCaps/>
              </w:rPr>
              <w:t xml:space="preserve">. Samuel Alejandro García Sepúlveda </w:t>
            </w:r>
          </w:p>
          <w:p w:rsidR="004344B9" w:rsidRPr="00152264" w:rsidRDefault="004344B9" w:rsidP="00394840">
            <w:pPr>
              <w:spacing w:line="360" w:lineRule="auto"/>
              <w:ind w:left="142" w:right="530" w:firstLine="284"/>
              <w:jc w:val="center"/>
              <w:rPr>
                <w:rFonts w:cs="Arial"/>
                <w:b/>
                <w:smallCaps/>
              </w:rPr>
            </w:pPr>
          </w:p>
        </w:tc>
        <w:tc>
          <w:tcPr>
            <w:tcW w:w="4078" w:type="dxa"/>
          </w:tcPr>
          <w:p w:rsidR="004344B9" w:rsidRPr="00152264" w:rsidRDefault="004344B9" w:rsidP="00394840">
            <w:pPr>
              <w:spacing w:line="360" w:lineRule="auto"/>
              <w:ind w:left="142" w:right="530" w:firstLine="284"/>
              <w:jc w:val="center"/>
              <w:rPr>
                <w:rFonts w:cs="Arial"/>
                <w:b/>
                <w:smallCaps/>
              </w:rPr>
            </w:pPr>
            <w:proofErr w:type="spellStart"/>
            <w:r w:rsidRPr="00152264">
              <w:rPr>
                <w:rFonts w:cs="Arial"/>
                <w:b/>
                <w:smallCaps/>
              </w:rPr>
              <w:t>Dip</w:t>
            </w:r>
            <w:proofErr w:type="spellEnd"/>
            <w:r w:rsidRPr="00152264">
              <w:rPr>
                <w:rFonts w:cs="Arial"/>
                <w:b/>
                <w:smallCaps/>
              </w:rPr>
              <w:t>. Oscar Javier Collazo Garza</w:t>
            </w:r>
          </w:p>
          <w:p w:rsidR="004344B9" w:rsidRPr="00152264" w:rsidRDefault="004344B9" w:rsidP="00394840">
            <w:pPr>
              <w:spacing w:line="360" w:lineRule="auto"/>
              <w:ind w:left="142" w:right="530" w:firstLine="284"/>
              <w:jc w:val="both"/>
              <w:rPr>
                <w:rFonts w:cs="Arial"/>
                <w:b/>
                <w:smallCaps/>
              </w:rPr>
            </w:pPr>
          </w:p>
        </w:tc>
      </w:tr>
      <w:tr w:rsidR="004344B9" w:rsidRPr="00152264" w:rsidTr="005B49A1">
        <w:trPr>
          <w:trHeight w:val="329"/>
          <w:jc w:val="center"/>
        </w:trPr>
        <w:tc>
          <w:tcPr>
            <w:tcW w:w="4078" w:type="dxa"/>
          </w:tcPr>
          <w:p w:rsidR="004344B9" w:rsidRPr="00152264" w:rsidRDefault="004344B9" w:rsidP="00394840">
            <w:pPr>
              <w:spacing w:line="360" w:lineRule="auto"/>
              <w:ind w:left="142" w:right="530" w:firstLine="284"/>
              <w:jc w:val="center"/>
              <w:rPr>
                <w:rFonts w:cs="Arial"/>
                <w:b/>
                <w:smallCaps/>
              </w:rPr>
            </w:pPr>
          </w:p>
          <w:p w:rsidR="004344B9" w:rsidRPr="00152264" w:rsidRDefault="004344B9" w:rsidP="00394840">
            <w:pPr>
              <w:spacing w:line="360" w:lineRule="auto"/>
              <w:ind w:left="142" w:right="530" w:firstLine="284"/>
              <w:jc w:val="center"/>
              <w:rPr>
                <w:rFonts w:cs="Arial"/>
                <w:b/>
                <w:smallCaps/>
              </w:rPr>
            </w:pPr>
          </w:p>
          <w:p w:rsidR="004344B9" w:rsidRDefault="004344B9" w:rsidP="00394840">
            <w:pPr>
              <w:spacing w:line="360" w:lineRule="auto"/>
              <w:ind w:left="142" w:right="530" w:firstLine="284"/>
              <w:jc w:val="center"/>
              <w:rPr>
                <w:rFonts w:cs="Arial"/>
                <w:b/>
                <w:smallCaps/>
              </w:rPr>
            </w:pPr>
            <w:r w:rsidRPr="00152264">
              <w:rPr>
                <w:rFonts w:cs="Arial"/>
                <w:b/>
                <w:smallCaps/>
              </w:rPr>
              <w:lastRenderedPageBreak/>
              <w:t>Vocal</w:t>
            </w:r>
          </w:p>
          <w:p w:rsidR="00C520D0" w:rsidRDefault="00C520D0" w:rsidP="00394840">
            <w:pPr>
              <w:spacing w:line="360" w:lineRule="auto"/>
              <w:ind w:left="142" w:right="530" w:firstLine="284"/>
              <w:jc w:val="center"/>
              <w:rPr>
                <w:rFonts w:cs="Arial"/>
                <w:b/>
                <w:smallCaps/>
              </w:rPr>
            </w:pPr>
          </w:p>
          <w:p w:rsidR="00C520D0" w:rsidRPr="00152264" w:rsidRDefault="00C520D0" w:rsidP="00394840">
            <w:pPr>
              <w:spacing w:line="360" w:lineRule="auto"/>
              <w:ind w:left="142" w:right="530" w:firstLine="284"/>
              <w:jc w:val="center"/>
              <w:rPr>
                <w:rFonts w:cs="Arial"/>
                <w:b/>
                <w:smallCaps/>
              </w:rPr>
            </w:pPr>
          </w:p>
        </w:tc>
        <w:tc>
          <w:tcPr>
            <w:tcW w:w="4078" w:type="dxa"/>
          </w:tcPr>
          <w:p w:rsidR="004344B9" w:rsidRPr="00152264" w:rsidRDefault="004344B9" w:rsidP="00394840">
            <w:pPr>
              <w:spacing w:line="360" w:lineRule="auto"/>
              <w:ind w:left="142" w:right="530" w:firstLine="284"/>
              <w:jc w:val="center"/>
              <w:rPr>
                <w:rFonts w:cs="Arial"/>
                <w:b/>
                <w:smallCaps/>
              </w:rPr>
            </w:pPr>
          </w:p>
          <w:p w:rsidR="004344B9" w:rsidRPr="00152264" w:rsidRDefault="004344B9" w:rsidP="00394840">
            <w:pPr>
              <w:spacing w:line="360" w:lineRule="auto"/>
              <w:ind w:left="142" w:right="530" w:firstLine="284"/>
              <w:jc w:val="center"/>
              <w:rPr>
                <w:rFonts w:cs="Arial"/>
                <w:b/>
                <w:smallCaps/>
              </w:rPr>
            </w:pPr>
          </w:p>
          <w:p w:rsidR="004344B9" w:rsidRPr="00152264" w:rsidRDefault="004344B9" w:rsidP="00394840">
            <w:pPr>
              <w:spacing w:line="360" w:lineRule="auto"/>
              <w:ind w:left="142" w:right="530" w:firstLine="284"/>
              <w:jc w:val="center"/>
              <w:rPr>
                <w:rFonts w:cs="Arial"/>
                <w:b/>
                <w:smallCaps/>
              </w:rPr>
            </w:pPr>
            <w:r w:rsidRPr="00152264">
              <w:rPr>
                <w:rFonts w:cs="Arial"/>
                <w:b/>
                <w:smallCaps/>
              </w:rPr>
              <w:lastRenderedPageBreak/>
              <w:t>Vocal</w:t>
            </w:r>
          </w:p>
        </w:tc>
      </w:tr>
      <w:tr w:rsidR="004344B9" w:rsidRPr="00152264" w:rsidTr="005B49A1">
        <w:trPr>
          <w:trHeight w:val="289"/>
          <w:jc w:val="center"/>
        </w:trPr>
        <w:tc>
          <w:tcPr>
            <w:tcW w:w="4078" w:type="dxa"/>
          </w:tcPr>
          <w:p w:rsidR="004344B9" w:rsidRPr="00152264" w:rsidRDefault="004344B9" w:rsidP="00394840">
            <w:pPr>
              <w:spacing w:line="360" w:lineRule="auto"/>
              <w:ind w:left="142" w:right="530" w:firstLine="284"/>
              <w:jc w:val="center"/>
              <w:rPr>
                <w:rFonts w:cs="Arial"/>
                <w:b/>
                <w:smallCaps/>
              </w:rPr>
            </w:pPr>
            <w:proofErr w:type="spellStart"/>
            <w:r w:rsidRPr="00152264">
              <w:rPr>
                <w:rFonts w:cs="Arial"/>
                <w:b/>
                <w:smallCaps/>
              </w:rPr>
              <w:lastRenderedPageBreak/>
              <w:t>Dip</w:t>
            </w:r>
            <w:proofErr w:type="spellEnd"/>
            <w:r w:rsidRPr="00152264">
              <w:rPr>
                <w:rFonts w:cs="Arial"/>
                <w:b/>
                <w:smallCaps/>
              </w:rPr>
              <w:t xml:space="preserve">. Héctor García </w:t>
            </w:r>
            <w:proofErr w:type="spellStart"/>
            <w:r w:rsidRPr="00152264">
              <w:rPr>
                <w:rFonts w:cs="Arial"/>
                <w:b/>
                <w:smallCaps/>
              </w:rPr>
              <w:t>García</w:t>
            </w:r>
            <w:proofErr w:type="spellEnd"/>
          </w:p>
        </w:tc>
        <w:tc>
          <w:tcPr>
            <w:tcW w:w="4078" w:type="dxa"/>
          </w:tcPr>
          <w:p w:rsidR="004344B9" w:rsidRPr="00152264" w:rsidRDefault="004344B9" w:rsidP="00394840">
            <w:pPr>
              <w:spacing w:line="360" w:lineRule="auto"/>
              <w:ind w:left="142" w:right="530" w:firstLine="284"/>
              <w:jc w:val="center"/>
              <w:rPr>
                <w:rFonts w:cs="Arial"/>
                <w:b/>
                <w:smallCaps/>
              </w:rPr>
            </w:pPr>
            <w:proofErr w:type="spellStart"/>
            <w:r w:rsidRPr="00152264">
              <w:rPr>
                <w:rFonts w:cs="Arial"/>
                <w:b/>
                <w:smallCaps/>
              </w:rPr>
              <w:t>Dip</w:t>
            </w:r>
            <w:proofErr w:type="spellEnd"/>
            <w:r w:rsidRPr="00152264">
              <w:rPr>
                <w:rFonts w:cs="Arial"/>
                <w:b/>
                <w:smallCaps/>
              </w:rPr>
              <w:t xml:space="preserve">. Juan Francisco Espinoza </w:t>
            </w:r>
            <w:proofErr w:type="spellStart"/>
            <w:r w:rsidRPr="00152264">
              <w:rPr>
                <w:rFonts w:cs="Arial"/>
                <w:b/>
                <w:smallCaps/>
              </w:rPr>
              <w:t>Eguía</w:t>
            </w:r>
            <w:proofErr w:type="spellEnd"/>
          </w:p>
        </w:tc>
      </w:tr>
      <w:tr w:rsidR="004344B9" w:rsidRPr="00152264" w:rsidTr="005B49A1">
        <w:trPr>
          <w:trHeight w:val="280"/>
          <w:jc w:val="center"/>
        </w:trPr>
        <w:tc>
          <w:tcPr>
            <w:tcW w:w="4078" w:type="dxa"/>
          </w:tcPr>
          <w:p w:rsidR="00D1268D" w:rsidRDefault="00D1268D" w:rsidP="00394840">
            <w:pPr>
              <w:spacing w:line="360" w:lineRule="auto"/>
              <w:ind w:left="142" w:right="530" w:firstLine="284"/>
              <w:jc w:val="center"/>
              <w:rPr>
                <w:rFonts w:cs="Arial"/>
                <w:b/>
                <w:smallCaps/>
              </w:rPr>
            </w:pPr>
          </w:p>
          <w:p w:rsidR="004344B9" w:rsidRPr="00152264" w:rsidRDefault="004344B9" w:rsidP="00394840">
            <w:pPr>
              <w:spacing w:line="360" w:lineRule="auto"/>
              <w:ind w:left="142" w:right="530" w:firstLine="284"/>
              <w:jc w:val="center"/>
              <w:rPr>
                <w:rFonts w:cs="Arial"/>
                <w:b/>
                <w:smallCaps/>
              </w:rPr>
            </w:pPr>
          </w:p>
          <w:p w:rsidR="004344B9" w:rsidRDefault="004344B9" w:rsidP="00394840">
            <w:pPr>
              <w:spacing w:line="360" w:lineRule="auto"/>
              <w:ind w:left="142" w:right="530" w:firstLine="284"/>
              <w:jc w:val="center"/>
              <w:rPr>
                <w:rFonts w:cs="Arial"/>
                <w:b/>
                <w:smallCaps/>
              </w:rPr>
            </w:pPr>
            <w:r w:rsidRPr="00152264">
              <w:rPr>
                <w:rFonts w:cs="Arial"/>
                <w:b/>
                <w:smallCaps/>
              </w:rPr>
              <w:t>Vocal</w:t>
            </w:r>
          </w:p>
          <w:p w:rsidR="00C520D0" w:rsidRDefault="00C520D0" w:rsidP="00394840">
            <w:pPr>
              <w:spacing w:line="360" w:lineRule="auto"/>
              <w:ind w:left="142" w:right="530" w:firstLine="284"/>
              <w:jc w:val="center"/>
              <w:rPr>
                <w:rFonts w:cs="Arial"/>
                <w:b/>
                <w:smallCaps/>
              </w:rPr>
            </w:pPr>
          </w:p>
          <w:p w:rsidR="00C520D0" w:rsidRPr="00152264" w:rsidRDefault="00C520D0" w:rsidP="00394840">
            <w:pPr>
              <w:spacing w:line="360" w:lineRule="auto"/>
              <w:ind w:left="142" w:right="530" w:firstLine="284"/>
              <w:jc w:val="center"/>
              <w:rPr>
                <w:rFonts w:cs="Arial"/>
                <w:b/>
                <w:smallCaps/>
              </w:rPr>
            </w:pPr>
          </w:p>
        </w:tc>
        <w:tc>
          <w:tcPr>
            <w:tcW w:w="4078" w:type="dxa"/>
          </w:tcPr>
          <w:p w:rsidR="004344B9" w:rsidRDefault="004344B9" w:rsidP="00394840">
            <w:pPr>
              <w:spacing w:line="360" w:lineRule="auto"/>
              <w:ind w:left="142" w:right="530" w:firstLine="284"/>
              <w:jc w:val="center"/>
              <w:rPr>
                <w:rFonts w:cs="Arial"/>
                <w:b/>
                <w:smallCaps/>
              </w:rPr>
            </w:pPr>
          </w:p>
          <w:p w:rsidR="00D1268D" w:rsidRPr="00152264" w:rsidRDefault="00D1268D" w:rsidP="00394840">
            <w:pPr>
              <w:spacing w:line="360" w:lineRule="auto"/>
              <w:ind w:left="142" w:right="530" w:firstLine="284"/>
              <w:jc w:val="center"/>
              <w:rPr>
                <w:rFonts w:cs="Arial"/>
                <w:b/>
                <w:smallCaps/>
              </w:rPr>
            </w:pPr>
          </w:p>
          <w:p w:rsidR="004344B9" w:rsidRPr="00152264" w:rsidRDefault="004344B9" w:rsidP="00394840">
            <w:pPr>
              <w:spacing w:line="360" w:lineRule="auto"/>
              <w:ind w:left="142" w:right="530" w:firstLine="284"/>
              <w:jc w:val="center"/>
              <w:rPr>
                <w:rFonts w:cs="Arial"/>
                <w:b/>
                <w:smallCaps/>
              </w:rPr>
            </w:pPr>
            <w:r w:rsidRPr="00152264">
              <w:rPr>
                <w:rFonts w:cs="Arial"/>
                <w:b/>
                <w:smallCaps/>
              </w:rPr>
              <w:t>Vocal</w:t>
            </w:r>
          </w:p>
        </w:tc>
      </w:tr>
      <w:tr w:rsidR="004344B9" w:rsidRPr="00152264" w:rsidTr="005B49A1">
        <w:trPr>
          <w:trHeight w:val="555"/>
          <w:jc w:val="center"/>
        </w:trPr>
        <w:tc>
          <w:tcPr>
            <w:tcW w:w="4078" w:type="dxa"/>
          </w:tcPr>
          <w:p w:rsidR="004344B9" w:rsidRPr="00152264" w:rsidRDefault="004344B9" w:rsidP="00394840">
            <w:pPr>
              <w:spacing w:line="360" w:lineRule="auto"/>
              <w:ind w:left="142" w:right="530" w:firstLine="284"/>
              <w:jc w:val="center"/>
              <w:rPr>
                <w:rFonts w:cs="Arial"/>
                <w:b/>
                <w:smallCaps/>
              </w:rPr>
            </w:pPr>
            <w:proofErr w:type="spellStart"/>
            <w:r w:rsidRPr="00152264">
              <w:rPr>
                <w:rFonts w:cs="Arial"/>
                <w:b/>
                <w:smallCaps/>
              </w:rPr>
              <w:t>Dip</w:t>
            </w:r>
            <w:proofErr w:type="spellEnd"/>
            <w:r w:rsidRPr="00152264">
              <w:rPr>
                <w:rFonts w:cs="Arial"/>
                <w:b/>
                <w:smallCaps/>
              </w:rPr>
              <w:t>. Marco Antonio González Valdez</w:t>
            </w:r>
          </w:p>
        </w:tc>
        <w:tc>
          <w:tcPr>
            <w:tcW w:w="4078" w:type="dxa"/>
          </w:tcPr>
          <w:p w:rsidR="004344B9" w:rsidRPr="00152264" w:rsidRDefault="004344B9" w:rsidP="00394840">
            <w:pPr>
              <w:spacing w:line="360" w:lineRule="auto"/>
              <w:ind w:left="142" w:right="530" w:firstLine="284"/>
              <w:jc w:val="center"/>
              <w:rPr>
                <w:rFonts w:cs="Arial"/>
                <w:b/>
                <w:smallCaps/>
              </w:rPr>
            </w:pPr>
            <w:proofErr w:type="spellStart"/>
            <w:r w:rsidRPr="00152264">
              <w:rPr>
                <w:rFonts w:cs="Arial"/>
                <w:b/>
                <w:smallCaps/>
              </w:rPr>
              <w:t>Dip</w:t>
            </w:r>
            <w:proofErr w:type="spellEnd"/>
            <w:r w:rsidRPr="00152264">
              <w:rPr>
                <w:rFonts w:cs="Arial"/>
                <w:b/>
                <w:smallCaps/>
              </w:rPr>
              <w:t>. Mercedes Catalina García Mancillas</w:t>
            </w:r>
          </w:p>
        </w:tc>
      </w:tr>
      <w:tr w:rsidR="004344B9" w:rsidRPr="00152264" w:rsidTr="005B49A1">
        <w:trPr>
          <w:trHeight w:val="285"/>
          <w:jc w:val="center"/>
        </w:trPr>
        <w:tc>
          <w:tcPr>
            <w:tcW w:w="4078" w:type="dxa"/>
          </w:tcPr>
          <w:p w:rsidR="004344B9" w:rsidRPr="00152264" w:rsidRDefault="004344B9" w:rsidP="00394840">
            <w:pPr>
              <w:spacing w:line="360" w:lineRule="auto"/>
              <w:ind w:left="142" w:right="530" w:firstLine="284"/>
              <w:jc w:val="center"/>
              <w:rPr>
                <w:rFonts w:cs="Arial"/>
                <w:b/>
                <w:smallCaps/>
              </w:rPr>
            </w:pPr>
          </w:p>
          <w:p w:rsidR="004344B9" w:rsidRPr="00152264" w:rsidRDefault="004344B9" w:rsidP="00394840">
            <w:pPr>
              <w:spacing w:line="360" w:lineRule="auto"/>
              <w:ind w:left="142" w:right="530" w:firstLine="284"/>
              <w:jc w:val="center"/>
              <w:rPr>
                <w:rFonts w:cs="Arial"/>
                <w:b/>
                <w:smallCaps/>
              </w:rPr>
            </w:pPr>
          </w:p>
          <w:p w:rsidR="004344B9" w:rsidRDefault="004344B9" w:rsidP="00394840">
            <w:pPr>
              <w:spacing w:line="360" w:lineRule="auto"/>
              <w:ind w:left="142" w:right="530" w:firstLine="284"/>
              <w:jc w:val="center"/>
              <w:rPr>
                <w:rFonts w:cs="Arial"/>
                <w:b/>
                <w:smallCaps/>
              </w:rPr>
            </w:pPr>
            <w:r w:rsidRPr="00152264">
              <w:rPr>
                <w:rFonts w:cs="Arial"/>
                <w:b/>
                <w:smallCaps/>
              </w:rPr>
              <w:t>Vocal</w:t>
            </w:r>
          </w:p>
          <w:p w:rsidR="00C520D0" w:rsidRDefault="00C520D0" w:rsidP="00394840">
            <w:pPr>
              <w:spacing w:line="360" w:lineRule="auto"/>
              <w:ind w:left="142" w:right="530" w:firstLine="284"/>
              <w:jc w:val="center"/>
              <w:rPr>
                <w:rFonts w:cs="Arial"/>
                <w:b/>
                <w:smallCaps/>
              </w:rPr>
            </w:pPr>
          </w:p>
          <w:p w:rsidR="00C520D0" w:rsidRPr="00152264" w:rsidRDefault="00C520D0" w:rsidP="00394840">
            <w:pPr>
              <w:spacing w:line="360" w:lineRule="auto"/>
              <w:ind w:left="142" w:right="530" w:firstLine="284"/>
              <w:jc w:val="center"/>
              <w:rPr>
                <w:rFonts w:cs="Arial"/>
                <w:b/>
                <w:smallCaps/>
              </w:rPr>
            </w:pPr>
          </w:p>
        </w:tc>
        <w:tc>
          <w:tcPr>
            <w:tcW w:w="4078" w:type="dxa"/>
          </w:tcPr>
          <w:p w:rsidR="004344B9" w:rsidRPr="00152264" w:rsidRDefault="004344B9" w:rsidP="00394840">
            <w:pPr>
              <w:spacing w:line="360" w:lineRule="auto"/>
              <w:ind w:left="142" w:right="530" w:firstLine="284"/>
              <w:jc w:val="center"/>
              <w:rPr>
                <w:rFonts w:cs="Arial"/>
                <w:b/>
                <w:smallCaps/>
              </w:rPr>
            </w:pPr>
          </w:p>
          <w:p w:rsidR="004344B9" w:rsidRPr="00152264" w:rsidRDefault="004344B9" w:rsidP="00394840">
            <w:pPr>
              <w:spacing w:line="360" w:lineRule="auto"/>
              <w:ind w:left="142" w:right="530" w:firstLine="284"/>
              <w:jc w:val="center"/>
              <w:rPr>
                <w:rFonts w:cs="Arial"/>
                <w:b/>
                <w:smallCaps/>
              </w:rPr>
            </w:pPr>
          </w:p>
          <w:p w:rsidR="004344B9" w:rsidRPr="00152264" w:rsidRDefault="004344B9" w:rsidP="00394840">
            <w:pPr>
              <w:spacing w:line="360" w:lineRule="auto"/>
              <w:ind w:left="142" w:right="530" w:firstLine="284"/>
              <w:jc w:val="center"/>
              <w:rPr>
                <w:rFonts w:cs="Arial"/>
                <w:b/>
                <w:smallCaps/>
              </w:rPr>
            </w:pPr>
            <w:r w:rsidRPr="00152264">
              <w:rPr>
                <w:rFonts w:cs="Arial"/>
                <w:b/>
                <w:smallCaps/>
              </w:rPr>
              <w:t>Vocal</w:t>
            </w:r>
          </w:p>
        </w:tc>
      </w:tr>
      <w:tr w:rsidR="004344B9" w:rsidRPr="00152264" w:rsidTr="005B49A1">
        <w:trPr>
          <w:trHeight w:val="840"/>
          <w:jc w:val="center"/>
        </w:trPr>
        <w:tc>
          <w:tcPr>
            <w:tcW w:w="4078" w:type="dxa"/>
          </w:tcPr>
          <w:p w:rsidR="004344B9" w:rsidRPr="00152264" w:rsidRDefault="004344B9" w:rsidP="00394840">
            <w:pPr>
              <w:spacing w:line="360" w:lineRule="auto"/>
              <w:ind w:left="142" w:right="530" w:firstLine="284"/>
              <w:jc w:val="center"/>
              <w:rPr>
                <w:rFonts w:cs="Arial"/>
                <w:b/>
                <w:smallCaps/>
              </w:rPr>
            </w:pPr>
          </w:p>
          <w:p w:rsidR="004344B9" w:rsidRPr="00152264" w:rsidRDefault="004344B9" w:rsidP="00394840">
            <w:pPr>
              <w:spacing w:line="360" w:lineRule="auto"/>
              <w:ind w:left="142" w:right="530" w:firstLine="284"/>
              <w:jc w:val="center"/>
              <w:rPr>
                <w:rFonts w:cs="Arial"/>
                <w:b/>
                <w:smallCaps/>
              </w:rPr>
            </w:pPr>
            <w:proofErr w:type="spellStart"/>
            <w:r w:rsidRPr="00152264">
              <w:rPr>
                <w:rFonts w:cs="Arial"/>
                <w:b/>
                <w:smallCaps/>
              </w:rPr>
              <w:t>Dip</w:t>
            </w:r>
            <w:proofErr w:type="spellEnd"/>
            <w:r w:rsidRPr="00152264">
              <w:rPr>
                <w:rFonts w:cs="Arial"/>
                <w:b/>
                <w:smallCaps/>
              </w:rPr>
              <w:t xml:space="preserve">. Daniel Carrillo Martínez </w:t>
            </w:r>
          </w:p>
        </w:tc>
        <w:tc>
          <w:tcPr>
            <w:tcW w:w="4078" w:type="dxa"/>
          </w:tcPr>
          <w:p w:rsidR="004344B9" w:rsidRPr="00152264" w:rsidRDefault="004344B9" w:rsidP="00394840">
            <w:pPr>
              <w:spacing w:line="360" w:lineRule="auto"/>
              <w:ind w:left="142" w:right="530" w:firstLine="284"/>
              <w:jc w:val="center"/>
              <w:rPr>
                <w:rFonts w:cs="Arial"/>
                <w:b/>
                <w:smallCaps/>
              </w:rPr>
            </w:pPr>
          </w:p>
          <w:p w:rsidR="004344B9" w:rsidRDefault="004344B9" w:rsidP="00394840">
            <w:pPr>
              <w:spacing w:line="360" w:lineRule="auto"/>
              <w:ind w:left="142" w:right="530" w:firstLine="284"/>
              <w:jc w:val="center"/>
              <w:rPr>
                <w:rFonts w:cs="Arial"/>
                <w:b/>
                <w:smallCaps/>
              </w:rPr>
            </w:pPr>
            <w:proofErr w:type="spellStart"/>
            <w:r w:rsidRPr="00152264">
              <w:rPr>
                <w:rFonts w:cs="Arial"/>
                <w:b/>
                <w:smallCaps/>
              </w:rPr>
              <w:t>Dip</w:t>
            </w:r>
            <w:proofErr w:type="spellEnd"/>
            <w:r w:rsidRPr="00152264">
              <w:rPr>
                <w:rFonts w:cs="Arial"/>
                <w:b/>
                <w:smallCaps/>
              </w:rPr>
              <w:t>. Itzel Soledad Castillo Almanza</w:t>
            </w:r>
          </w:p>
          <w:p w:rsidR="00C520D0" w:rsidRDefault="00C520D0" w:rsidP="00394840">
            <w:pPr>
              <w:spacing w:line="360" w:lineRule="auto"/>
              <w:ind w:left="142" w:right="530" w:firstLine="284"/>
              <w:jc w:val="center"/>
              <w:rPr>
                <w:rFonts w:cs="Arial"/>
                <w:b/>
                <w:smallCaps/>
              </w:rPr>
            </w:pPr>
          </w:p>
          <w:p w:rsidR="00C520D0" w:rsidRDefault="00C520D0" w:rsidP="00394840">
            <w:pPr>
              <w:spacing w:line="360" w:lineRule="auto"/>
              <w:ind w:left="142" w:right="530" w:firstLine="284"/>
              <w:jc w:val="center"/>
              <w:rPr>
                <w:rFonts w:cs="Arial"/>
                <w:b/>
                <w:smallCaps/>
              </w:rPr>
            </w:pPr>
          </w:p>
          <w:p w:rsidR="00C520D0" w:rsidRPr="00152264" w:rsidRDefault="00C520D0" w:rsidP="00394840">
            <w:pPr>
              <w:spacing w:line="360" w:lineRule="auto"/>
              <w:ind w:left="142" w:right="530" w:firstLine="284"/>
              <w:jc w:val="center"/>
              <w:rPr>
                <w:rFonts w:cs="Arial"/>
                <w:b/>
                <w:smallCaps/>
              </w:rPr>
            </w:pPr>
          </w:p>
        </w:tc>
      </w:tr>
      <w:tr w:rsidR="004344B9" w:rsidRPr="00152264" w:rsidTr="005B49A1">
        <w:trPr>
          <w:trHeight w:val="285"/>
          <w:jc w:val="center"/>
        </w:trPr>
        <w:tc>
          <w:tcPr>
            <w:tcW w:w="4078" w:type="dxa"/>
          </w:tcPr>
          <w:p w:rsidR="004344B9" w:rsidRPr="00152264" w:rsidRDefault="004344B9" w:rsidP="00394840">
            <w:pPr>
              <w:spacing w:line="360" w:lineRule="auto"/>
              <w:ind w:left="142" w:right="530" w:firstLine="284"/>
              <w:jc w:val="center"/>
              <w:rPr>
                <w:rFonts w:cs="Arial"/>
                <w:b/>
                <w:smallCaps/>
              </w:rPr>
            </w:pPr>
          </w:p>
          <w:p w:rsidR="004344B9" w:rsidRPr="00152264" w:rsidRDefault="004344B9" w:rsidP="00394840">
            <w:pPr>
              <w:spacing w:line="360" w:lineRule="auto"/>
              <w:ind w:left="142" w:right="530" w:firstLine="284"/>
              <w:jc w:val="center"/>
              <w:rPr>
                <w:rFonts w:cs="Arial"/>
                <w:b/>
                <w:smallCaps/>
              </w:rPr>
            </w:pPr>
          </w:p>
          <w:p w:rsidR="004344B9" w:rsidRPr="00152264" w:rsidRDefault="004344B9" w:rsidP="00394840">
            <w:pPr>
              <w:spacing w:line="360" w:lineRule="auto"/>
              <w:ind w:left="142" w:right="530" w:firstLine="284"/>
              <w:jc w:val="center"/>
              <w:rPr>
                <w:rFonts w:cs="Arial"/>
                <w:b/>
                <w:smallCaps/>
              </w:rPr>
            </w:pPr>
            <w:r w:rsidRPr="00152264">
              <w:rPr>
                <w:rFonts w:cs="Arial"/>
                <w:b/>
                <w:smallCaps/>
              </w:rPr>
              <w:lastRenderedPageBreak/>
              <w:t>Vocal</w:t>
            </w:r>
          </w:p>
        </w:tc>
        <w:tc>
          <w:tcPr>
            <w:tcW w:w="4078" w:type="dxa"/>
          </w:tcPr>
          <w:p w:rsidR="004344B9" w:rsidRPr="00152264" w:rsidRDefault="004344B9" w:rsidP="00394840">
            <w:pPr>
              <w:spacing w:line="360" w:lineRule="auto"/>
              <w:ind w:left="142" w:right="530" w:firstLine="284"/>
              <w:jc w:val="center"/>
              <w:rPr>
                <w:rFonts w:cs="Arial"/>
                <w:b/>
                <w:smallCaps/>
              </w:rPr>
            </w:pPr>
          </w:p>
          <w:p w:rsidR="004344B9" w:rsidRPr="00152264" w:rsidRDefault="004344B9" w:rsidP="00394840">
            <w:pPr>
              <w:spacing w:line="360" w:lineRule="auto"/>
              <w:ind w:left="142" w:right="530" w:firstLine="284"/>
              <w:jc w:val="center"/>
              <w:rPr>
                <w:rFonts w:cs="Arial"/>
                <w:b/>
                <w:smallCaps/>
              </w:rPr>
            </w:pPr>
          </w:p>
          <w:p w:rsidR="004344B9" w:rsidRDefault="004344B9" w:rsidP="00394840">
            <w:pPr>
              <w:spacing w:line="360" w:lineRule="auto"/>
              <w:ind w:left="142" w:right="530" w:firstLine="284"/>
              <w:jc w:val="center"/>
              <w:rPr>
                <w:rFonts w:cs="Arial"/>
                <w:b/>
                <w:smallCaps/>
              </w:rPr>
            </w:pPr>
            <w:r w:rsidRPr="00152264">
              <w:rPr>
                <w:rFonts w:cs="Arial"/>
                <w:b/>
                <w:smallCaps/>
              </w:rPr>
              <w:lastRenderedPageBreak/>
              <w:t>Vocal</w:t>
            </w:r>
          </w:p>
          <w:p w:rsidR="00C520D0" w:rsidRDefault="00C520D0" w:rsidP="00394840">
            <w:pPr>
              <w:spacing w:line="360" w:lineRule="auto"/>
              <w:ind w:left="142" w:right="530" w:firstLine="284"/>
              <w:jc w:val="center"/>
              <w:rPr>
                <w:rFonts w:cs="Arial"/>
                <w:b/>
                <w:smallCaps/>
              </w:rPr>
            </w:pPr>
          </w:p>
          <w:p w:rsidR="00C520D0" w:rsidRPr="00152264" w:rsidRDefault="00C520D0" w:rsidP="00394840">
            <w:pPr>
              <w:spacing w:line="360" w:lineRule="auto"/>
              <w:ind w:left="142" w:right="530" w:firstLine="284"/>
              <w:jc w:val="center"/>
              <w:rPr>
                <w:rFonts w:cs="Arial"/>
                <w:b/>
                <w:smallCaps/>
              </w:rPr>
            </w:pPr>
          </w:p>
        </w:tc>
      </w:tr>
      <w:tr w:rsidR="004344B9" w:rsidRPr="00152264" w:rsidTr="005B49A1">
        <w:trPr>
          <w:trHeight w:val="269"/>
          <w:jc w:val="center"/>
        </w:trPr>
        <w:tc>
          <w:tcPr>
            <w:tcW w:w="4078" w:type="dxa"/>
          </w:tcPr>
          <w:p w:rsidR="004344B9" w:rsidRPr="00152264" w:rsidRDefault="004344B9" w:rsidP="00394840">
            <w:pPr>
              <w:spacing w:line="360" w:lineRule="auto"/>
              <w:ind w:left="142" w:right="530" w:firstLine="284"/>
              <w:jc w:val="center"/>
              <w:rPr>
                <w:rFonts w:cs="Arial"/>
                <w:b/>
                <w:smallCaps/>
                <w:lang w:val="fr-FR"/>
              </w:rPr>
            </w:pPr>
            <w:proofErr w:type="spellStart"/>
            <w:r w:rsidRPr="00152264">
              <w:rPr>
                <w:rFonts w:cs="Arial"/>
                <w:b/>
                <w:smallCaps/>
              </w:rPr>
              <w:lastRenderedPageBreak/>
              <w:t>Dip</w:t>
            </w:r>
            <w:proofErr w:type="spellEnd"/>
            <w:r w:rsidRPr="00152264">
              <w:rPr>
                <w:rFonts w:cs="Arial"/>
                <w:b/>
                <w:smallCaps/>
              </w:rPr>
              <w:t>. Rubén González Cabrieles</w:t>
            </w:r>
          </w:p>
        </w:tc>
        <w:tc>
          <w:tcPr>
            <w:tcW w:w="4078" w:type="dxa"/>
          </w:tcPr>
          <w:p w:rsidR="004344B9" w:rsidRPr="00152264" w:rsidRDefault="004344B9" w:rsidP="00394840">
            <w:pPr>
              <w:spacing w:line="360" w:lineRule="auto"/>
              <w:ind w:left="142" w:right="530" w:firstLine="284"/>
              <w:jc w:val="center"/>
              <w:rPr>
                <w:rFonts w:cs="Arial"/>
                <w:b/>
                <w:smallCaps/>
              </w:rPr>
            </w:pPr>
            <w:proofErr w:type="spellStart"/>
            <w:r w:rsidRPr="00152264">
              <w:rPr>
                <w:rFonts w:cs="Arial"/>
                <w:b/>
                <w:smallCaps/>
              </w:rPr>
              <w:t>Dip</w:t>
            </w:r>
            <w:proofErr w:type="spellEnd"/>
            <w:r w:rsidRPr="00152264">
              <w:rPr>
                <w:rFonts w:cs="Arial"/>
                <w:b/>
                <w:smallCaps/>
              </w:rPr>
              <w:t xml:space="preserve">. Gabriel Tlaloc Cantú </w:t>
            </w:r>
            <w:proofErr w:type="spellStart"/>
            <w:r w:rsidRPr="00152264">
              <w:rPr>
                <w:rFonts w:cs="Arial"/>
                <w:b/>
                <w:smallCaps/>
              </w:rPr>
              <w:t>Cantú</w:t>
            </w:r>
            <w:proofErr w:type="spellEnd"/>
          </w:p>
        </w:tc>
      </w:tr>
    </w:tbl>
    <w:p w:rsidR="004344B9" w:rsidRDefault="004344B9" w:rsidP="00394840">
      <w:pPr>
        <w:ind w:left="142" w:right="530" w:firstLine="284"/>
        <w:rPr>
          <w:rFonts w:cs="Arial"/>
        </w:rPr>
      </w:pPr>
    </w:p>
    <w:p w:rsidR="00403A01" w:rsidRDefault="00403A01" w:rsidP="00394840">
      <w:pPr>
        <w:ind w:left="142" w:right="530" w:firstLine="284"/>
        <w:rPr>
          <w:rFonts w:cs="Arial"/>
        </w:rPr>
      </w:pPr>
    </w:p>
    <w:sectPr w:rsidR="00403A01" w:rsidSect="00C520D0">
      <w:footerReference w:type="even"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6FD" w:rsidRDefault="002536FD" w:rsidP="00D469E2">
      <w:r>
        <w:separator/>
      </w:r>
    </w:p>
  </w:endnote>
  <w:endnote w:type="continuationSeparator" w:id="0">
    <w:p w:rsidR="002536FD" w:rsidRDefault="002536FD" w:rsidP="00D4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E92" w:rsidRDefault="00740993"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21E92" w:rsidRDefault="002536FD"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E92" w:rsidRPr="004344B9" w:rsidRDefault="00740993" w:rsidP="00AE6BC0">
    <w:pPr>
      <w:pStyle w:val="Piedepgina"/>
      <w:jc w:val="center"/>
      <w:rPr>
        <w:rFonts w:cs="Arial"/>
        <w:b/>
        <w:sz w:val="20"/>
        <w:szCs w:val="20"/>
        <w:lang w:val="es-MX"/>
      </w:rPr>
    </w:pPr>
    <w:proofErr w:type="spellStart"/>
    <w:r w:rsidRPr="004344B9">
      <w:rPr>
        <w:rFonts w:cs="Arial"/>
        <w:b/>
        <w:smallCaps/>
        <w:sz w:val="20"/>
        <w:szCs w:val="20"/>
        <w:lang w:val="es-MX"/>
      </w:rPr>
      <w:t>Exp</w:t>
    </w:r>
    <w:proofErr w:type="spellEnd"/>
    <w:r w:rsidRPr="004344B9">
      <w:rPr>
        <w:rFonts w:cs="Arial"/>
        <w:b/>
        <w:smallCaps/>
        <w:sz w:val="20"/>
        <w:szCs w:val="20"/>
        <w:lang w:val="es-MX"/>
      </w:rPr>
      <w:t xml:space="preserve">. </w:t>
    </w:r>
    <w:r w:rsidR="00365780">
      <w:rPr>
        <w:rFonts w:cs="Arial"/>
        <w:b/>
        <w:smallCaps/>
        <w:sz w:val="20"/>
        <w:szCs w:val="20"/>
        <w:lang w:val="es-MX"/>
      </w:rPr>
      <w:t>107</w:t>
    </w:r>
    <w:r w:rsidR="006D06B3">
      <w:rPr>
        <w:rFonts w:cs="Arial"/>
        <w:b/>
        <w:smallCaps/>
        <w:sz w:val="20"/>
        <w:szCs w:val="20"/>
        <w:lang w:val="es-MX"/>
      </w:rPr>
      <w:t>18</w:t>
    </w:r>
    <w:r w:rsidR="002E7212">
      <w:rPr>
        <w:rFonts w:cs="Arial"/>
        <w:b/>
        <w:sz w:val="20"/>
        <w:szCs w:val="20"/>
        <w:lang w:val="es-MX"/>
      </w:rPr>
      <w:t>/LXXIV</w:t>
    </w:r>
  </w:p>
  <w:p w:rsidR="00321E92" w:rsidRPr="001016A3" w:rsidRDefault="00740993" w:rsidP="007C3B15">
    <w:pPr>
      <w:pStyle w:val="Piedepgina"/>
      <w:jc w:val="center"/>
      <w:rPr>
        <w:rFonts w:cs="Arial"/>
        <w:b/>
        <w:smallCaps/>
        <w:sz w:val="20"/>
        <w:szCs w:val="20"/>
      </w:rPr>
    </w:pPr>
    <w:r w:rsidRPr="001016A3">
      <w:rPr>
        <w:rFonts w:cs="Arial"/>
        <w:b/>
        <w:smallCaps/>
        <w:sz w:val="20"/>
        <w:szCs w:val="20"/>
        <w:lang w:val="es-MX"/>
      </w:rPr>
      <w:t xml:space="preserve">Comisión </w:t>
    </w:r>
    <w:r>
      <w:rPr>
        <w:rFonts w:cs="Arial"/>
        <w:b/>
        <w:smallCaps/>
        <w:sz w:val="20"/>
        <w:szCs w:val="20"/>
        <w:lang w:val="es-MX"/>
      </w:rPr>
      <w:t>Anticorrupción</w:t>
    </w:r>
  </w:p>
  <w:p w:rsidR="00321E92" w:rsidRDefault="00740993">
    <w:pPr>
      <w:pStyle w:val="Piedepgina"/>
      <w:jc w:val="right"/>
    </w:pPr>
    <w:r w:rsidRPr="001016A3">
      <w:rPr>
        <w:sz w:val="16"/>
      </w:rPr>
      <w:fldChar w:fldCharType="begin"/>
    </w:r>
    <w:r w:rsidRPr="001016A3">
      <w:rPr>
        <w:sz w:val="16"/>
      </w:rPr>
      <w:instrText>PAGE</w:instrText>
    </w:r>
    <w:r w:rsidRPr="001016A3">
      <w:rPr>
        <w:sz w:val="16"/>
      </w:rPr>
      <w:fldChar w:fldCharType="separate"/>
    </w:r>
    <w:r w:rsidR="006D06B3">
      <w:rPr>
        <w:noProof/>
        <w:sz w:val="16"/>
      </w:rPr>
      <w:t>13</w:t>
    </w:r>
    <w:r w:rsidRPr="001016A3">
      <w:rPr>
        <w:sz w:val="16"/>
      </w:rPr>
      <w:fldChar w:fldCharType="end"/>
    </w:r>
    <w:r w:rsidRPr="001016A3">
      <w:rPr>
        <w:sz w:val="16"/>
      </w:rPr>
      <w:t xml:space="preserve"> </w:t>
    </w:r>
  </w:p>
  <w:p w:rsidR="00321E92" w:rsidRPr="008A0777" w:rsidRDefault="002536FD" w:rsidP="007C3B15">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6FD" w:rsidRDefault="002536FD" w:rsidP="00D469E2">
      <w:r>
        <w:separator/>
      </w:r>
    </w:p>
  </w:footnote>
  <w:footnote w:type="continuationSeparator" w:id="0">
    <w:p w:rsidR="002536FD" w:rsidRDefault="002536FD" w:rsidP="00D46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3398F"/>
    <w:multiLevelType w:val="hybridMultilevel"/>
    <w:tmpl w:val="F70C2ADC"/>
    <w:lvl w:ilvl="0" w:tplc="169A87D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490F7E56"/>
    <w:multiLevelType w:val="hybridMultilevel"/>
    <w:tmpl w:val="572CB992"/>
    <w:lvl w:ilvl="0" w:tplc="FC2E03C0">
      <w:start w:val="1"/>
      <w:numFmt w:val="lowerLetter"/>
      <w:lvlText w:val="%1)"/>
      <w:lvlJc w:val="left"/>
      <w:pPr>
        <w:ind w:left="1773" w:hanging="360"/>
      </w:pPr>
      <w:rPr>
        <w:rFonts w:hint="default"/>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2" w15:restartNumberingAfterBreak="0">
    <w:nsid w:val="6404381A"/>
    <w:multiLevelType w:val="hybridMultilevel"/>
    <w:tmpl w:val="8E20F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B9"/>
    <w:rsid w:val="00001ADD"/>
    <w:rsid w:val="0001213C"/>
    <w:rsid w:val="00013504"/>
    <w:rsid w:val="00053F53"/>
    <w:rsid w:val="00054A81"/>
    <w:rsid w:val="00083388"/>
    <w:rsid w:val="00097B93"/>
    <w:rsid w:val="000A5635"/>
    <w:rsid w:val="000C0583"/>
    <w:rsid w:val="000C6CCB"/>
    <w:rsid w:val="000E7D8A"/>
    <w:rsid w:val="00120818"/>
    <w:rsid w:val="00124AA7"/>
    <w:rsid w:val="00152264"/>
    <w:rsid w:val="001527F0"/>
    <w:rsid w:val="001548AE"/>
    <w:rsid w:val="001629AF"/>
    <w:rsid w:val="00195262"/>
    <w:rsid w:val="00195511"/>
    <w:rsid w:val="001A5DDE"/>
    <w:rsid w:val="001B187A"/>
    <w:rsid w:val="001C48BB"/>
    <w:rsid w:val="001D2204"/>
    <w:rsid w:val="001E5D51"/>
    <w:rsid w:val="001E7444"/>
    <w:rsid w:val="002041AA"/>
    <w:rsid w:val="00205979"/>
    <w:rsid w:val="00210158"/>
    <w:rsid w:val="00212E59"/>
    <w:rsid w:val="00220656"/>
    <w:rsid w:val="002401C2"/>
    <w:rsid w:val="002536FD"/>
    <w:rsid w:val="0026405B"/>
    <w:rsid w:val="00284262"/>
    <w:rsid w:val="002B1BD5"/>
    <w:rsid w:val="002E0BA8"/>
    <w:rsid w:val="002E7212"/>
    <w:rsid w:val="002F3D9D"/>
    <w:rsid w:val="002F44CF"/>
    <w:rsid w:val="00302A79"/>
    <w:rsid w:val="00347A7B"/>
    <w:rsid w:val="00350423"/>
    <w:rsid w:val="003530DF"/>
    <w:rsid w:val="00365780"/>
    <w:rsid w:val="00371089"/>
    <w:rsid w:val="003752D0"/>
    <w:rsid w:val="00382134"/>
    <w:rsid w:val="003924F9"/>
    <w:rsid w:val="00394840"/>
    <w:rsid w:val="003973DA"/>
    <w:rsid w:val="003A5923"/>
    <w:rsid w:val="003A686F"/>
    <w:rsid w:val="003D0E60"/>
    <w:rsid w:val="003F762F"/>
    <w:rsid w:val="00403A01"/>
    <w:rsid w:val="004344B9"/>
    <w:rsid w:val="00446332"/>
    <w:rsid w:val="00470A6D"/>
    <w:rsid w:val="00486213"/>
    <w:rsid w:val="00494638"/>
    <w:rsid w:val="004D6ACC"/>
    <w:rsid w:val="004E25BD"/>
    <w:rsid w:val="004F1D0E"/>
    <w:rsid w:val="004F2239"/>
    <w:rsid w:val="0051225A"/>
    <w:rsid w:val="00515A32"/>
    <w:rsid w:val="00546F61"/>
    <w:rsid w:val="005540FC"/>
    <w:rsid w:val="00555818"/>
    <w:rsid w:val="00562C15"/>
    <w:rsid w:val="005744F2"/>
    <w:rsid w:val="00590795"/>
    <w:rsid w:val="005907C7"/>
    <w:rsid w:val="005B31A5"/>
    <w:rsid w:val="005B3946"/>
    <w:rsid w:val="005B4912"/>
    <w:rsid w:val="005D6837"/>
    <w:rsid w:val="00620589"/>
    <w:rsid w:val="00654DDB"/>
    <w:rsid w:val="006C4E11"/>
    <w:rsid w:val="006D06B3"/>
    <w:rsid w:val="006D4B9A"/>
    <w:rsid w:val="006E24A0"/>
    <w:rsid w:val="006E54CD"/>
    <w:rsid w:val="0070438A"/>
    <w:rsid w:val="00711A67"/>
    <w:rsid w:val="007123EF"/>
    <w:rsid w:val="00716E5F"/>
    <w:rsid w:val="00730A28"/>
    <w:rsid w:val="007350DE"/>
    <w:rsid w:val="00740993"/>
    <w:rsid w:val="007671C2"/>
    <w:rsid w:val="00767C8E"/>
    <w:rsid w:val="0077498F"/>
    <w:rsid w:val="00781829"/>
    <w:rsid w:val="0078474E"/>
    <w:rsid w:val="007945C6"/>
    <w:rsid w:val="007D504D"/>
    <w:rsid w:val="007D7FDF"/>
    <w:rsid w:val="007F0732"/>
    <w:rsid w:val="007F0E87"/>
    <w:rsid w:val="007F3C9C"/>
    <w:rsid w:val="00814AB9"/>
    <w:rsid w:val="0083270A"/>
    <w:rsid w:val="00842A16"/>
    <w:rsid w:val="00846B60"/>
    <w:rsid w:val="0088299E"/>
    <w:rsid w:val="008A59A2"/>
    <w:rsid w:val="008B493F"/>
    <w:rsid w:val="008F019B"/>
    <w:rsid w:val="0090563D"/>
    <w:rsid w:val="00927E6B"/>
    <w:rsid w:val="00943EEA"/>
    <w:rsid w:val="00990BC1"/>
    <w:rsid w:val="009B4416"/>
    <w:rsid w:val="009D3A08"/>
    <w:rsid w:val="009D55D9"/>
    <w:rsid w:val="009E0966"/>
    <w:rsid w:val="00A02349"/>
    <w:rsid w:val="00A149EB"/>
    <w:rsid w:val="00A85D15"/>
    <w:rsid w:val="00AB10DD"/>
    <w:rsid w:val="00AD1251"/>
    <w:rsid w:val="00AE6BE9"/>
    <w:rsid w:val="00AF5617"/>
    <w:rsid w:val="00B119BA"/>
    <w:rsid w:val="00B163CB"/>
    <w:rsid w:val="00B26A9E"/>
    <w:rsid w:val="00B30838"/>
    <w:rsid w:val="00B36CFD"/>
    <w:rsid w:val="00B530B1"/>
    <w:rsid w:val="00B6163E"/>
    <w:rsid w:val="00B820A8"/>
    <w:rsid w:val="00B92D46"/>
    <w:rsid w:val="00BB372D"/>
    <w:rsid w:val="00BC049B"/>
    <w:rsid w:val="00BC1C39"/>
    <w:rsid w:val="00BD0875"/>
    <w:rsid w:val="00BD266C"/>
    <w:rsid w:val="00BD7096"/>
    <w:rsid w:val="00BF3A52"/>
    <w:rsid w:val="00BF4518"/>
    <w:rsid w:val="00C13EC2"/>
    <w:rsid w:val="00C16A1A"/>
    <w:rsid w:val="00C22496"/>
    <w:rsid w:val="00C44976"/>
    <w:rsid w:val="00C520D0"/>
    <w:rsid w:val="00C90318"/>
    <w:rsid w:val="00CD4D61"/>
    <w:rsid w:val="00CE1282"/>
    <w:rsid w:val="00CE4C2B"/>
    <w:rsid w:val="00CF0C0E"/>
    <w:rsid w:val="00CF1D15"/>
    <w:rsid w:val="00D1268D"/>
    <w:rsid w:val="00D25A81"/>
    <w:rsid w:val="00D32F8D"/>
    <w:rsid w:val="00D378C8"/>
    <w:rsid w:val="00D45B0C"/>
    <w:rsid w:val="00D469E2"/>
    <w:rsid w:val="00D65182"/>
    <w:rsid w:val="00D8258F"/>
    <w:rsid w:val="00D92D82"/>
    <w:rsid w:val="00DF4791"/>
    <w:rsid w:val="00E05BB5"/>
    <w:rsid w:val="00E22E51"/>
    <w:rsid w:val="00E34F00"/>
    <w:rsid w:val="00E418B0"/>
    <w:rsid w:val="00E45614"/>
    <w:rsid w:val="00E61E7D"/>
    <w:rsid w:val="00E65F5F"/>
    <w:rsid w:val="00E77A0A"/>
    <w:rsid w:val="00E845BA"/>
    <w:rsid w:val="00E848B8"/>
    <w:rsid w:val="00E86E47"/>
    <w:rsid w:val="00EA3F3C"/>
    <w:rsid w:val="00EE1734"/>
    <w:rsid w:val="00F00BA8"/>
    <w:rsid w:val="00F218A0"/>
    <w:rsid w:val="00F30C93"/>
    <w:rsid w:val="00F36470"/>
    <w:rsid w:val="00F66966"/>
    <w:rsid w:val="00F66E02"/>
    <w:rsid w:val="00F70813"/>
    <w:rsid w:val="00F70A42"/>
    <w:rsid w:val="00F95A17"/>
    <w:rsid w:val="00FC26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009BD1-987E-46F2-9A30-FF3830A2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4B9"/>
    <w:pPr>
      <w:spacing w:after="0" w:line="240" w:lineRule="auto"/>
    </w:pPr>
    <w:rPr>
      <w:rFonts w:ascii="Arial" w:eastAsia="Times New Roman" w:hAnsi="Arial" w:cs="Times New Roman"/>
      <w:sz w:val="24"/>
      <w:szCs w:val="24"/>
      <w:lang w:val="es-ES" w:eastAsia="es-ES"/>
    </w:rPr>
  </w:style>
  <w:style w:type="paragraph" w:styleId="Ttulo2">
    <w:name w:val="heading 2"/>
    <w:basedOn w:val="Normal"/>
    <w:next w:val="Normal"/>
    <w:link w:val="Ttulo2Car"/>
    <w:uiPriority w:val="9"/>
    <w:unhideWhenUsed/>
    <w:qFormat/>
    <w:rsid w:val="009B4416"/>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344B9"/>
    <w:pPr>
      <w:tabs>
        <w:tab w:val="center" w:pos="4252"/>
        <w:tab w:val="right" w:pos="8504"/>
      </w:tabs>
    </w:pPr>
  </w:style>
  <w:style w:type="character" w:customStyle="1" w:styleId="PiedepginaCar">
    <w:name w:val="Pie de página Car"/>
    <w:basedOn w:val="Fuentedeprrafopredeter"/>
    <w:link w:val="Piedepgina"/>
    <w:uiPriority w:val="99"/>
    <w:rsid w:val="004344B9"/>
    <w:rPr>
      <w:rFonts w:ascii="Arial" w:eastAsia="Times New Roman" w:hAnsi="Arial" w:cs="Times New Roman"/>
      <w:sz w:val="24"/>
      <w:szCs w:val="24"/>
      <w:lang w:val="es-ES" w:eastAsia="es-ES"/>
    </w:rPr>
  </w:style>
  <w:style w:type="character" w:styleId="Nmerodepgina">
    <w:name w:val="page number"/>
    <w:rsid w:val="004344B9"/>
  </w:style>
  <w:style w:type="paragraph" w:styleId="Sangradetextonormal">
    <w:name w:val="Body Text Indent"/>
    <w:basedOn w:val="Normal"/>
    <w:link w:val="SangradetextonormalCar"/>
    <w:uiPriority w:val="99"/>
    <w:unhideWhenUsed/>
    <w:rsid w:val="004344B9"/>
    <w:pPr>
      <w:spacing w:after="120"/>
      <w:ind w:left="283"/>
    </w:pPr>
  </w:style>
  <w:style w:type="character" w:customStyle="1" w:styleId="SangradetextonormalCar">
    <w:name w:val="Sangría de texto normal Car"/>
    <w:basedOn w:val="Fuentedeprrafopredeter"/>
    <w:link w:val="Sangradetextonormal"/>
    <w:uiPriority w:val="99"/>
    <w:rsid w:val="004344B9"/>
    <w:rPr>
      <w:rFonts w:ascii="Arial" w:eastAsia="Times New Roman" w:hAnsi="Arial" w:cs="Times New Roman"/>
      <w:sz w:val="24"/>
      <w:szCs w:val="24"/>
      <w:lang w:val="es-ES" w:eastAsia="es-ES"/>
    </w:rPr>
  </w:style>
  <w:style w:type="paragraph" w:styleId="Prrafodelista">
    <w:name w:val="List Paragraph"/>
    <w:basedOn w:val="Normal"/>
    <w:uiPriority w:val="34"/>
    <w:qFormat/>
    <w:rsid w:val="004344B9"/>
    <w:pPr>
      <w:autoSpaceDE w:val="0"/>
      <w:autoSpaceDN w:val="0"/>
      <w:adjustRightInd w:val="0"/>
      <w:spacing w:after="200" w:line="276" w:lineRule="auto"/>
      <w:ind w:left="720"/>
    </w:pPr>
    <w:rPr>
      <w:rFonts w:ascii="Calibri" w:hAnsi="Calibri" w:cs="Calibri"/>
      <w:sz w:val="22"/>
      <w:szCs w:val="22"/>
    </w:rPr>
  </w:style>
  <w:style w:type="paragraph" w:styleId="NormalWeb">
    <w:name w:val="Normal (Web)"/>
    <w:basedOn w:val="Normal"/>
    <w:uiPriority w:val="99"/>
    <w:semiHidden/>
    <w:unhideWhenUsed/>
    <w:rsid w:val="004344B9"/>
    <w:pPr>
      <w:spacing w:before="100" w:beforeAutospacing="1" w:after="100" w:afterAutospacing="1"/>
    </w:pPr>
    <w:rPr>
      <w:rFonts w:ascii="Times New Roman" w:hAnsi="Times New Roman"/>
      <w:lang w:val="es-MX" w:eastAsia="es-MX"/>
    </w:rPr>
  </w:style>
  <w:style w:type="paragraph" w:styleId="Encabezado">
    <w:name w:val="header"/>
    <w:basedOn w:val="Normal"/>
    <w:link w:val="EncabezadoCar"/>
    <w:uiPriority w:val="99"/>
    <w:unhideWhenUsed/>
    <w:rsid w:val="00D469E2"/>
    <w:pPr>
      <w:tabs>
        <w:tab w:val="center" w:pos="4419"/>
        <w:tab w:val="right" w:pos="8838"/>
      </w:tabs>
    </w:pPr>
  </w:style>
  <w:style w:type="character" w:customStyle="1" w:styleId="EncabezadoCar">
    <w:name w:val="Encabezado Car"/>
    <w:basedOn w:val="Fuentedeprrafopredeter"/>
    <w:link w:val="Encabezado"/>
    <w:uiPriority w:val="99"/>
    <w:rsid w:val="00D469E2"/>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302A79"/>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A79"/>
    <w:rPr>
      <w:rFonts w:ascii="Tahoma" w:eastAsia="Times New Roman" w:hAnsi="Tahoma" w:cs="Tahoma"/>
      <w:sz w:val="16"/>
      <w:szCs w:val="16"/>
      <w:lang w:val="es-ES" w:eastAsia="es-ES"/>
    </w:rPr>
  </w:style>
  <w:style w:type="character" w:customStyle="1" w:styleId="Ttulo2Car">
    <w:name w:val="Título 2 Car"/>
    <w:basedOn w:val="Fuentedeprrafopredeter"/>
    <w:link w:val="Ttulo2"/>
    <w:uiPriority w:val="9"/>
    <w:rsid w:val="009B4416"/>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9B44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5036">
      <w:bodyDiv w:val="1"/>
      <w:marLeft w:val="0"/>
      <w:marRight w:val="0"/>
      <w:marTop w:val="0"/>
      <w:marBottom w:val="0"/>
      <w:divBdr>
        <w:top w:val="none" w:sz="0" w:space="0" w:color="auto"/>
        <w:left w:val="none" w:sz="0" w:space="0" w:color="auto"/>
        <w:bottom w:val="none" w:sz="0" w:space="0" w:color="auto"/>
        <w:right w:val="none" w:sz="0" w:space="0" w:color="auto"/>
      </w:divBdr>
    </w:div>
    <w:div w:id="835264793">
      <w:bodyDiv w:val="1"/>
      <w:marLeft w:val="0"/>
      <w:marRight w:val="0"/>
      <w:marTop w:val="0"/>
      <w:marBottom w:val="0"/>
      <w:divBdr>
        <w:top w:val="none" w:sz="0" w:space="0" w:color="auto"/>
        <w:left w:val="none" w:sz="0" w:space="0" w:color="auto"/>
        <w:bottom w:val="none" w:sz="0" w:space="0" w:color="auto"/>
        <w:right w:val="none" w:sz="0" w:space="0" w:color="auto"/>
      </w:divBdr>
    </w:div>
    <w:div w:id="1746142046">
      <w:bodyDiv w:val="1"/>
      <w:marLeft w:val="0"/>
      <w:marRight w:val="0"/>
      <w:marTop w:val="0"/>
      <w:marBottom w:val="0"/>
      <w:divBdr>
        <w:top w:val="none" w:sz="0" w:space="0" w:color="auto"/>
        <w:left w:val="none" w:sz="0" w:space="0" w:color="auto"/>
        <w:bottom w:val="none" w:sz="0" w:space="0" w:color="auto"/>
        <w:right w:val="none" w:sz="0" w:space="0" w:color="auto"/>
      </w:divBdr>
    </w:div>
    <w:div w:id="20796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2154</Words>
  <Characters>11849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operador_pc</cp:lastModifiedBy>
  <cp:revision>4</cp:revision>
  <cp:lastPrinted>2017-03-22T17:47:00Z</cp:lastPrinted>
  <dcterms:created xsi:type="dcterms:W3CDTF">2017-03-22T17:46:00Z</dcterms:created>
  <dcterms:modified xsi:type="dcterms:W3CDTF">2017-03-22T18:11:00Z</dcterms:modified>
</cp:coreProperties>
</file>