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152264">
      <w:pPr>
        <w:spacing w:line="360" w:lineRule="auto"/>
        <w:jc w:val="both"/>
        <w:rPr>
          <w:rFonts w:cs="Arial"/>
          <w:b/>
        </w:rPr>
      </w:pPr>
      <w:r w:rsidRPr="00152264">
        <w:rPr>
          <w:rFonts w:cs="Arial"/>
          <w:b/>
        </w:rPr>
        <w:t>HONORABLE ASAMBLEA</w:t>
      </w:r>
    </w:p>
    <w:p w:rsidR="004344B9" w:rsidRPr="00152264" w:rsidRDefault="004344B9" w:rsidP="00152264">
      <w:pPr>
        <w:spacing w:line="360" w:lineRule="auto"/>
        <w:jc w:val="both"/>
        <w:rPr>
          <w:rFonts w:cs="Arial"/>
          <w:lang w:val="es-MX"/>
        </w:rPr>
      </w:pPr>
    </w:p>
    <w:p w:rsidR="00227822" w:rsidRDefault="004344B9" w:rsidP="00152264">
      <w:pPr>
        <w:spacing w:line="360" w:lineRule="auto"/>
        <w:ind w:firstLine="708"/>
        <w:jc w:val="both"/>
        <w:rPr>
          <w:rFonts w:cs="Arial"/>
          <w:b/>
        </w:rPr>
      </w:pPr>
      <w:r w:rsidRPr="00152264">
        <w:rPr>
          <w:rFonts w:cs="Arial"/>
          <w:lang w:val="es-MX"/>
        </w:rPr>
        <w:t xml:space="preserve">A la </w:t>
      </w:r>
      <w:r w:rsidRPr="00152264">
        <w:rPr>
          <w:rFonts w:cs="Arial"/>
          <w:b/>
          <w:lang w:val="es-MX"/>
        </w:rPr>
        <w:t>Comisión de Anticorrupción</w:t>
      </w:r>
      <w:r w:rsidRPr="00152264">
        <w:rPr>
          <w:rFonts w:cs="Arial"/>
          <w:lang w:val="es-MX"/>
        </w:rPr>
        <w:t xml:space="preserve">, en fecha </w:t>
      </w:r>
      <w:r w:rsidR="00227822">
        <w:rPr>
          <w:rFonts w:cs="Arial"/>
          <w:lang w:val="es-MX"/>
        </w:rPr>
        <w:t>07</w:t>
      </w:r>
      <w:r w:rsidRPr="00152264">
        <w:rPr>
          <w:rFonts w:cs="Arial"/>
          <w:b/>
          <w:bCs/>
          <w:lang w:val="es-MX"/>
        </w:rPr>
        <w:t xml:space="preserve"> de </w:t>
      </w:r>
      <w:r w:rsidR="00227822">
        <w:rPr>
          <w:rFonts w:cs="Arial"/>
          <w:b/>
          <w:bCs/>
          <w:lang w:val="es-MX"/>
        </w:rPr>
        <w:t xml:space="preserve">diciembre </w:t>
      </w:r>
      <w:r w:rsidRPr="00152264">
        <w:rPr>
          <w:rFonts w:cs="Arial"/>
          <w:b/>
          <w:bCs/>
          <w:lang w:val="es-MX"/>
        </w:rPr>
        <w:t>de 2015</w:t>
      </w:r>
      <w:r w:rsidRPr="00152264">
        <w:rPr>
          <w:rFonts w:cs="Arial"/>
          <w:bCs/>
          <w:lang w:val="es-MX"/>
        </w:rPr>
        <w:t xml:space="preserve">, se </w:t>
      </w:r>
      <w:r w:rsidRPr="00152264">
        <w:rPr>
          <w:rFonts w:cs="Arial"/>
          <w:lang w:val="es-MX"/>
        </w:rPr>
        <w:t xml:space="preserve">turnó, para su estudio y dictamen, el Expediente Legislativo número </w:t>
      </w:r>
      <w:r w:rsidR="00785518" w:rsidRPr="00785518">
        <w:rPr>
          <w:rFonts w:cs="Arial"/>
          <w:b/>
          <w:lang w:val="es-MX"/>
        </w:rPr>
        <w:t>9820</w:t>
      </w:r>
      <w:r w:rsidRPr="00785518">
        <w:rPr>
          <w:rFonts w:cs="Arial"/>
          <w:b/>
          <w:lang w:val="es-MX"/>
        </w:rPr>
        <w:t>/LXX</w:t>
      </w:r>
      <w:r w:rsidR="00785518" w:rsidRPr="00785518">
        <w:rPr>
          <w:rFonts w:cs="Arial"/>
          <w:b/>
          <w:lang w:val="es-MX"/>
        </w:rPr>
        <w:t>IV</w:t>
      </w:r>
      <w:r w:rsidRPr="00152264">
        <w:rPr>
          <w:rFonts w:cs="Arial"/>
          <w:lang w:val="es-MX"/>
        </w:rPr>
        <w:t xml:space="preserve">, </w:t>
      </w:r>
      <w:r w:rsidRPr="00152264">
        <w:rPr>
          <w:rFonts w:cs="Arial"/>
        </w:rPr>
        <w:t>el cual contiene un escrito presentado por los</w:t>
      </w:r>
      <w:r w:rsidRPr="00152264">
        <w:rPr>
          <w:rFonts w:cs="Arial"/>
          <w:b/>
        </w:rPr>
        <w:t xml:space="preserve"> C.C. </w:t>
      </w:r>
      <w:r w:rsidR="00227822">
        <w:rPr>
          <w:rFonts w:cs="Arial"/>
          <w:b/>
        </w:rPr>
        <w:t xml:space="preserve">Gilberto de Jesús Lozano González y Karina Esmeralda Rodríguez Fernández, mediante el cual presenta denuncia en contra del Ayuntamiento de Monterrey, Nuevo León, por las presuntas faltas y hechos en perjuicio de sus personas. </w:t>
      </w:r>
    </w:p>
    <w:p w:rsidR="00227822" w:rsidRDefault="00227822" w:rsidP="00152264">
      <w:pPr>
        <w:spacing w:line="360" w:lineRule="auto"/>
        <w:ind w:firstLine="708"/>
        <w:jc w:val="both"/>
        <w:rPr>
          <w:rFonts w:cs="Arial"/>
          <w:b/>
        </w:rPr>
      </w:pPr>
    </w:p>
    <w:p w:rsidR="004344B9" w:rsidRPr="00152264" w:rsidRDefault="004344B9" w:rsidP="00F95A17">
      <w:pPr>
        <w:pStyle w:val="NormalWeb"/>
        <w:spacing w:line="360" w:lineRule="auto"/>
        <w:ind w:firstLine="708"/>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4344B9">
      <w:pPr>
        <w:spacing w:line="360" w:lineRule="auto"/>
        <w:jc w:val="both"/>
        <w:rPr>
          <w:rFonts w:cs="Arial"/>
          <w:b/>
          <w:lang w:val="es-MX"/>
        </w:rPr>
      </w:pPr>
    </w:p>
    <w:p w:rsidR="004344B9" w:rsidRPr="00152264" w:rsidRDefault="004344B9" w:rsidP="004344B9">
      <w:pPr>
        <w:spacing w:line="360" w:lineRule="auto"/>
        <w:jc w:val="both"/>
        <w:rPr>
          <w:rFonts w:cs="Arial"/>
          <w:b/>
          <w:lang w:val="es-MX"/>
        </w:rPr>
      </w:pPr>
      <w:r w:rsidRPr="00152264">
        <w:rPr>
          <w:rFonts w:cs="Arial"/>
          <w:b/>
          <w:lang w:val="es-MX"/>
        </w:rPr>
        <w:t>ANTECEDENTES</w:t>
      </w:r>
    </w:p>
    <w:p w:rsidR="004344B9" w:rsidRPr="00152264" w:rsidRDefault="004344B9" w:rsidP="004344B9">
      <w:pPr>
        <w:spacing w:line="360" w:lineRule="auto"/>
        <w:jc w:val="both"/>
        <w:rPr>
          <w:rFonts w:cs="Arial"/>
          <w:lang w:val="es-MX"/>
        </w:rPr>
      </w:pPr>
    </w:p>
    <w:p w:rsidR="00227822" w:rsidRDefault="004344B9" w:rsidP="004344B9">
      <w:pPr>
        <w:spacing w:line="360" w:lineRule="auto"/>
        <w:jc w:val="both"/>
        <w:rPr>
          <w:rFonts w:cs="Arial"/>
          <w:lang w:val="es-MX"/>
        </w:rPr>
      </w:pPr>
      <w:r w:rsidRPr="00152264">
        <w:rPr>
          <w:rFonts w:cs="Arial"/>
          <w:lang w:val="es-MX"/>
        </w:rPr>
        <w:t xml:space="preserve">Manifiestan los promoventes que </w:t>
      </w:r>
      <w:r w:rsidR="00227822">
        <w:rPr>
          <w:rFonts w:cs="Arial"/>
          <w:lang w:val="es-MX"/>
        </w:rPr>
        <w:t xml:space="preserve">ocurren a presentar denuncia de hechos y actos que consideran pueden ser delictuosos en contra de los solicitantes y de toda la sociedad de Nuevo León, por lo que solicitan se le </w:t>
      </w:r>
      <w:r w:rsidR="004B1EEB">
        <w:rPr>
          <w:rFonts w:cs="Arial"/>
          <w:lang w:val="es-MX"/>
        </w:rPr>
        <w:t>dé</w:t>
      </w:r>
      <w:r w:rsidR="00227822">
        <w:rPr>
          <w:rFonts w:cs="Arial"/>
          <w:lang w:val="es-MX"/>
        </w:rPr>
        <w:t xml:space="preserve"> efectos de formal querella para el caso de que se pueda configurar algún delito de </w:t>
      </w:r>
      <w:r w:rsidR="00227822">
        <w:rPr>
          <w:rFonts w:cs="Arial"/>
          <w:lang w:val="es-MX"/>
        </w:rPr>
        <w:lastRenderedPageBreak/>
        <w:t xml:space="preserve">instancia de parte ofendida en contra de los miembros del </w:t>
      </w:r>
      <w:r w:rsidR="004B1EEB">
        <w:rPr>
          <w:rFonts w:cs="Arial"/>
          <w:lang w:val="es-MX"/>
        </w:rPr>
        <w:t>Ayuntamiento</w:t>
      </w:r>
      <w:r w:rsidR="00227822">
        <w:rPr>
          <w:rFonts w:cs="Arial"/>
          <w:lang w:val="es-MX"/>
        </w:rPr>
        <w:t xml:space="preserve"> del Municipio de </w:t>
      </w:r>
      <w:r w:rsidR="004B1EEB">
        <w:rPr>
          <w:rFonts w:cs="Arial"/>
          <w:lang w:val="es-MX"/>
        </w:rPr>
        <w:t xml:space="preserve">Monterrey. </w:t>
      </w:r>
    </w:p>
    <w:p w:rsidR="00FE3561" w:rsidRDefault="00FE3561" w:rsidP="004344B9">
      <w:pPr>
        <w:spacing w:line="360" w:lineRule="auto"/>
        <w:jc w:val="both"/>
        <w:rPr>
          <w:rFonts w:cs="Arial"/>
          <w:lang w:val="es-MX"/>
        </w:rPr>
      </w:pPr>
    </w:p>
    <w:p w:rsidR="004B1EEB" w:rsidRDefault="004B1EEB" w:rsidP="004344B9">
      <w:pPr>
        <w:spacing w:line="360" w:lineRule="auto"/>
        <w:jc w:val="both"/>
        <w:rPr>
          <w:rFonts w:cs="Arial"/>
          <w:lang w:val="es-MX"/>
        </w:rPr>
      </w:pPr>
      <w:r>
        <w:rPr>
          <w:rFonts w:cs="Arial"/>
          <w:lang w:val="es-MX"/>
        </w:rPr>
        <w:t xml:space="preserve">Manifiestan los promoventes </w:t>
      </w:r>
      <w:r w:rsidR="00FE3561">
        <w:rPr>
          <w:rFonts w:cs="Arial"/>
          <w:lang w:val="es-MX"/>
        </w:rPr>
        <w:t xml:space="preserve">que son ciudadanos libres en pleno uso y ejercicio de sus derechos civiles y políticos, que pertenecen </w:t>
      </w:r>
      <w:r w:rsidR="00AC5EC0">
        <w:rPr>
          <w:rFonts w:cs="Arial"/>
          <w:lang w:val="es-MX"/>
        </w:rPr>
        <w:t>a</w:t>
      </w:r>
      <w:r w:rsidR="00FE3561">
        <w:rPr>
          <w:rFonts w:cs="Arial"/>
          <w:lang w:val="es-MX"/>
        </w:rPr>
        <w:t xml:space="preserve">l colectivo Congreso Nacional Ciudadano, mismo que presiden a nivel nacional, organización social apartidista, con más de un millón cuatrocientos mil agremiados, mismos que se han dado a la tarea de ser dignos vigilantes del quehacer diario de sus representantes de elección popular y funcionarios públicos de los 3-tres niveles de gobierno, en su calidad de mandantes constitucionales </w:t>
      </w:r>
      <w:r w:rsidR="00AC5EC0">
        <w:rPr>
          <w:rFonts w:cs="Arial"/>
          <w:lang w:val="es-MX"/>
        </w:rPr>
        <w:t xml:space="preserve">conforme al </w:t>
      </w:r>
      <w:r w:rsidR="00FE3561">
        <w:rPr>
          <w:rFonts w:cs="Arial"/>
          <w:lang w:val="es-MX"/>
        </w:rPr>
        <w:t>artículo 39 de la carta magna.</w:t>
      </w:r>
    </w:p>
    <w:p w:rsidR="00FE3561" w:rsidRDefault="00FE3561" w:rsidP="004344B9">
      <w:pPr>
        <w:spacing w:line="360" w:lineRule="auto"/>
        <w:jc w:val="both"/>
        <w:rPr>
          <w:rFonts w:cs="Arial"/>
          <w:lang w:val="es-MX"/>
        </w:rPr>
      </w:pPr>
    </w:p>
    <w:p w:rsidR="00FE3561" w:rsidRDefault="00AC5EC0" w:rsidP="004344B9">
      <w:pPr>
        <w:spacing w:line="360" w:lineRule="auto"/>
        <w:jc w:val="both"/>
        <w:rPr>
          <w:rFonts w:cs="Arial"/>
          <w:lang w:val="es-MX"/>
        </w:rPr>
      </w:pPr>
      <w:r>
        <w:rPr>
          <w:rFonts w:cs="Arial"/>
          <w:lang w:val="es-MX"/>
        </w:rPr>
        <w:t xml:space="preserve">Así mismo señalan, que en sesión de Cabildo de Monterrey se autorizó el día 27 de noviembre, al Alcalde Adrián de la Garza pedir hasta 600 millones de pesos de deuda, el mayor financiamiento en años, como lo demuestran las actas de cabildo. </w:t>
      </w:r>
    </w:p>
    <w:p w:rsidR="00AC5EC0" w:rsidRDefault="00AC5EC0" w:rsidP="004344B9">
      <w:pPr>
        <w:spacing w:line="360" w:lineRule="auto"/>
        <w:jc w:val="both"/>
        <w:rPr>
          <w:rFonts w:cs="Arial"/>
          <w:lang w:val="es-MX"/>
        </w:rPr>
      </w:pPr>
    </w:p>
    <w:p w:rsidR="00FE3561" w:rsidRDefault="00AC5EC0" w:rsidP="004344B9">
      <w:pPr>
        <w:spacing w:line="360" w:lineRule="auto"/>
        <w:jc w:val="both"/>
        <w:rPr>
          <w:rFonts w:cs="Arial"/>
          <w:lang w:val="es-MX"/>
        </w:rPr>
      </w:pPr>
      <w:r>
        <w:rPr>
          <w:rFonts w:cs="Arial"/>
          <w:lang w:val="es-MX"/>
        </w:rPr>
        <w:t xml:space="preserve">Que los Regidores avalaron que De la Garza solicitara 200 millones de pesos para cerrar el año, lo que iría a gasto corriente, situación que viola la Constitución Federal en su numeral 117 fracción VIII. </w:t>
      </w:r>
    </w:p>
    <w:p w:rsidR="00FE3561" w:rsidRDefault="00FE3561" w:rsidP="004344B9">
      <w:pPr>
        <w:spacing w:line="360" w:lineRule="auto"/>
        <w:jc w:val="both"/>
        <w:rPr>
          <w:rFonts w:cs="Arial"/>
          <w:lang w:val="es-MX"/>
        </w:rPr>
      </w:pPr>
    </w:p>
    <w:p w:rsidR="00FE3561" w:rsidRDefault="002D423A" w:rsidP="004344B9">
      <w:pPr>
        <w:spacing w:line="360" w:lineRule="auto"/>
        <w:jc w:val="both"/>
        <w:rPr>
          <w:rFonts w:cs="Arial"/>
          <w:lang w:val="es-MX"/>
        </w:rPr>
      </w:pPr>
      <w:r>
        <w:rPr>
          <w:rFonts w:cs="Arial"/>
          <w:lang w:val="es-MX"/>
        </w:rPr>
        <w:t xml:space="preserve">Que se viola la Constitución porque el préstamo no irá dirigido a inversiones públicas productivas sino para cubrir déficit o pago de pasivos. </w:t>
      </w:r>
    </w:p>
    <w:p w:rsidR="002D423A" w:rsidRDefault="002D423A" w:rsidP="004344B9">
      <w:pPr>
        <w:spacing w:line="360" w:lineRule="auto"/>
        <w:jc w:val="both"/>
        <w:rPr>
          <w:rFonts w:cs="Arial"/>
          <w:lang w:val="es-MX"/>
        </w:rPr>
      </w:pPr>
    </w:p>
    <w:p w:rsidR="004B1EEB" w:rsidRPr="00C106B6" w:rsidRDefault="00C106B6" w:rsidP="00C106B6">
      <w:pPr>
        <w:spacing w:line="360" w:lineRule="auto"/>
        <w:ind w:left="708"/>
        <w:jc w:val="both"/>
        <w:rPr>
          <w:rFonts w:cs="Arial"/>
          <w:i/>
          <w:lang w:val="es-MX"/>
        </w:rPr>
      </w:pPr>
      <w:r w:rsidRPr="00C106B6">
        <w:rPr>
          <w:rFonts w:cs="Arial"/>
          <w:i/>
          <w:lang w:val="es-MX"/>
        </w:rPr>
        <w:t xml:space="preserve">Artículo 117.- Los Estados no pueden, en ningún caso: </w:t>
      </w:r>
    </w:p>
    <w:p w:rsidR="00C106B6" w:rsidRPr="00C106B6" w:rsidRDefault="00C106B6" w:rsidP="00C106B6">
      <w:pPr>
        <w:spacing w:line="360" w:lineRule="auto"/>
        <w:ind w:left="708"/>
        <w:jc w:val="both"/>
        <w:rPr>
          <w:rFonts w:cs="Arial"/>
          <w:i/>
          <w:lang w:val="es-MX"/>
        </w:rPr>
      </w:pPr>
      <w:r w:rsidRPr="00C106B6">
        <w:rPr>
          <w:rFonts w:cs="Arial"/>
          <w:i/>
          <w:lang w:val="es-MX"/>
        </w:rPr>
        <w:lastRenderedPageBreak/>
        <w:t xml:space="preserve">VIII.- Contraer directa o indirectamente obligaciones o empréstitos con gobiernos de otras naciones, con sociedades o particulares extranjeros, o cuando deban pagarse en moneda extranjera o fuera del territorio nacional. </w:t>
      </w:r>
    </w:p>
    <w:p w:rsidR="00C106B6" w:rsidRDefault="00C106B6" w:rsidP="004344B9">
      <w:pPr>
        <w:spacing w:line="360" w:lineRule="auto"/>
        <w:jc w:val="both"/>
        <w:rPr>
          <w:rFonts w:cs="Arial"/>
          <w:lang w:val="es-MX"/>
        </w:rPr>
      </w:pPr>
    </w:p>
    <w:p w:rsidR="00C106B6" w:rsidRDefault="00D5091A" w:rsidP="004344B9">
      <w:pPr>
        <w:spacing w:line="360" w:lineRule="auto"/>
        <w:jc w:val="both"/>
        <w:rPr>
          <w:rFonts w:cs="Arial"/>
          <w:lang w:val="es-MX"/>
        </w:rPr>
      </w:pPr>
      <w:r>
        <w:rPr>
          <w:rFonts w:cs="Arial"/>
          <w:lang w:val="es-MX"/>
        </w:rPr>
        <w:t xml:space="preserve">Señala que el Procurador es competente para conocer de la denuncia que presenta y en su caso, formal querella, de conformidad con lo dispuesto por el artículo 21 de la Constitución General de la República; así como en los numerales 1, 2, 3 y demás relativos del Código Penal del Estado. </w:t>
      </w:r>
    </w:p>
    <w:p w:rsidR="00D5091A" w:rsidRDefault="00D5091A" w:rsidP="004344B9">
      <w:pPr>
        <w:spacing w:line="360" w:lineRule="auto"/>
        <w:jc w:val="both"/>
        <w:rPr>
          <w:rFonts w:cs="Arial"/>
          <w:lang w:val="es-MX"/>
        </w:rPr>
      </w:pPr>
    </w:p>
    <w:p w:rsidR="00DC49DD" w:rsidRDefault="00C15035" w:rsidP="004344B9">
      <w:pPr>
        <w:spacing w:line="360" w:lineRule="auto"/>
        <w:jc w:val="both"/>
        <w:rPr>
          <w:rFonts w:cs="Arial"/>
          <w:lang w:val="es-MX"/>
        </w:rPr>
      </w:pPr>
      <w:r>
        <w:rPr>
          <w:rFonts w:cs="Arial"/>
          <w:lang w:val="es-MX"/>
        </w:rPr>
        <w:t>El promovente solicita se</w:t>
      </w:r>
      <w:r w:rsidR="00DC49DD">
        <w:rPr>
          <w:rFonts w:cs="Arial"/>
          <w:lang w:val="es-MX"/>
        </w:rPr>
        <w:t xml:space="preserve"> tenga por presentand</w:t>
      </w:r>
      <w:r>
        <w:rPr>
          <w:rFonts w:cs="Arial"/>
          <w:lang w:val="es-MX"/>
        </w:rPr>
        <w:t>a</w:t>
      </w:r>
      <w:r w:rsidR="00DC49DD">
        <w:rPr>
          <w:rFonts w:cs="Arial"/>
          <w:lang w:val="es-MX"/>
        </w:rPr>
        <w:t xml:space="preserve"> denuncia de hechos y actos, en su caso, formal querella, debiéndose ordenar su ratificación, se giren cuantas cedulas citatorias se requieran y se realicen las investigaciones necesarias para el </w:t>
      </w:r>
      <w:r w:rsidR="000D18BB">
        <w:rPr>
          <w:rFonts w:cs="Arial"/>
          <w:lang w:val="es-MX"/>
        </w:rPr>
        <w:t>esclarecimiento</w:t>
      </w:r>
      <w:r w:rsidR="00DC49DD">
        <w:rPr>
          <w:rFonts w:cs="Arial"/>
          <w:lang w:val="es-MX"/>
        </w:rPr>
        <w:t xml:space="preserve"> de los hechos, hasta la debida consignación de la indagatoria que se forme, con pedimento de orden de aprehensión en contra de los presuntos responsables</w:t>
      </w:r>
      <w:r w:rsidR="001F5B7C">
        <w:rPr>
          <w:rFonts w:cs="Arial"/>
          <w:lang w:val="es-MX"/>
        </w:rPr>
        <w:t xml:space="preserve">. </w:t>
      </w:r>
    </w:p>
    <w:p w:rsidR="00227822" w:rsidRDefault="00227822" w:rsidP="004344B9">
      <w:pPr>
        <w:spacing w:line="360" w:lineRule="auto"/>
        <w:jc w:val="both"/>
        <w:rPr>
          <w:rFonts w:cs="Arial"/>
          <w:lang w:val="es-MX"/>
        </w:rPr>
      </w:pPr>
    </w:p>
    <w:p w:rsidR="00C44976" w:rsidRPr="00152264" w:rsidRDefault="00C44976" w:rsidP="00C44976">
      <w:pPr>
        <w:spacing w:line="360" w:lineRule="auto"/>
        <w:ind w:right="389" w:firstLine="708"/>
        <w:jc w:val="both"/>
        <w:rPr>
          <w:rFonts w:cs="Arial"/>
        </w:rPr>
      </w:pPr>
      <w:r w:rsidRPr="00152264">
        <w:rPr>
          <w:rFonts w:cs="Arial"/>
        </w:rPr>
        <w:t xml:space="preserve">Una vez analizada la solicitud de mérito y con fundamento en el artículo 47 </w:t>
      </w:r>
      <w:r w:rsidR="009D3A08" w:rsidRPr="00152264">
        <w:rPr>
          <w:rFonts w:cs="Arial"/>
        </w:rPr>
        <w:t>inciso</w:t>
      </w:r>
      <w:r w:rsidRPr="00152264">
        <w:rPr>
          <w:rFonts w:cs="Arial"/>
        </w:rPr>
        <w:t xml:space="preserve"> c) del Reglamento para el Gobierno Interior del Congreso del Estado de Nuevo León, hacemos de s</w:t>
      </w:r>
      <w:r w:rsidR="00D378C8" w:rsidRPr="00152264">
        <w:rPr>
          <w:rFonts w:cs="Arial"/>
        </w:rPr>
        <w:t xml:space="preserve">u conocimiento las siguientes: </w:t>
      </w:r>
    </w:p>
    <w:p w:rsidR="00C44976" w:rsidRDefault="00C44976" w:rsidP="00C44976">
      <w:pPr>
        <w:spacing w:line="360" w:lineRule="auto"/>
        <w:ind w:right="389" w:firstLine="708"/>
        <w:jc w:val="both"/>
        <w:rPr>
          <w:rFonts w:cs="Arial"/>
        </w:rPr>
      </w:pPr>
    </w:p>
    <w:p w:rsidR="00785518" w:rsidRDefault="00785518" w:rsidP="00C44976">
      <w:pPr>
        <w:spacing w:line="360" w:lineRule="auto"/>
        <w:ind w:right="389" w:firstLine="708"/>
        <w:jc w:val="both"/>
        <w:rPr>
          <w:rFonts w:cs="Arial"/>
        </w:rPr>
      </w:pPr>
    </w:p>
    <w:p w:rsidR="00785518" w:rsidRDefault="00785518" w:rsidP="00C44976">
      <w:pPr>
        <w:spacing w:line="360" w:lineRule="auto"/>
        <w:ind w:right="389" w:firstLine="708"/>
        <w:jc w:val="both"/>
        <w:rPr>
          <w:rFonts w:cs="Arial"/>
        </w:rPr>
      </w:pPr>
    </w:p>
    <w:p w:rsidR="00785518" w:rsidRPr="00152264" w:rsidRDefault="00785518" w:rsidP="00C44976">
      <w:pPr>
        <w:spacing w:line="360" w:lineRule="auto"/>
        <w:ind w:right="389" w:firstLine="708"/>
        <w:jc w:val="both"/>
        <w:rPr>
          <w:rFonts w:cs="Arial"/>
        </w:rPr>
      </w:pPr>
    </w:p>
    <w:p w:rsidR="00C44976" w:rsidRPr="00152264" w:rsidRDefault="00C44976" w:rsidP="00C44976">
      <w:pPr>
        <w:spacing w:line="360" w:lineRule="auto"/>
        <w:ind w:firstLine="708"/>
        <w:jc w:val="both"/>
        <w:outlineLvl w:val="0"/>
        <w:rPr>
          <w:rFonts w:cs="Arial"/>
          <w:b/>
          <w:bCs/>
        </w:rPr>
      </w:pPr>
      <w:r w:rsidRPr="00152264">
        <w:rPr>
          <w:rFonts w:cs="Arial"/>
          <w:b/>
          <w:bCs/>
        </w:rPr>
        <w:lastRenderedPageBreak/>
        <w:t>CONSIDERACIONES</w:t>
      </w:r>
    </w:p>
    <w:p w:rsidR="00D378C8" w:rsidRPr="00152264" w:rsidRDefault="00D378C8" w:rsidP="00D378C8">
      <w:pPr>
        <w:spacing w:line="360" w:lineRule="auto"/>
        <w:ind w:firstLine="708"/>
        <w:jc w:val="both"/>
        <w:outlineLvl w:val="0"/>
        <w:rPr>
          <w:rFonts w:cs="Arial"/>
          <w:b/>
          <w:bCs/>
        </w:rPr>
      </w:pPr>
    </w:p>
    <w:p w:rsidR="00D378C8" w:rsidRPr="00152264" w:rsidRDefault="00D378C8" w:rsidP="00D378C8">
      <w:pPr>
        <w:spacing w:line="360" w:lineRule="auto"/>
        <w:ind w:right="530" w:firstLine="708"/>
        <w:jc w:val="both"/>
        <w:rPr>
          <w:rFonts w:cs="Arial"/>
        </w:rPr>
      </w:pPr>
      <w:r w:rsidRPr="00152264">
        <w:rPr>
          <w:rFonts w:cs="Arial"/>
        </w:rPr>
        <w:t xml:space="preserve">La competencia que le resulta a esta Comisión Anticorrupción para conocer de los asuntos que le fueron turnados, se encuentra sustentada por los numerales 70 fracción XXI, y demás relativos de la Ley Orgánica del Poder Legislativo del Estado de Nuevo León, así como lo dispuesto en los artículos 37 y 39 fracción </w:t>
      </w:r>
      <w:r w:rsidR="00D92D82" w:rsidRPr="00152264">
        <w:rPr>
          <w:rFonts w:cs="Arial"/>
        </w:rPr>
        <w:t xml:space="preserve">XXI </w:t>
      </w:r>
      <w:r w:rsidRPr="00152264">
        <w:rPr>
          <w:rFonts w:cs="Arial"/>
        </w:rPr>
        <w:t>del Reglamento para el Gobierno Interior del Congreso del Estado de Nuevo León.</w:t>
      </w:r>
    </w:p>
    <w:p w:rsidR="00C44976" w:rsidRPr="00152264" w:rsidRDefault="00C44976" w:rsidP="00C44976">
      <w:pPr>
        <w:spacing w:line="360" w:lineRule="auto"/>
        <w:ind w:firstLine="708"/>
        <w:jc w:val="both"/>
        <w:outlineLvl w:val="0"/>
        <w:rPr>
          <w:rFonts w:cs="Arial"/>
          <w:b/>
          <w:bCs/>
        </w:rPr>
      </w:pPr>
    </w:p>
    <w:p w:rsidR="004344B9" w:rsidRPr="00152264" w:rsidRDefault="004344B9" w:rsidP="004344B9">
      <w:pPr>
        <w:spacing w:line="360" w:lineRule="auto"/>
        <w:ind w:firstLine="708"/>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 de petición que le asiste a los </w:t>
      </w:r>
      <w:r w:rsidR="00D92D82" w:rsidRPr="00152264">
        <w:rPr>
          <w:rFonts w:cs="Arial"/>
          <w:lang w:val="es-MX"/>
        </w:rPr>
        <w:t>solicitantes</w:t>
      </w:r>
      <w:r w:rsidRPr="00152264">
        <w:rPr>
          <w:rFonts w:cs="Arial"/>
          <w:lang w:val="es-MX"/>
        </w:rPr>
        <w:t>,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w:t>
      </w:r>
      <w:r w:rsidR="00D92D82" w:rsidRPr="00152264">
        <w:rPr>
          <w:rFonts w:cs="Arial"/>
          <w:lang w:val="es-MX"/>
        </w:rPr>
        <w:t>b</w:t>
      </w:r>
      <w:r w:rsidRPr="00152264">
        <w:rPr>
          <w:rFonts w:cs="Arial"/>
          <w:lang w:val="es-MX"/>
        </w:rPr>
        <w:t xml:space="preserve">ocarnos al estudio y análisis de las cuestiones sometidas a resolución de esta Comisión por los denunciantes señalados en el proemio de este </w:t>
      </w:r>
      <w:r w:rsidR="00D92D82" w:rsidRPr="00152264">
        <w:rPr>
          <w:rFonts w:cs="Arial"/>
          <w:lang w:val="es-MX"/>
        </w:rPr>
        <w:t>dictamen</w:t>
      </w:r>
      <w:r w:rsidRPr="00152264">
        <w:rPr>
          <w:rFonts w:cs="Arial"/>
          <w:lang w:val="es-MX"/>
        </w:rPr>
        <w:t>, con el objeto de precisar, de conformidad con la normatividad aplicable y en observancia al principio de legalidad, los términos en que habrá de producirse la contestación respectiva a los puntos petitorios:</w:t>
      </w:r>
    </w:p>
    <w:p w:rsidR="004344B9" w:rsidRPr="00152264" w:rsidRDefault="004344B9" w:rsidP="004344B9">
      <w:pPr>
        <w:spacing w:line="360" w:lineRule="auto"/>
        <w:rPr>
          <w:rFonts w:cs="Arial"/>
          <w:b/>
          <w:lang w:val="es-MX"/>
        </w:rPr>
      </w:pPr>
    </w:p>
    <w:p w:rsidR="00E7027F" w:rsidRDefault="004344B9" w:rsidP="004344B9">
      <w:pPr>
        <w:spacing w:line="360" w:lineRule="auto"/>
        <w:ind w:firstLine="708"/>
        <w:jc w:val="both"/>
        <w:rPr>
          <w:rFonts w:cs="Arial"/>
          <w:lang w:val="es-MX"/>
        </w:rPr>
      </w:pPr>
      <w:r w:rsidRPr="00152264">
        <w:rPr>
          <w:rFonts w:cs="Arial"/>
          <w:b/>
          <w:lang w:val="es-MX"/>
        </w:rPr>
        <w:t>Primero.-</w:t>
      </w:r>
      <w:r w:rsidR="000D18BB">
        <w:rPr>
          <w:rFonts w:cs="Arial"/>
          <w:b/>
          <w:lang w:val="es-MX"/>
        </w:rPr>
        <w:t xml:space="preserve"> </w:t>
      </w:r>
      <w:r w:rsidRPr="00152264">
        <w:rPr>
          <w:rFonts w:cs="Arial"/>
          <w:lang w:val="es-MX"/>
        </w:rPr>
        <w:t xml:space="preserve">Para la procedencia del dictamen, de conformidad con el artículo 17 de la Ley de Responsabilidades de los Servidores Públicos del Estado y Municipios de Nuevo León, es menester que los promoventes ratifiquen su denuncia dentro de los tres días hábiles siguientes al de su </w:t>
      </w:r>
      <w:r w:rsidRPr="00152264">
        <w:rPr>
          <w:rFonts w:cs="Arial"/>
          <w:lang w:val="es-MX"/>
        </w:rPr>
        <w:lastRenderedPageBreak/>
        <w:t>presentación. En el caso que nos ocupa, la promovente</w:t>
      </w:r>
      <w:r w:rsidRPr="00152264">
        <w:rPr>
          <w:rFonts w:cs="Arial"/>
          <w:b/>
          <w:lang w:val="es-MX"/>
        </w:rPr>
        <w:t>,</w:t>
      </w:r>
      <w:r w:rsidRPr="00152264">
        <w:rPr>
          <w:rFonts w:cs="Arial"/>
          <w:lang w:val="es-MX"/>
        </w:rPr>
        <w:t xml:space="preserve"> presenta su denuncia ante la Oficialía Mayor de este H. Congreso del Estado, </w:t>
      </w:r>
      <w:r w:rsidR="00E7027F">
        <w:rPr>
          <w:rFonts w:cs="Arial"/>
          <w:lang w:val="es-MX"/>
        </w:rPr>
        <w:t xml:space="preserve">sin ratificarla. </w:t>
      </w:r>
    </w:p>
    <w:p w:rsidR="00E7027F" w:rsidRPr="00152264" w:rsidRDefault="00E7027F" w:rsidP="00E7027F">
      <w:pPr>
        <w:spacing w:line="360" w:lineRule="auto"/>
        <w:ind w:firstLine="708"/>
        <w:jc w:val="both"/>
        <w:rPr>
          <w:rFonts w:cs="Arial"/>
          <w:lang w:val="es-MX"/>
        </w:rPr>
      </w:pPr>
      <w:r w:rsidRPr="00152264">
        <w:rPr>
          <w:rFonts w:cs="Arial"/>
          <w:lang w:val="es-MX"/>
        </w:rPr>
        <w:t xml:space="preserve">Es por ello que en fecha </w:t>
      </w:r>
      <w:r>
        <w:rPr>
          <w:rFonts w:cs="Arial"/>
          <w:lang w:val="es-MX"/>
        </w:rPr>
        <w:t>25</w:t>
      </w:r>
      <w:r w:rsidRPr="00152264">
        <w:rPr>
          <w:rFonts w:cs="Arial"/>
          <w:lang w:val="es-MX"/>
        </w:rPr>
        <w:t xml:space="preserve"> de febrero de 2016 se hizo efectiva la prevención al promovente para que cumpliera con el requisito esencial de </w:t>
      </w:r>
      <w:r w:rsidRPr="00D821D2">
        <w:rPr>
          <w:rFonts w:cs="Arial"/>
          <w:b/>
          <w:lang w:val="es-MX"/>
        </w:rPr>
        <w:t>ratificar su escrito inicial de denuncia</w:t>
      </w:r>
      <w:r w:rsidRPr="00152264">
        <w:rPr>
          <w:rFonts w:cs="Arial"/>
          <w:lang w:val="es-MX"/>
        </w:rPr>
        <w:t>.</w:t>
      </w:r>
    </w:p>
    <w:p w:rsidR="004344B9" w:rsidRPr="00152264" w:rsidRDefault="004344B9" w:rsidP="004344B9">
      <w:pPr>
        <w:spacing w:line="360" w:lineRule="auto"/>
        <w:ind w:firstLine="708"/>
        <w:jc w:val="both"/>
        <w:rPr>
          <w:rFonts w:cs="Arial"/>
          <w:lang w:val="es-MX"/>
        </w:rPr>
      </w:pPr>
    </w:p>
    <w:p w:rsidR="004344B9" w:rsidRPr="00152264" w:rsidRDefault="004344B9" w:rsidP="004344B9">
      <w:pPr>
        <w:spacing w:line="360" w:lineRule="auto"/>
        <w:ind w:firstLine="708"/>
        <w:jc w:val="both"/>
        <w:rPr>
          <w:rFonts w:cs="Arial"/>
          <w:lang w:val="es-MX"/>
        </w:rPr>
      </w:pPr>
      <w:r w:rsidRPr="00152264">
        <w:rPr>
          <w:rFonts w:cs="Arial"/>
          <w:b/>
          <w:lang w:val="es-MX"/>
        </w:rPr>
        <w:t xml:space="preserve">Segundo.- </w:t>
      </w:r>
      <w:r w:rsidRPr="00152264">
        <w:rPr>
          <w:rFonts w:cs="Arial"/>
          <w:lang w:val="es-MX"/>
        </w:rPr>
        <w:t xml:space="preserve">Conforme a lo establecido en los artículos 109 de la Constitución Política del Estado y 13 de la Ley de Responsabilidades de los Servidores Públicos del Estado y Municipios de Nuevo León, las denuncias de acción popular que se presenten ante el Congreso del Estado deberán necesariamente presentarse </w:t>
      </w:r>
      <w:r w:rsidRPr="00152264">
        <w:rPr>
          <w:rFonts w:cs="Arial"/>
          <w:b/>
          <w:i/>
          <w:lang w:val="es-MX"/>
        </w:rPr>
        <w:t>bajo protesta de decir verdad</w:t>
      </w:r>
      <w:r w:rsidRPr="00152264">
        <w:rPr>
          <w:rFonts w:cs="Arial"/>
          <w:lang w:val="es-MX"/>
        </w:rPr>
        <w:t xml:space="preserve"> y fundarse en elementos de prueba que hagan presumir de manera fehaciente la ilicitud, así como la probable responsabilidad del servidor público denunciado.</w:t>
      </w:r>
    </w:p>
    <w:p w:rsidR="004344B9" w:rsidRPr="00152264" w:rsidRDefault="004344B9" w:rsidP="004344B9">
      <w:pPr>
        <w:spacing w:line="360" w:lineRule="auto"/>
        <w:ind w:firstLine="708"/>
        <w:jc w:val="both"/>
        <w:rPr>
          <w:rFonts w:cs="Arial"/>
          <w:lang w:val="es-MX"/>
        </w:rPr>
      </w:pPr>
    </w:p>
    <w:p w:rsidR="004344B9" w:rsidRPr="00152264" w:rsidRDefault="004344B9" w:rsidP="004344B9">
      <w:pPr>
        <w:spacing w:line="360" w:lineRule="auto"/>
        <w:ind w:firstLine="708"/>
        <w:jc w:val="both"/>
        <w:rPr>
          <w:rFonts w:cs="Arial"/>
          <w:lang w:val="es-MX"/>
        </w:rPr>
      </w:pPr>
      <w:r w:rsidRPr="00152264">
        <w:rPr>
          <w:rFonts w:cs="Arial"/>
          <w:lang w:val="es-MX"/>
        </w:rPr>
        <w:t xml:space="preserve">Es por ello que en fecha </w:t>
      </w:r>
      <w:r w:rsidR="00E7027F">
        <w:rPr>
          <w:rFonts w:cs="Arial"/>
          <w:lang w:val="es-MX"/>
        </w:rPr>
        <w:t>25</w:t>
      </w:r>
      <w:r w:rsidRPr="00152264">
        <w:rPr>
          <w:rFonts w:cs="Arial"/>
          <w:lang w:val="es-MX"/>
        </w:rPr>
        <w:t xml:space="preserve"> de febrero de 2016 se hizo efectiva la prevención al promovente para que cumpliera con el requisito esencial de procedibilidad solicitándole que </w:t>
      </w:r>
      <w:r w:rsidRPr="00152264">
        <w:rPr>
          <w:rFonts w:cs="Arial"/>
          <w:b/>
          <w:lang w:val="es-MX"/>
        </w:rPr>
        <w:t xml:space="preserve">Manifieste bajo protesta de decir verdad </w:t>
      </w:r>
      <w:r w:rsidRPr="00152264">
        <w:rPr>
          <w:rFonts w:cs="Arial"/>
          <w:lang w:val="es-MX"/>
        </w:rPr>
        <w:t>respecto a las conductas a que se refiere en su escrito inicial de denuncia.</w:t>
      </w:r>
    </w:p>
    <w:p w:rsidR="004344B9" w:rsidRPr="00152264" w:rsidRDefault="004344B9" w:rsidP="004344B9">
      <w:pPr>
        <w:spacing w:line="360" w:lineRule="auto"/>
        <w:ind w:firstLine="708"/>
        <w:jc w:val="both"/>
        <w:rPr>
          <w:rFonts w:cs="Arial"/>
          <w:lang w:val="es-MX"/>
        </w:rPr>
      </w:pPr>
    </w:p>
    <w:p w:rsidR="004344B9" w:rsidRPr="00152264" w:rsidRDefault="004344B9" w:rsidP="004344B9">
      <w:pPr>
        <w:spacing w:line="360" w:lineRule="auto"/>
        <w:ind w:firstLine="708"/>
        <w:jc w:val="both"/>
        <w:rPr>
          <w:rFonts w:cs="Arial"/>
          <w:b/>
          <w:lang w:val="es-MX"/>
        </w:rPr>
      </w:pPr>
      <w:r w:rsidRPr="004E25BD">
        <w:rPr>
          <w:rFonts w:cs="Arial"/>
          <w:lang w:val="es-MX"/>
        </w:rPr>
        <w:t xml:space="preserve">Ahora bien y en virtud de que la promovente </w:t>
      </w:r>
      <w:r w:rsidR="006155E4">
        <w:rPr>
          <w:rFonts w:cs="Arial"/>
          <w:lang w:val="es-MX"/>
        </w:rPr>
        <w:t xml:space="preserve">no dio cabal cumplimiento dentro de los tres días posteriores a la notificación, término señalado dentro del ocurso notificado en </w:t>
      </w:r>
      <w:r w:rsidRPr="004E25BD">
        <w:rPr>
          <w:rFonts w:cs="Arial"/>
          <w:lang w:val="es-MX"/>
        </w:rPr>
        <w:t>fecha veintic</w:t>
      </w:r>
      <w:r w:rsidR="00D821D2">
        <w:rPr>
          <w:rFonts w:cs="Arial"/>
          <w:lang w:val="es-MX"/>
        </w:rPr>
        <w:t xml:space="preserve">inco </w:t>
      </w:r>
      <w:r w:rsidRPr="004E25BD">
        <w:rPr>
          <w:rFonts w:cs="Arial"/>
          <w:lang w:val="es-MX"/>
        </w:rPr>
        <w:t>de febrero de la presente anualidad, por lo que se tiene</w:t>
      </w:r>
      <w:r w:rsidRPr="00152264">
        <w:rPr>
          <w:rFonts w:cs="Arial"/>
          <w:lang w:val="es-MX"/>
        </w:rPr>
        <w:t xml:space="preserve"> por </w:t>
      </w:r>
      <w:r w:rsidR="00D821D2">
        <w:rPr>
          <w:rFonts w:cs="Arial"/>
          <w:lang w:val="es-MX"/>
        </w:rPr>
        <w:t xml:space="preserve">no </w:t>
      </w:r>
      <w:r w:rsidRPr="00152264">
        <w:rPr>
          <w:rFonts w:cs="Arial"/>
          <w:lang w:val="es-MX"/>
        </w:rPr>
        <w:t xml:space="preserve">cumplido el requisito en mención, presupuesto </w:t>
      </w:r>
      <w:r w:rsidRPr="00152264">
        <w:rPr>
          <w:rFonts w:cs="Arial"/>
          <w:lang w:val="es-MX"/>
        </w:rPr>
        <w:lastRenderedPageBreak/>
        <w:t>procesal necesario para legitimar la facultad de esta Comisión en el análisis de su escrito y elaboración del dictamen.</w:t>
      </w:r>
      <w:r w:rsidRPr="00152264">
        <w:rPr>
          <w:rFonts w:cs="Arial"/>
          <w:b/>
          <w:lang w:val="es-MX"/>
        </w:rPr>
        <w:t xml:space="preserve"> </w:t>
      </w:r>
    </w:p>
    <w:p w:rsidR="004344B9" w:rsidRPr="00152264" w:rsidRDefault="004344B9" w:rsidP="004344B9">
      <w:pPr>
        <w:spacing w:line="360" w:lineRule="auto"/>
        <w:ind w:firstLine="708"/>
        <w:jc w:val="both"/>
        <w:rPr>
          <w:rFonts w:cs="Arial"/>
          <w:b/>
          <w:lang w:val="es-MX"/>
        </w:rPr>
      </w:pPr>
    </w:p>
    <w:p w:rsidR="00D821D2" w:rsidRPr="00596D95" w:rsidRDefault="004344B9" w:rsidP="004344B9">
      <w:pPr>
        <w:spacing w:line="360" w:lineRule="auto"/>
        <w:ind w:firstLine="708"/>
        <w:jc w:val="both"/>
        <w:rPr>
          <w:rFonts w:cs="Arial"/>
          <w:lang w:val="es-MX"/>
        </w:rPr>
      </w:pPr>
      <w:r w:rsidRPr="00596D95">
        <w:rPr>
          <w:rFonts w:cs="Arial"/>
          <w:b/>
          <w:lang w:val="es-MX"/>
        </w:rPr>
        <w:t xml:space="preserve">Tercero.- </w:t>
      </w:r>
      <w:r w:rsidRPr="00596D95">
        <w:rPr>
          <w:rFonts w:cs="Arial"/>
          <w:lang w:val="es-MX"/>
        </w:rPr>
        <w:t xml:space="preserve"> </w:t>
      </w:r>
      <w:r w:rsidR="00100485" w:rsidRPr="00596D95">
        <w:rPr>
          <w:rFonts w:cs="Arial"/>
          <w:lang w:val="es-MX"/>
        </w:rPr>
        <w:t xml:space="preserve">Que toda vez que a la fecha no ha sido atendida la prevención hecha a los solicitantes mediante la cual se les conmino al cumplimiento de los siguientes requisitos: </w:t>
      </w:r>
    </w:p>
    <w:p w:rsidR="00100485" w:rsidRPr="00596D95" w:rsidRDefault="00100485" w:rsidP="004344B9">
      <w:pPr>
        <w:spacing w:line="360" w:lineRule="auto"/>
        <w:ind w:firstLine="708"/>
        <w:jc w:val="both"/>
        <w:rPr>
          <w:rFonts w:cs="Arial"/>
          <w:lang w:val="es-MX"/>
        </w:rPr>
      </w:pPr>
      <w:r w:rsidRPr="00596D95">
        <w:rPr>
          <w:rFonts w:cs="Arial"/>
          <w:lang w:val="es-MX"/>
        </w:rPr>
        <w:t xml:space="preserve">1.- Manifestar bajo Protesta de decir verdad. </w:t>
      </w:r>
    </w:p>
    <w:p w:rsidR="00100485" w:rsidRPr="00596D95" w:rsidRDefault="00100485" w:rsidP="004344B9">
      <w:pPr>
        <w:spacing w:line="360" w:lineRule="auto"/>
        <w:ind w:firstLine="708"/>
        <w:jc w:val="both"/>
        <w:rPr>
          <w:rFonts w:cs="Arial"/>
          <w:lang w:val="es-MX"/>
        </w:rPr>
      </w:pPr>
      <w:r w:rsidRPr="00596D95">
        <w:rPr>
          <w:rFonts w:cs="Arial"/>
          <w:lang w:val="es-MX"/>
        </w:rPr>
        <w:t xml:space="preserve">2.- Ratificar su escrito inicial de denuncia. </w:t>
      </w:r>
    </w:p>
    <w:p w:rsidR="00100485" w:rsidRPr="00596D95" w:rsidRDefault="00100485" w:rsidP="004344B9">
      <w:pPr>
        <w:spacing w:line="360" w:lineRule="auto"/>
        <w:ind w:firstLine="708"/>
        <w:jc w:val="both"/>
        <w:rPr>
          <w:rFonts w:cs="Arial"/>
          <w:lang w:val="es-MX"/>
        </w:rPr>
      </w:pPr>
      <w:r w:rsidRPr="00596D95">
        <w:rPr>
          <w:rFonts w:cs="Arial"/>
          <w:lang w:val="es-MX"/>
        </w:rPr>
        <w:t xml:space="preserve">3.- Fundar en elementos de prueba que hagan presumir la ilicitud de la conducta del servidor público. </w:t>
      </w:r>
    </w:p>
    <w:p w:rsidR="00596D95" w:rsidRDefault="00596D95" w:rsidP="00596D95">
      <w:pPr>
        <w:spacing w:line="360" w:lineRule="auto"/>
        <w:ind w:firstLine="708"/>
        <w:jc w:val="both"/>
        <w:rPr>
          <w:rFonts w:cs="Arial"/>
          <w:lang w:val="es-MX"/>
        </w:rPr>
      </w:pPr>
    </w:p>
    <w:p w:rsidR="00596D95" w:rsidRPr="00596D95" w:rsidRDefault="00596D95" w:rsidP="00596D95">
      <w:pPr>
        <w:spacing w:line="360" w:lineRule="auto"/>
        <w:ind w:firstLine="708"/>
        <w:jc w:val="both"/>
        <w:rPr>
          <w:rFonts w:cs="Arial"/>
        </w:rPr>
      </w:pPr>
      <w:r>
        <w:rPr>
          <w:rFonts w:cs="Arial"/>
          <w:lang w:val="es-MX"/>
        </w:rPr>
        <w:t>Y que c</w:t>
      </w:r>
      <w:r w:rsidR="00B874A8" w:rsidRPr="00596D95">
        <w:rPr>
          <w:rFonts w:cs="Arial"/>
          <w:lang w:val="es-MX"/>
        </w:rPr>
        <w:t xml:space="preserve">onforme a lo establecido en el artículo 18 de la Ley de Responsabilidades de los Servidores Públicos del Estado y Municipios de Nuevo León </w:t>
      </w:r>
      <w:r w:rsidRPr="00596D95">
        <w:rPr>
          <w:rFonts w:cs="Arial"/>
          <w:lang w:val="es-MX"/>
        </w:rPr>
        <w:t>s</w:t>
      </w:r>
      <w:r w:rsidR="00B874A8" w:rsidRPr="00596D95">
        <w:rPr>
          <w:rFonts w:cs="Arial"/>
        </w:rPr>
        <w:t>i la denuncia no satisface los requisitos señalados en las tres fracciones del Artículo 17</w:t>
      </w:r>
      <w:r w:rsidRPr="00596D95">
        <w:rPr>
          <w:rFonts w:cs="Arial"/>
        </w:rPr>
        <w:t>, mismos que fueron señalados líneas arriba</w:t>
      </w:r>
      <w:r w:rsidR="00B874A8" w:rsidRPr="00596D95">
        <w:rPr>
          <w:rFonts w:cs="Arial"/>
        </w:rPr>
        <w:t xml:space="preserve">, la Comisión Jurisdiccional emitirá un dictamen en el que se establezca la improcedencia de la denuncia. </w:t>
      </w:r>
    </w:p>
    <w:p w:rsidR="00B874A8" w:rsidRPr="00F6491D" w:rsidRDefault="00B874A8" w:rsidP="00596D95">
      <w:pPr>
        <w:spacing w:line="360" w:lineRule="auto"/>
        <w:ind w:firstLine="708"/>
        <w:jc w:val="both"/>
        <w:rPr>
          <w:rFonts w:cs="Arial"/>
          <w:sz w:val="22"/>
          <w:szCs w:val="22"/>
        </w:rPr>
      </w:pPr>
    </w:p>
    <w:p w:rsidR="00781829" w:rsidRPr="00152264" w:rsidRDefault="00781829" w:rsidP="00781829">
      <w:pPr>
        <w:spacing w:line="360" w:lineRule="auto"/>
        <w:ind w:right="530" w:firstLine="708"/>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 inciso b), del Reglamento para el Gobierno Interior del Congreso del Estado de Nuevo León, proponemos a esta Soberanía el siguiente:</w:t>
      </w:r>
    </w:p>
    <w:p w:rsidR="004344B9" w:rsidRPr="00152264" w:rsidRDefault="004344B9" w:rsidP="00781829">
      <w:pPr>
        <w:spacing w:line="360" w:lineRule="auto"/>
        <w:jc w:val="both"/>
        <w:rPr>
          <w:rFonts w:cs="Arial"/>
          <w:bCs/>
        </w:rPr>
      </w:pPr>
    </w:p>
    <w:p w:rsidR="004344B9" w:rsidRPr="00152264" w:rsidRDefault="004344B9" w:rsidP="004344B9">
      <w:pPr>
        <w:spacing w:line="360" w:lineRule="auto"/>
        <w:jc w:val="center"/>
        <w:rPr>
          <w:rFonts w:cs="Arial"/>
          <w:b/>
          <w:lang w:val="es-MX"/>
        </w:rPr>
      </w:pPr>
      <w:r w:rsidRPr="00152264">
        <w:rPr>
          <w:rFonts w:cs="Arial"/>
          <w:b/>
          <w:lang w:val="es-MX"/>
        </w:rPr>
        <w:lastRenderedPageBreak/>
        <w:t>ACUERDO</w:t>
      </w:r>
    </w:p>
    <w:p w:rsidR="004344B9" w:rsidRPr="00152264" w:rsidRDefault="004344B9" w:rsidP="004344B9">
      <w:pPr>
        <w:spacing w:line="360" w:lineRule="auto"/>
        <w:jc w:val="both"/>
        <w:rPr>
          <w:rFonts w:cs="Arial"/>
          <w:b/>
          <w:lang w:val="es-MX"/>
        </w:rPr>
      </w:pPr>
    </w:p>
    <w:p w:rsidR="00B36136" w:rsidRDefault="004344B9" w:rsidP="00EA3F3C">
      <w:pPr>
        <w:spacing w:line="360" w:lineRule="auto"/>
        <w:ind w:firstLine="708"/>
        <w:jc w:val="both"/>
        <w:rPr>
          <w:rFonts w:cs="Arial"/>
        </w:rPr>
      </w:pPr>
      <w:r w:rsidRPr="00152264">
        <w:rPr>
          <w:rFonts w:cs="Arial"/>
          <w:b/>
          <w:bCs/>
          <w:lang w:val="es-MX"/>
        </w:rPr>
        <w:t>PRIMERO.-</w:t>
      </w:r>
      <w:r w:rsidRPr="00152264">
        <w:rPr>
          <w:rFonts w:cs="Arial"/>
          <w:bCs/>
          <w:lang w:val="es-MX"/>
        </w:rPr>
        <w:t xml:space="preserve">  </w:t>
      </w:r>
      <w:r w:rsidR="00B36136">
        <w:rPr>
          <w:rFonts w:cs="Arial"/>
          <w:bCs/>
          <w:lang w:val="es-MX"/>
        </w:rPr>
        <w:t>Se declara improcedente la denuncia presentada por los C.C. Gilberto de Jesús Lozano González y Karina Esmeralda Rodríguez Fernández</w:t>
      </w:r>
      <w:r w:rsidR="00D469E2" w:rsidRPr="00EA3F3C">
        <w:rPr>
          <w:rFonts w:cs="Arial"/>
        </w:rPr>
        <w:t>, e</w:t>
      </w:r>
      <w:r w:rsidRPr="00EA3F3C">
        <w:rPr>
          <w:rFonts w:cs="Arial"/>
        </w:rPr>
        <w:t xml:space="preserve">n virtud de las consideraciones vertidas en el cuerpo del presente </w:t>
      </w:r>
      <w:r w:rsidR="00EA3F3C">
        <w:rPr>
          <w:rFonts w:cs="Arial"/>
        </w:rPr>
        <w:t>dictamen</w:t>
      </w:r>
      <w:r w:rsidR="00B36136">
        <w:rPr>
          <w:rFonts w:cs="Arial"/>
        </w:rPr>
        <w:t xml:space="preserve">. </w:t>
      </w:r>
    </w:p>
    <w:p w:rsidR="004344B9" w:rsidRPr="00152264" w:rsidRDefault="00D469E2" w:rsidP="004344B9">
      <w:pPr>
        <w:spacing w:line="360" w:lineRule="auto"/>
        <w:jc w:val="both"/>
        <w:rPr>
          <w:rFonts w:cs="Arial"/>
          <w:lang w:val="es-MX"/>
        </w:rPr>
      </w:pPr>
      <w:r w:rsidRPr="00152264">
        <w:rPr>
          <w:rFonts w:cs="Arial"/>
        </w:rPr>
        <w:tab/>
      </w:r>
      <w:r w:rsidRPr="00152264">
        <w:rPr>
          <w:rFonts w:cs="Arial"/>
          <w:b/>
        </w:rPr>
        <w:t>SEGUNDO</w:t>
      </w:r>
      <w:r w:rsidR="004344B9" w:rsidRPr="00152264">
        <w:rPr>
          <w:rFonts w:cs="Arial"/>
          <w:b/>
          <w:lang w:val="es-MX"/>
        </w:rPr>
        <w:t>.-</w:t>
      </w:r>
      <w:r w:rsidR="004344B9" w:rsidRPr="00152264">
        <w:rPr>
          <w:rFonts w:cs="Arial"/>
          <w:color w:val="333333"/>
          <w:shd w:val="clear" w:color="auto" w:fill="FFFFFF"/>
        </w:rPr>
        <w:t xml:space="preserve"> </w:t>
      </w:r>
      <w:r w:rsidR="004344B9" w:rsidRPr="00152264">
        <w:rPr>
          <w:rFonts w:cs="Arial"/>
          <w:lang w:val="es-MX"/>
        </w:rPr>
        <w:t>Comuníquese el presente Acuerdo a los promoventes, de conformidad con lo establecido en el artículo 124 del Reglamento para el Gobierno Interior del Congreso del Estado.</w:t>
      </w:r>
    </w:p>
    <w:p w:rsidR="00D469E2" w:rsidRPr="00152264" w:rsidRDefault="00D469E2" w:rsidP="00D469E2">
      <w:pPr>
        <w:spacing w:line="360" w:lineRule="auto"/>
        <w:ind w:right="530" w:firstLine="708"/>
        <w:jc w:val="both"/>
        <w:rPr>
          <w:rFonts w:cs="Arial"/>
        </w:rPr>
      </w:pPr>
      <w:r w:rsidRPr="00152264">
        <w:rPr>
          <w:rFonts w:cs="Arial"/>
          <w:b/>
        </w:rPr>
        <w:t>TERCERO.-</w:t>
      </w:r>
      <w:r w:rsidRPr="00152264">
        <w:rPr>
          <w:rFonts w:cs="Arial"/>
        </w:rPr>
        <w:t xml:space="preserve"> Archívese y téngase por concluido el presente asunto.</w:t>
      </w:r>
    </w:p>
    <w:p w:rsidR="00D469E2" w:rsidRPr="00152264" w:rsidRDefault="00D469E2" w:rsidP="004344B9">
      <w:pPr>
        <w:spacing w:line="360" w:lineRule="auto"/>
        <w:jc w:val="both"/>
        <w:rPr>
          <w:rFonts w:cs="Arial"/>
        </w:rPr>
      </w:pPr>
    </w:p>
    <w:p w:rsidR="004344B9" w:rsidRPr="00152264" w:rsidRDefault="004344B9" w:rsidP="004344B9">
      <w:pPr>
        <w:spacing w:line="360" w:lineRule="auto"/>
        <w:jc w:val="center"/>
        <w:rPr>
          <w:rFonts w:cs="Arial"/>
        </w:rPr>
      </w:pPr>
      <w:r w:rsidRPr="00152264">
        <w:rPr>
          <w:rFonts w:cs="Arial"/>
        </w:rPr>
        <w:t xml:space="preserve">Monterrey,  Nuevo León a </w:t>
      </w:r>
      <w:r w:rsidR="00AC4F44">
        <w:rPr>
          <w:rFonts w:cs="Arial"/>
          <w:b/>
        </w:rPr>
        <w:t xml:space="preserve"> </w:t>
      </w:r>
    </w:p>
    <w:p w:rsidR="004344B9" w:rsidRPr="00152264" w:rsidRDefault="004344B9" w:rsidP="004344B9">
      <w:pPr>
        <w:pStyle w:val="Sangradetextonormal"/>
        <w:spacing w:line="360" w:lineRule="auto"/>
        <w:jc w:val="center"/>
        <w:rPr>
          <w:rFonts w:cs="Arial"/>
          <w:b/>
          <w:smallCaps/>
        </w:rPr>
      </w:pPr>
      <w:r w:rsidRPr="00152264">
        <w:rPr>
          <w:rFonts w:cs="Arial"/>
          <w:b/>
          <w:smallCaps/>
        </w:rPr>
        <w:t>Comisión Anticorrupción</w:t>
      </w:r>
    </w:p>
    <w:p w:rsidR="004344B9" w:rsidRDefault="004344B9" w:rsidP="004344B9">
      <w:pPr>
        <w:spacing w:line="360" w:lineRule="auto"/>
        <w:jc w:val="center"/>
        <w:rPr>
          <w:rFonts w:cs="Arial"/>
          <w:b/>
          <w:smallCaps/>
        </w:rPr>
      </w:pPr>
      <w:r w:rsidRPr="00152264">
        <w:rPr>
          <w:rFonts w:cs="Arial"/>
          <w:b/>
          <w:smallCaps/>
        </w:rPr>
        <w:t xml:space="preserve">P r e s i d e n t </w:t>
      </w:r>
      <w:r w:rsidR="00D469E2" w:rsidRPr="00152264">
        <w:rPr>
          <w:rFonts w:cs="Arial"/>
          <w:b/>
          <w:smallCaps/>
        </w:rPr>
        <w:t>A</w:t>
      </w:r>
    </w:p>
    <w:p w:rsidR="00AC4F44" w:rsidRPr="00152264" w:rsidRDefault="00AC4F44" w:rsidP="004344B9">
      <w:pPr>
        <w:spacing w:line="360" w:lineRule="auto"/>
        <w:jc w:val="center"/>
        <w:rPr>
          <w:rFonts w:cs="Arial"/>
          <w:b/>
          <w:smallCaps/>
        </w:rPr>
      </w:pPr>
    </w:p>
    <w:p w:rsidR="004344B9" w:rsidRPr="00152264" w:rsidRDefault="004344B9" w:rsidP="004344B9">
      <w:pPr>
        <w:spacing w:line="360" w:lineRule="auto"/>
        <w:jc w:val="center"/>
        <w:rPr>
          <w:rFonts w:cs="Arial"/>
          <w:b/>
        </w:rPr>
      </w:pPr>
      <w:r w:rsidRPr="00152264">
        <w:rPr>
          <w:rFonts w:cs="Arial"/>
          <w:b/>
          <w:smallCap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Pr="00152264" w:rsidRDefault="004344B9" w:rsidP="005B49A1">
            <w:pPr>
              <w:spacing w:line="360" w:lineRule="auto"/>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Vicepresidente</w:t>
            </w:r>
          </w:p>
        </w:tc>
        <w:tc>
          <w:tcPr>
            <w:tcW w:w="4078" w:type="dxa"/>
          </w:tcPr>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Secretario</w:t>
            </w:r>
          </w:p>
          <w:p w:rsidR="00AC4F44" w:rsidRDefault="00AC4F44" w:rsidP="005B49A1">
            <w:pPr>
              <w:spacing w:line="360" w:lineRule="auto"/>
              <w:jc w:val="center"/>
              <w:rPr>
                <w:rFonts w:cs="Arial"/>
                <w:b/>
                <w:smallCaps/>
              </w:rPr>
            </w:pPr>
          </w:p>
          <w:p w:rsidR="00AC4F44" w:rsidRPr="00152264" w:rsidRDefault="00AC4F44" w:rsidP="005B49A1">
            <w:pPr>
              <w:spacing w:line="360" w:lineRule="auto"/>
              <w:jc w:val="center"/>
              <w:rPr>
                <w:rFonts w:cs="Arial"/>
                <w:b/>
                <w:smallCaps/>
              </w:rPr>
            </w:pPr>
          </w:p>
        </w:tc>
      </w:tr>
      <w:tr w:rsidR="004344B9" w:rsidRPr="00152264" w:rsidTr="005B49A1">
        <w:trPr>
          <w:trHeight w:val="317"/>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 xml:space="preserve">Dip. Samuel Alejandro García Sepúlveda </w:t>
            </w:r>
          </w:p>
          <w:p w:rsidR="004344B9" w:rsidRPr="00152264" w:rsidRDefault="004344B9"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Oscar Javier Collazo Garza</w:t>
            </w:r>
          </w:p>
          <w:p w:rsidR="004344B9" w:rsidRPr="00152264" w:rsidRDefault="004344B9" w:rsidP="005B49A1">
            <w:pPr>
              <w:spacing w:line="360" w:lineRule="auto"/>
              <w:jc w:val="both"/>
              <w:rPr>
                <w:rFonts w:cs="Arial"/>
                <w:b/>
                <w:smallCaps/>
              </w:rPr>
            </w:pPr>
          </w:p>
        </w:tc>
      </w:tr>
      <w:tr w:rsidR="004344B9" w:rsidRPr="00152264" w:rsidTr="005B49A1">
        <w:trPr>
          <w:trHeight w:val="32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lastRenderedPageBreak/>
              <w:t>Vocal</w:t>
            </w:r>
          </w:p>
        </w:tc>
        <w:tc>
          <w:tcPr>
            <w:tcW w:w="4078" w:type="dxa"/>
          </w:tcPr>
          <w:p w:rsidR="004344B9" w:rsidRDefault="004344B9" w:rsidP="005B49A1">
            <w:pPr>
              <w:spacing w:line="360" w:lineRule="auto"/>
              <w:jc w:val="center"/>
              <w:rPr>
                <w:rFonts w:cs="Arial"/>
                <w:b/>
                <w:smallCaps/>
              </w:rPr>
            </w:pPr>
            <w:r w:rsidRPr="00152264">
              <w:rPr>
                <w:rFonts w:cs="Arial"/>
                <w:b/>
                <w:smallCaps/>
              </w:rPr>
              <w:t>Vocal</w:t>
            </w:r>
          </w:p>
          <w:p w:rsidR="00AC4F44" w:rsidRDefault="00AC4F44" w:rsidP="005B49A1">
            <w:pPr>
              <w:spacing w:line="360" w:lineRule="auto"/>
              <w:jc w:val="center"/>
              <w:rPr>
                <w:rFonts w:cs="Arial"/>
                <w:b/>
                <w:smallCaps/>
              </w:rPr>
            </w:pPr>
          </w:p>
          <w:p w:rsidR="00AC4F44" w:rsidRPr="00152264" w:rsidRDefault="00AC4F44" w:rsidP="005B49A1">
            <w:pPr>
              <w:spacing w:line="360" w:lineRule="auto"/>
              <w:jc w:val="center"/>
              <w:rPr>
                <w:rFonts w:cs="Arial"/>
                <w:b/>
                <w:smallCaps/>
              </w:rPr>
            </w:pPr>
          </w:p>
        </w:tc>
      </w:tr>
      <w:tr w:rsidR="004344B9" w:rsidRPr="00152264" w:rsidTr="005B49A1">
        <w:trPr>
          <w:trHeight w:val="28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Dip. Héctor García García</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Juan Francisco Espinoza Eguía</w:t>
            </w:r>
          </w:p>
        </w:tc>
      </w:tr>
      <w:tr w:rsidR="004344B9" w:rsidRPr="00152264" w:rsidTr="005B49A1">
        <w:trPr>
          <w:trHeight w:val="280"/>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AC4F44" w:rsidRPr="00152264" w:rsidRDefault="00AC4F44" w:rsidP="005B49A1">
            <w:pPr>
              <w:spacing w:line="360" w:lineRule="auto"/>
              <w:jc w:val="center"/>
              <w:rPr>
                <w:rFonts w:cs="Arial"/>
                <w:b/>
                <w:smallCaps/>
              </w:rPr>
            </w:pPr>
          </w:p>
        </w:tc>
      </w:tr>
      <w:tr w:rsidR="004344B9" w:rsidRPr="00152264" w:rsidTr="005B49A1">
        <w:trPr>
          <w:trHeight w:val="55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Marco Antonio González Valdez</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Mercedes Catalina García Mancillas</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AC4F44" w:rsidRPr="00152264" w:rsidRDefault="00AC4F44" w:rsidP="005B49A1">
            <w:pPr>
              <w:spacing w:line="360" w:lineRule="auto"/>
              <w:jc w:val="center"/>
              <w:rPr>
                <w:rFonts w:cs="Arial"/>
                <w:b/>
                <w:smallCaps/>
              </w:rPr>
            </w:pPr>
          </w:p>
        </w:tc>
      </w:tr>
      <w:tr w:rsidR="004344B9" w:rsidRPr="00152264" w:rsidTr="005B49A1">
        <w:trPr>
          <w:trHeight w:val="840"/>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AC4F44" w:rsidRDefault="00AC4F44"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AC4F44" w:rsidRDefault="00AC4F44" w:rsidP="005B49A1">
            <w:pPr>
              <w:spacing w:line="360" w:lineRule="auto"/>
              <w:jc w:val="center"/>
              <w:rPr>
                <w:rFonts w:cs="Arial"/>
                <w:b/>
                <w:smallCaps/>
              </w:rPr>
            </w:pPr>
          </w:p>
          <w:p w:rsidR="00AC4F44" w:rsidRPr="00152264" w:rsidRDefault="00AC4F44" w:rsidP="005B49A1">
            <w:pPr>
              <w:spacing w:line="360" w:lineRule="auto"/>
              <w:jc w:val="center"/>
              <w:rPr>
                <w:rFonts w:cs="Arial"/>
                <w:b/>
                <w:smallCaps/>
              </w:rPr>
            </w:pPr>
            <w:bookmarkStart w:id="0" w:name="_GoBack"/>
            <w:bookmarkEnd w:id="0"/>
          </w:p>
        </w:tc>
      </w:tr>
      <w:tr w:rsidR="004344B9" w:rsidRPr="00152264" w:rsidTr="005B49A1">
        <w:trPr>
          <w:trHeight w:val="269"/>
          <w:jc w:val="center"/>
        </w:trPr>
        <w:tc>
          <w:tcPr>
            <w:tcW w:w="4078" w:type="dxa"/>
          </w:tcPr>
          <w:p w:rsidR="004344B9" w:rsidRPr="00152264" w:rsidRDefault="004344B9" w:rsidP="005B49A1">
            <w:pPr>
              <w:spacing w:line="360" w:lineRule="auto"/>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Gabriel Tlaloc Cantú Cantú</w:t>
            </w:r>
          </w:p>
        </w:tc>
      </w:tr>
    </w:tbl>
    <w:p w:rsidR="004344B9" w:rsidRDefault="004344B9" w:rsidP="004344B9">
      <w:pPr>
        <w:rPr>
          <w:rFonts w:cs="Arial"/>
        </w:rPr>
      </w:pPr>
    </w:p>
    <w:p w:rsidR="00403A01" w:rsidRDefault="00403A01" w:rsidP="004344B9">
      <w:pPr>
        <w:rPr>
          <w:rFonts w:cs="Arial"/>
        </w:rPr>
      </w:pPr>
    </w:p>
    <w:sectPr w:rsidR="00403A01" w:rsidSect="00AC4F44">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A1" w:rsidRDefault="00F346A1" w:rsidP="00D469E2">
      <w:r>
        <w:separator/>
      </w:r>
    </w:p>
  </w:endnote>
  <w:endnote w:type="continuationSeparator" w:id="0">
    <w:p w:rsidR="00F346A1" w:rsidRDefault="00F346A1"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F346A1"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785518">
      <w:rPr>
        <w:rFonts w:cs="Arial"/>
        <w:b/>
        <w:smallCaps/>
        <w:sz w:val="20"/>
        <w:szCs w:val="20"/>
        <w:lang w:val="es-MX"/>
      </w:rPr>
      <w:t>9820</w:t>
    </w:r>
    <w:r w:rsidR="00D469E2">
      <w:rPr>
        <w:rFonts w:cs="Arial"/>
        <w:b/>
        <w:sz w:val="20"/>
        <w:szCs w:val="20"/>
        <w:lang w:val="es-MX"/>
      </w:rPr>
      <w:t>/LXX</w:t>
    </w:r>
    <w:r w:rsidR="00785518">
      <w:rPr>
        <w:rFonts w:cs="Arial"/>
        <w:b/>
        <w:sz w:val="20"/>
        <w:szCs w:val="20"/>
        <w:lang w:val="es-MX"/>
      </w:rPr>
      <w:t>IV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AC4F44">
      <w:rPr>
        <w:noProof/>
        <w:sz w:val="16"/>
      </w:rPr>
      <w:t>8</w:t>
    </w:r>
    <w:r w:rsidRPr="001016A3">
      <w:rPr>
        <w:sz w:val="16"/>
      </w:rPr>
      <w:fldChar w:fldCharType="end"/>
    </w:r>
    <w:r w:rsidRPr="001016A3">
      <w:rPr>
        <w:sz w:val="16"/>
      </w:rPr>
      <w:t xml:space="preserve"> </w:t>
    </w:r>
    <w:r w:rsidR="00AC4F44">
      <w:rPr>
        <w:sz w:val="16"/>
      </w:rPr>
      <w:t xml:space="preserve"> </w:t>
    </w:r>
  </w:p>
  <w:p w:rsidR="00321E92" w:rsidRPr="008A0777" w:rsidRDefault="00F346A1"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A1" w:rsidRDefault="00F346A1" w:rsidP="00D469E2">
      <w:r>
        <w:separator/>
      </w:r>
    </w:p>
  </w:footnote>
  <w:footnote w:type="continuationSeparator" w:id="0">
    <w:p w:rsidR="00F346A1" w:rsidRDefault="00F346A1"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D18BB"/>
    <w:rsid w:val="00100485"/>
    <w:rsid w:val="00123A10"/>
    <w:rsid w:val="00152264"/>
    <w:rsid w:val="001F5B7C"/>
    <w:rsid w:val="00221A9D"/>
    <w:rsid w:val="00227822"/>
    <w:rsid w:val="002D423A"/>
    <w:rsid w:val="003530DF"/>
    <w:rsid w:val="003D0E60"/>
    <w:rsid w:val="00403A01"/>
    <w:rsid w:val="004344B9"/>
    <w:rsid w:val="004B1EEB"/>
    <w:rsid w:val="004E25BD"/>
    <w:rsid w:val="005744F2"/>
    <w:rsid w:val="00596D95"/>
    <w:rsid w:val="005C1DCA"/>
    <w:rsid w:val="006155E4"/>
    <w:rsid w:val="00740993"/>
    <w:rsid w:val="00753978"/>
    <w:rsid w:val="00781829"/>
    <w:rsid w:val="00785518"/>
    <w:rsid w:val="00842A16"/>
    <w:rsid w:val="008F019B"/>
    <w:rsid w:val="009D3A08"/>
    <w:rsid w:val="00AC4F44"/>
    <w:rsid w:val="00AC5EC0"/>
    <w:rsid w:val="00AE6BE9"/>
    <w:rsid w:val="00B36136"/>
    <w:rsid w:val="00B6163E"/>
    <w:rsid w:val="00B874A8"/>
    <w:rsid w:val="00C106B6"/>
    <w:rsid w:val="00C15035"/>
    <w:rsid w:val="00C44976"/>
    <w:rsid w:val="00C60FDF"/>
    <w:rsid w:val="00D253F4"/>
    <w:rsid w:val="00D378C8"/>
    <w:rsid w:val="00D469E2"/>
    <w:rsid w:val="00D5091A"/>
    <w:rsid w:val="00D821D2"/>
    <w:rsid w:val="00D92D82"/>
    <w:rsid w:val="00DC49DD"/>
    <w:rsid w:val="00DF2436"/>
    <w:rsid w:val="00E4360B"/>
    <w:rsid w:val="00E7027F"/>
    <w:rsid w:val="00EA3F3C"/>
    <w:rsid w:val="00F00BA8"/>
    <w:rsid w:val="00F25BB5"/>
    <w:rsid w:val="00F346A1"/>
    <w:rsid w:val="00F66966"/>
    <w:rsid w:val="00F95A17"/>
    <w:rsid w:val="00FE3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0D114-B3EC-4AC4-ADCA-F37FD1F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semiHidden/>
    <w:unhideWhenUsed/>
    <w:rsid w:val="00B874A8"/>
    <w:pPr>
      <w:spacing w:after="120" w:line="480" w:lineRule="auto"/>
    </w:pPr>
  </w:style>
  <w:style w:type="character" w:customStyle="1" w:styleId="Textoindependiente2Car">
    <w:name w:val="Texto independiente 2 Car"/>
    <w:basedOn w:val="Fuentedeprrafopredeter"/>
    <w:link w:val="Textoindependiente2"/>
    <w:uiPriority w:val="99"/>
    <w:semiHidden/>
    <w:rsid w:val="00B874A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AC4F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F4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Maria Concepcion Sarmiento Salinas</cp:lastModifiedBy>
  <cp:revision>2</cp:revision>
  <cp:lastPrinted>2016-09-27T17:54:00Z</cp:lastPrinted>
  <dcterms:created xsi:type="dcterms:W3CDTF">2016-09-27T17:54:00Z</dcterms:created>
  <dcterms:modified xsi:type="dcterms:W3CDTF">2016-09-27T17:54:00Z</dcterms:modified>
</cp:coreProperties>
</file>