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8B4D78" w:rsidRPr="0025524B" w:rsidRDefault="00B66FBF" w:rsidP="008B4D78">
      <w:pPr>
        <w:spacing w:line="360" w:lineRule="auto"/>
        <w:ind w:firstLine="708"/>
        <w:jc w:val="both"/>
        <w:rPr>
          <w:rFonts w:cs="Arial"/>
          <w:b/>
          <w:lang w:val="es-MX"/>
        </w:rPr>
      </w:pPr>
      <w:r>
        <w:rPr>
          <w:rFonts w:cs="Arial"/>
          <w:lang w:val="es-MX"/>
        </w:rPr>
        <w:t xml:space="preserve">A la </w:t>
      </w:r>
      <w:r w:rsidRPr="00B66FBF">
        <w:rPr>
          <w:rFonts w:cs="Arial"/>
          <w:b/>
          <w:lang w:val="es-MX"/>
        </w:rPr>
        <w:t>Comisión de Justicia y Seguridad Pública</w:t>
      </w:r>
      <w:r>
        <w:rPr>
          <w:rFonts w:cs="Arial"/>
          <w:lang w:val="es-MX"/>
        </w:rPr>
        <w:t>, e</w:t>
      </w:r>
      <w:r w:rsidR="008B4D78">
        <w:rPr>
          <w:rFonts w:cs="Arial"/>
          <w:lang w:val="es-MX"/>
        </w:rPr>
        <w:t xml:space="preserve">n fecha </w:t>
      </w:r>
      <w:r w:rsidR="00835E25">
        <w:rPr>
          <w:rFonts w:cs="Arial"/>
          <w:lang w:val="es-MX"/>
        </w:rPr>
        <w:t>01</w:t>
      </w:r>
      <w:r w:rsidR="008B4D78">
        <w:rPr>
          <w:rFonts w:cs="Arial"/>
          <w:lang w:val="es-MX"/>
        </w:rPr>
        <w:t xml:space="preserve"> de </w:t>
      </w:r>
      <w:r w:rsidR="00835E25">
        <w:rPr>
          <w:rFonts w:cs="Arial"/>
          <w:lang w:val="es-MX"/>
        </w:rPr>
        <w:t>Junio</w:t>
      </w:r>
      <w:r w:rsidR="008B4D78">
        <w:rPr>
          <w:rFonts w:cs="Arial"/>
          <w:lang w:val="es-MX"/>
        </w:rPr>
        <w:t xml:space="preserve"> del 2</w:t>
      </w:r>
      <w:r w:rsidR="00835E25">
        <w:rPr>
          <w:rFonts w:cs="Arial"/>
          <w:lang w:val="es-MX"/>
        </w:rPr>
        <w:t>016</w:t>
      </w:r>
      <w:r w:rsidR="00B705F5" w:rsidRPr="007A53AC">
        <w:rPr>
          <w:rFonts w:cs="Arial"/>
          <w:bCs/>
          <w:lang w:val="es-MX"/>
        </w:rPr>
        <w:t xml:space="preserve"> se </w:t>
      </w:r>
      <w:r w:rsidR="00B705F5" w:rsidRPr="007A53AC">
        <w:rPr>
          <w:rFonts w:cs="Arial"/>
          <w:lang w:val="es-MX"/>
        </w:rPr>
        <w:t xml:space="preserve">turnó, para su estudio y dictamen, el expediente legislativo </w:t>
      </w:r>
      <w:r w:rsidR="008B4D78">
        <w:rPr>
          <w:rFonts w:cs="Arial"/>
          <w:lang w:val="es-MX"/>
        </w:rPr>
        <w:t xml:space="preserve">número </w:t>
      </w:r>
      <w:r w:rsidR="00835E25">
        <w:rPr>
          <w:rFonts w:cs="Arial"/>
          <w:b/>
          <w:lang w:val="es-MX"/>
        </w:rPr>
        <w:t>10107/LXXIV</w:t>
      </w:r>
      <w:r w:rsidR="00B705F5" w:rsidRPr="007A53AC">
        <w:rPr>
          <w:rFonts w:cs="Arial"/>
          <w:lang w:val="es-MX"/>
        </w:rPr>
        <w:t xml:space="preserve"> el cual contiene un escrito signado por</w:t>
      </w:r>
      <w:r w:rsidR="002E4291">
        <w:rPr>
          <w:rFonts w:cs="Arial"/>
          <w:lang w:val="es-MX"/>
        </w:rPr>
        <w:t xml:space="preserve"> </w:t>
      </w:r>
      <w:r w:rsidR="00835E25">
        <w:rPr>
          <w:rFonts w:cs="Arial"/>
          <w:lang w:val="es-MX"/>
        </w:rPr>
        <w:t>los</w:t>
      </w:r>
      <w:r w:rsidR="008B4D78">
        <w:rPr>
          <w:rFonts w:cs="Arial"/>
          <w:lang w:val="es-MX"/>
        </w:rPr>
        <w:t xml:space="preserve"> </w:t>
      </w:r>
      <w:r w:rsidR="008B4D78" w:rsidRPr="0049189F">
        <w:rPr>
          <w:rFonts w:cs="Arial"/>
          <w:b/>
          <w:lang w:val="es-MX"/>
        </w:rPr>
        <w:t>C</w:t>
      </w:r>
      <w:r w:rsidR="00835E25">
        <w:rPr>
          <w:rFonts w:cs="Arial"/>
          <w:b/>
          <w:lang w:val="es-MX"/>
        </w:rPr>
        <w:t>C</w:t>
      </w:r>
      <w:r w:rsidR="008B4D78" w:rsidRPr="0049189F">
        <w:rPr>
          <w:rFonts w:cs="Arial"/>
          <w:b/>
          <w:lang w:val="es-MX"/>
        </w:rPr>
        <w:t>.</w:t>
      </w:r>
      <w:r w:rsidR="00835E25" w:rsidRPr="00835E25">
        <w:rPr>
          <w:rFonts w:ascii="Century Gothic" w:hAnsi="Century Gothic" w:cs="Arial"/>
          <w:b/>
        </w:rPr>
        <w:t xml:space="preserve"> </w:t>
      </w:r>
      <w:r w:rsidR="00835E25">
        <w:rPr>
          <w:rFonts w:ascii="Century Gothic" w:hAnsi="Century Gothic" w:cs="Arial"/>
          <w:b/>
        </w:rPr>
        <w:t>Lic. Miguel Yga González, Enrique David Ogaz Díaz y Miguel Ángel Cervantes Alfaro</w:t>
      </w:r>
      <w:r w:rsidR="0049189F">
        <w:rPr>
          <w:rFonts w:cs="Arial"/>
          <w:b/>
          <w:lang w:val="es-MX"/>
        </w:rPr>
        <w:t>,</w:t>
      </w:r>
      <w:r w:rsidR="008B4D78" w:rsidRPr="0049189F">
        <w:rPr>
          <w:rFonts w:cs="Arial"/>
          <w:b/>
          <w:lang w:val="es-MX"/>
        </w:rPr>
        <w:t xml:space="preserve"> </w:t>
      </w:r>
      <w:r w:rsidR="00B705F5" w:rsidRPr="00B27F40">
        <w:rPr>
          <w:rFonts w:cs="Arial"/>
          <w:lang w:val="es-MX"/>
        </w:rPr>
        <w:t xml:space="preserve"> </w:t>
      </w:r>
      <w:r w:rsidR="0068509D" w:rsidRPr="00B66FBF">
        <w:rPr>
          <w:rFonts w:cs="Arial"/>
          <w:lang w:val="es-MX"/>
        </w:rPr>
        <w:t xml:space="preserve">mediante el cual </w:t>
      </w:r>
      <w:r w:rsidR="008B4D78">
        <w:rPr>
          <w:rFonts w:cs="Arial"/>
          <w:lang w:val="es-MX"/>
        </w:rPr>
        <w:t xml:space="preserve">presenta </w:t>
      </w:r>
      <w:r w:rsidR="008B4D78" w:rsidRPr="0025524B">
        <w:rPr>
          <w:rFonts w:cs="Arial"/>
          <w:b/>
          <w:lang w:val="es-MX"/>
        </w:rPr>
        <w:t>Iniciativa de Re</w:t>
      </w:r>
      <w:r w:rsidR="00120D91">
        <w:rPr>
          <w:rFonts w:cs="Arial"/>
          <w:b/>
          <w:lang w:val="es-MX"/>
        </w:rPr>
        <w:t>forma a diversos artículos del Código P</w:t>
      </w:r>
      <w:r w:rsidR="008B4D78" w:rsidRPr="0025524B">
        <w:rPr>
          <w:rFonts w:cs="Arial"/>
          <w:b/>
          <w:lang w:val="es-MX"/>
        </w:rPr>
        <w:t>enal pa</w:t>
      </w:r>
      <w:r w:rsidR="00835E25">
        <w:rPr>
          <w:rFonts w:cs="Arial"/>
          <w:b/>
          <w:lang w:val="es-MX"/>
        </w:rPr>
        <w:t>ra el Est</w:t>
      </w:r>
      <w:r w:rsidR="00120D91">
        <w:rPr>
          <w:rFonts w:cs="Arial"/>
          <w:b/>
          <w:lang w:val="es-MX"/>
        </w:rPr>
        <w:t>ado de Nuevo León, en materia de</w:t>
      </w:r>
      <w:r w:rsidR="00835E25">
        <w:rPr>
          <w:rFonts w:cs="Arial"/>
          <w:b/>
          <w:lang w:val="es-MX"/>
        </w:rPr>
        <w:t xml:space="preserve"> delito de coalición</w:t>
      </w:r>
      <w:r w:rsidR="008B4D78" w:rsidRPr="0025524B">
        <w:rPr>
          <w:rFonts w:cs="Arial"/>
          <w:b/>
          <w:lang w:val="es-MX"/>
        </w:rPr>
        <w:t>.</w:t>
      </w:r>
      <w:r w:rsidR="00835E25">
        <w:rPr>
          <w:rFonts w:cs="Arial"/>
          <w:b/>
          <w:lang w:val="es-MX"/>
        </w:rPr>
        <w:t xml:space="preserve"> </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ind w:firstLine="708"/>
        <w:jc w:val="both"/>
        <w:rPr>
          <w:rFonts w:cs="Arial"/>
          <w:lang w:val="es-MX"/>
        </w:rPr>
      </w:pPr>
      <w:r w:rsidRPr="00A46EBB">
        <w:rPr>
          <w:rFonts w:cs="Arial"/>
          <w:lang w:val="es-MX"/>
        </w:rPr>
        <w:t>Con el fin de ver proveído  el requisito fundamental de dar vista al contenido de la iniciativa ya citada y según lo establecido en el artículo 47 inciso a) y b) del Reglamento para el Gobierno Interior del Congreso del Estado, quienes integramos la Comis</w:t>
      </w:r>
      <w:r w:rsidR="00B705F5">
        <w:rPr>
          <w:rFonts w:cs="Arial"/>
          <w:lang w:val="es-MX"/>
        </w:rPr>
        <w:t xml:space="preserve">ión de Dictamen Legislativo que </w:t>
      </w:r>
      <w:r w:rsidRPr="00A46EBB">
        <w:rPr>
          <w:rFonts w:cs="Arial"/>
          <w:lang w:val="es-MX"/>
        </w:rPr>
        <w:t xml:space="preserve">sustenta el presente documento, consideramos ante este Pleno los siguientes: </w:t>
      </w:r>
    </w:p>
    <w:p w:rsidR="00F276B0" w:rsidRPr="00A46EBB" w:rsidRDefault="00F276B0" w:rsidP="00F276B0">
      <w:pPr>
        <w:spacing w:line="360" w:lineRule="auto"/>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25524B" w:rsidRDefault="00F276B0" w:rsidP="008B4D78">
      <w:pPr>
        <w:spacing w:line="360" w:lineRule="auto"/>
        <w:jc w:val="both"/>
        <w:rPr>
          <w:rFonts w:cs="Arial"/>
        </w:rPr>
      </w:pPr>
      <w:r w:rsidRPr="00A46EBB">
        <w:rPr>
          <w:rFonts w:cs="Arial"/>
        </w:rPr>
        <w:tab/>
      </w:r>
    </w:p>
    <w:p w:rsidR="00FF0070" w:rsidRDefault="00120D91" w:rsidP="0025524B">
      <w:pPr>
        <w:spacing w:line="360" w:lineRule="auto"/>
        <w:ind w:firstLine="708"/>
        <w:jc w:val="both"/>
        <w:rPr>
          <w:rFonts w:cs="Arial"/>
        </w:rPr>
      </w:pPr>
      <w:r>
        <w:rPr>
          <w:rFonts w:cs="Arial"/>
        </w:rPr>
        <w:t xml:space="preserve">Expone que en el ejercicio de las funciones de los servidores públicos, no solamente pueden llegar a causar un daño o quebranto a la misma mediante acción directa sino que también </w:t>
      </w:r>
      <w:r w:rsidR="00D82F4C">
        <w:rPr>
          <w:rFonts w:cs="Arial"/>
        </w:rPr>
        <w:t>se puede lograr por medio de la omisión de conductas que conforme a la ley revisten el carácter de obligatorias.</w:t>
      </w:r>
    </w:p>
    <w:p w:rsidR="007740B0" w:rsidRPr="008B4D78" w:rsidRDefault="007740B0" w:rsidP="0025524B">
      <w:pPr>
        <w:spacing w:line="360" w:lineRule="auto"/>
        <w:ind w:firstLine="708"/>
        <w:jc w:val="both"/>
        <w:rPr>
          <w:rFonts w:cs="Arial"/>
        </w:rPr>
      </w:pPr>
      <w:r>
        <w:rPr>
          <w:rFonts w:cs="Arial"/>
        </w:rPr>
        <w:tab/>
      </w:r>
    </w:p>
    <w:p w:rsidR="00363044" w:rsidRDefault="00886188" w:rsidP="007740B0">
      <w:pPr>
        <w:spacing w:line="360" w:lineRule="auto"/>
        <w:ind w:firstLine="708"/>
        <w:jc w:val="both"/>
        <w:rPr>
          <w:rFonts w:cs="Arial"/>
        </w:rPr>
      </w:pPr>
      <w:r>
        <w:rPr>
          <w:rFonts w:cs="Arial"/>
        </w:rPr>
        <w:t xml:space="preserve">Señala que </w:t>
      </w:r>
      <w:r w:rsidR="00022CE3">
        <w:rPr>
          <w:rFonts w:cs="Arial"/>
        </w:rPr>
        <w:t xml:space="preserve">el Código Penal para el  Estado de Nuevo León actualmente no prevé un delito para el caso de omisiones de servidores públicos al </w:t>
      </w:r>
      <w:r w:rsidR="00022CE3">
        <w:rPr>
          <w:rFonts w:cs="Arial"/>
        </w:rPr>
        <w:lastRenderedPageBreak/>
        <w:t>cumplimiento de sus obligaciones de informar, denunciar y hacer del conocimiento de las autoridades competentes, aquellos hechos y circunstancias de los cuales por razón de su cargo tienen conocimiento y que pudieran constituir ilícitos penales perpetuados por sus antecesores.</w:t>
      </w:r>
    </w:p>
    <w:p w:rsidR="00886188" w:rsidRDefault="00886188" w:rsidP="008B4D78">
      <w:pPr>
        <w:spacing w:line="360" w:lineRule="auto"/>
        <w:jc w:val="both"/>
        <w:rPr>
          <w:rFonts w:cs="Arial"/>
        </w:rPr>
      </w:pPr>
    </w:p>
    <w:p w:rsidR="00886188" w:rsidRDefault="00886188" w:rsidP="00FF0070">
      <w:pPr>
        <w:spacing w:line="360" w:lineRule="auto"/>
        <w:ind w:firstLine="708"/>
        <w:jc w:val="both"/>
        <w:rPr>
          <w:rFonts w:cs="Arial"/>
        </w:rPr>
      </w:pPr>
      <w:r>
        <w:rPr>
          <w:rFonts w:cs="Arial"/>
        </w:rPr>
        <w:t xml:space="preserve">Menciona </w:t>
      </w:r>
      <w:r w:rsidR="00022CE3">
        <w:rPr>
          <w:rFonts w:cs="Arial"/>
        </w:rPr>
        <w:t>considerando que la omisión por parte de un servidor público de denunciar hechos que pudieran constituir ilícitos penales perpetuados por sus antecesores equivale a una complicidad y coalición con dichos servidores públicos y por tal motivo es prioridad tipificar dicha conducta.</w:t>
      </w:r>
    </w:p>
    <w:p w:rsidR="007740B0" w:rsidRDefault="007740B0" w:rsidP="00886188">
      <w:pPr>
        <w:spacing w:line="360" w:lineRule="auto"/>
        <w:jc w:val="both"/>
        <w:rPr>
          <w:rFonts w:cs="Arial"/>
        </w:rPr>
      </w:pPr>
    </w:p>
    <w:p w:rsidR="00363044" w:rsidRDefault="00886188" w:rsidP="00FF0070">
      <w:pPr>
        <w:spacing w:line="360" w:lineRule="auto"/>
        <w:ind w:firstLine="708"/>
        <w:jc w:val="both"/>
        <w:rPr>
          <w:rFonts w:cs="Arial"/>
        </w:rPr>
      </w:pPr>
      <w:r>
        <w:rPr>
          <w:rFonts w:cs="Arial"/>
        </w:rPr>
        <w:t xml:space="preserve">Propone </w:t>
      </w:r>
      <w:r w:rsidR="00022CE3" w:rsidRPr="00022CE3">
        <w:rPr>
          <w:rFonts w:cs="Arial"/>
        </w:rPr>
        <w:t>Iniciativa de reforma por modificación del artículo 214 y por adición del artículo 213 Bis del Código Penal para el Estado de Nuevo León en materia de delito de coalición</w:t>
      </w:r>
    </w:p>
    <w:p w:rsidR="00FF0070" w:rsidRPr="001E65E6" w:rsidRDefault="00FF0070" w:rsidP="00FF0070">
      <w:pPr>
        <w:spacing w:line="360" w:lineRule="auto"/>
        <w:ind w:firstLine="708"/>
        <w:jc w:val="both"/>
        <w:rPr>
          <w:rFonts w:cs="Arial"/>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B66FBF">
        <w:rPr>
          <w:rFonts w:cs="Arial"/>
          <w:b/>
          <w:lang w:val="es-MX"/>
        </w:rPr>
        <w:t>Comisión de Justicia y Seguridad Pública</w:t>
      </w:r>
      <w:r w:rsidRPr="00B66FBF">
        <w:rPr>
          <w:rFonts w:cs="Arial"/>
          <w:lang w:val="es-MX"/>
        </w:rPr>
        <w:t>,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F276B0" w:rsidP="00F276B0">
      <w:pPr>
        <w:spacing w:line="360" w:lineRule="auto"/>
        <w:ind w:firstLine="708"/>
        <w:jc w:val="both"/>
        <w:rPr>
          <w:rFonts w:cs="Arial"/>
          <w:lang w:val="es-MX"/>
        </w:rPr>
      </w:pPr>
      <w:r w:rsidRPr="00B66FBF">
        <w:rPr>
          <w:rFonts w:cs="Arial"/>
          <w:lang w:val="es-MX"/>
        </w:rPr>
        <w:t xml:space="preserve">Esta </w:t>
      </w:r>
      <w:r w:rsidRPr="00B66FBF">
        <w:rPr>
          <w:rFonts w:cs="Arial"/>
          <w:b/>
          <w:lang w:val="es-MX"/>
        </w:rPr>
        <w:t>Comisión de</w:t>
      </w:r>
      <w:r w:rsidRPr="00B66FBF">
        <w:rPr>
          <w:rFonts w:cs="Arial"/>
          <w:lang w:val="es-MX"/>
        </w:rPr>
        <w:t xml:space="preserve"> </w:t>
      </w:r>
      <w:r w:rsidRPr="00B66FBF">
        <w:rPr>
          <w:rFonts w:cs="Arial"/>
          <w:b/>
          <w:lang w:val="es-MX"/>
        </w:rPr>
        <w:t>Justicia y Seguridad Pública</w:t>
      </w:r>
      <w:r w:rsidRPr="00B66FBF">
        <w:rPr>
          <w:rFonts w:cs="Arial"/>
          <w:lang w:val="es-MX"/>
        </w:rPr>
        <w:t xml:space="preserve"> se encuentra facultada para conocer del asunto que le fue turnado, de conformidad con lo establecido en el artículo 70, fracción III, de </w:t>
      </w:r>
      <w:smartTag w:uri="urn:schemas-microsoft-com:office:smarttags" w:element="PersonName">
        <w:smartTagPr>
          <w:attr w:name="ProductID" w:val="la Ley Org￡nica"/>
        </w:smartTagPr>
        <w:r w:rsidRPr="00B66FBF">
          <w:rPr>
            <w:rFonts w:cs="Arial"/>
            <w:lang w:val="es-MX"/>
          </w:rPr>
          <w:t>la Ley Orgánica</w:t>
        </w:r>
      </w:smartTag>
      <w:r w:rsidRPr="00B66FBF">
        <w:rPr>
          <w:rFonts w:cs="Arial"/>
          <w:lang w:val="es-MX"/>
        </w:rPr>
        <w:t xml:space="preserve"> del Poder </w:t>
      </w:r>
      <w:r w:rsidRPr="00B66FBF">
        <w:rPr>
          <w:rFonts w:cs="Arial"/>
          <w:lang w:val="es-MX"/>
        </w:rPr>
        <w:lastRenderedPageBreak/>
        <w:t>Legislativo del Estado de Nuevo León, y 39, fracción III, inciso L), del Reglamento para el Gobierno Interior del Congreso del Estado de Nuevo León.</w:t>
      </w:r>
    </w:p>
    <w:p w:rsidR="00F276B0" w:rsidRPr="00A46EBB" w:rsidRDefault="00F276B0" w:rsidP="00F276B0">
      <w:pPr>
        <w:spacing w:line="360" w:lineRule="auto"/>
        <w:jc w:val="both"/>
        <w:rPr>
          <w:rFonts w:cs="Arial"/>
          <w:lang w:val="es-MX"/>
        </w:rPr>
      </w:pPr>
    </w:p>
    <w:p w:rsidR="00777C64" w:rsidRPr="00777C64" w:rsidRDefault="00777C64" w:rsidP="00777C64">
      <w:pPr>
        <w:spacing w:line="360" w:lineRule="auto"/>
        <w:ind w:firstLine="708"/>
        <w:jc w:val="both"/>
        <w:rPr>
          <w:rFonts w:cs="Arial"/>
          <w:lang w:val="es-MX"/>
        </w:rPr>
      </w:pPr>
      <w:r w:rsidRPr="00777C64">
        <w:rPr>
          <w:rFonts w:cs="Arial"/>
          <w:lang w:val="es-MX"/>
        </w:rPr>
        <w:t xml:space="preserve">Una de las conductas que más flagela al funcionamiento de la función pública es la corrupción, no obstante, este es un concepto sociológico que ha sido desglosado y ampliado por el Derecho Penal a través de diversas figuras delictivas que protegen el buen funcionamiento del servicio público.  </w:t>
      </w:r>
    </w:p>
    <w:p w:rsidR="00777C64" w:rsidRPr="00777C64" w:rsidRDefault="00777C64" w:rsidP="00777C64">
      <w:pPr>
        <w:spacing w:line="360" w:lineRule="auto"/>
        <w:ind w:firstLine="708"/>
        <w:jc w:val="both"/>
        <w:rPr>
          <w:rFonts w:cs="Arial"/>
          <w:lang w:val="es-MX"/>
        </w:rPr>
      </w:pPr>
      <w:r w:rsidRPr="00777C64">
        <w:rPr>
          <w:rFonts w:cs="Arial"/>
          <w:lang w:val="es-MX"/>
        </w:rPr>
        <w:t xml:space="preserve"> </w:t>
      </w:r>
    </w:p>
    <w:p w:rsidR="00EA45A5" w:rsidRDefault="00777C64" w:rsidP="00EA45A5">
      <w:pPr>
        <w:spacing w:line="360" w:lineRule="auto"/>
        <w:ind w:firstLine="708"/>
        <w:jc w:val="both"/>
      </w:pPr>
      <w:r w:rsidRPr="00777C64">
        <w:rPr>
          <w:rFonts w:cs="Arial"/>
          <w:lang w:val="es-MX"/>
        </w:rPr>
        <w:t>No hay que olvidar que desde la aparición de las primeras formas de organización del Estado, han surgido conductas antisociales, por ello, en la actualidad a medida que se hace más compleja la función pública, es menester punir penalmente ciertas conductas que transgreden el servicio público. Cabe mencionar que estos delitos por su propia naturaleza sólo pueden ser cometidos por servidores públicos,</w:t>
      </w:r>
      <w:r w:rsidR="00382299">
        <w:rPr>
          <w:rFonts w:cs="Arial"/>
          <w:lang w:val="es-MX"/>
        </w:rPr>
        <w:t xml:space="preserve"> par</w:t>
      </w:r>
      <w:r w:rsidR="00C40544">
        <w:rPr>
          <w:rFonts w:cs="Arial"/>
          <w:lang w:val="es-MX"/>
        </w:rPr>
        <w:t>a</w:t>
      </w:r>
      <w:r w:rsidR="00382299">
        <w:rPr>
          <w:rFonts w:cs="Arial"/>
          <w:lang w:val="es-MX"/>
        </w:rPr>
        <w:t xml:space="preserve"> ello nuestro código penal contempla el apartado denominado </w:t>
      </w:r>
      <w:r w:rsidR="00D13545">
        <w:rPr>
          <w:rFonts w:cs="Arial"/>
          <w:lang w:val="es-MX"/>
        </w:rPr>
        <w:t>“</w:t>
      </w:r>
      <w:r w:rsidR="00EA45A5">
        <w:t>Delitos cometidos por servidores públicos</w:t>
      </w:r>
      <w:r w:rsidR="00D13545">
        <w:t>”</w:t>
      </w:r>
      <w:r w:rsidR="00EA45A5">
        <w:t xml:space="preserve">, en el caso que </w:t>
      </w:r>
      <w:r w:rsidR="00D13545">
        <w:t xml:space="preserve">ocupa nuestro estudio es el </w:t>
      </w:r>
      <w:r w:rsidR="00EA45A5">
        <w:t>delito de coalición</w:t>
      </w:r>
      <w:r w:rsidR="00D13545">
        <w:t>, que a la letra dice:</w:t>
      </w:r>
    </w:p>
    <w:p w:rsidR="00EA45A5" w:rsidRDefault="00EA45A5" w:rsidP="00EA45A5">
      <w:pPr>
        <w:spacing w:line="360" w:lineRule="auto"/>
        <w:ind w:firstLine="708"/>
        <w:jc w:val="both"/>
      </w:pPr>
    </w:p>
    <w:p w:rsidR="00EA45A5" w:rsidRDefault="00D13545" w:rsidP="00EA45A5">
      <w:pPr>
        <w:spacing w:line="360" w:lineRule="auto"/>
        <w:ind w:firstLine="708"/>
        <w:jc w:val="center"/>
      </w:pPr>
      <w:r>
        <w:t>“</w:t>
      </w:r>
      <w:r w:rsidR="00EA45A5">
        <w:t>CAPITULO IV</w:t>
      </w:r>
    </w:p>
    <w:p w:rsidR="00EA45A5" w:rsidRDefault="00EA45A5" w:rsidP="00EA45A5">
      <w:pPr>
        <w:spacing w:line="360" w:lineRule="auto"/>
        <w:ind w:firstLine="708"/>
        <w:jc w:val="center"/>
      </w:pPr>
      <w:r>
        <w:t>COALICION</w:t>
      </w:r>
    </w:p>
    <w:p w:rsidR="00EA45A5" w:rsidRDefault="00EA45A5" w:rsidP="00EA45A5">
      <w:pPr>
        <w:spacing w:line="360" w:lineRule="auto"/>
        <w:ind w:firstLine="708"/>
        <w:jc w:val="both"/>
      </w:pPr>
    </w:p>
    <w:p w:rsidR="00EA45A5" w:rsidRDefault="00EA45A5" w:rsidP="00EA45A5">
      <w:pPr>
        <w:spacing w:line="360" w:lineRule="auto"/>
        <w:ind w:firstLine="708"/>
        <w:jc w:val="both"/>
      </w:pPr>
      <w:r>
        <w:t>(REFORMADO, P.O. 28 DE JULIO DE 2004)</w:t>
      </w:r>
    </w:p>
    <w:p w:rsidR="00EA45A5" w:rsidRDefault="00EA45A5" w:rsidP="00EA45A5">
      <w:pPr>
        <w:spacing w:line="360" w:lineRule="auto"/>
        <w:ind w:firstLine="708"/>
        <w:jc w:val="both"/>
      </w:pPr>
      <w:r>
        <w:t xml:space="preserve">ARTÍCULO 213.- COMETEN EL DELITO DE COALICIÓN LOS SERVIDORES PÚBLICOS </w:t>
      </w:r>
      <w:r w:rsidRPr="00EA45A5">
        <w:rPr>
          <w:b/>
          <w:i/>
        </w:rPr>
        <w:t>QUE SE UNAN TOMANDO MEDIDAS CONTRARIAS</w:t>
      </w:r>
      <w:r>
        <w:t xml:space="preserve"> A UNA LEY, DECRETO O REGLAMENTO, PARA EVITAR SU EJECUCIÓN, O PARA HACER DIMISIÓN DE SUS PUESTOS CON EL FIN </w:t>
      </w:r>
      <w:r>
        <w:lastRenderedPageBreak/>
        <w:t>DE IMPEDIR O SUSPENDER LA ADMINISTRACIÓN PÚBLICA EN CUALQUIERA DE SUS RAMAS.</w:t>
      </w:r>
    </w:p>
    <w:p w:rsidR="00EA45A5" w:rsidRDefault="00EA45A5" w:rsidP="00EA45A5">
      <w:pPr>
        <w:spacing w:line="360" w:lineRule="auto"/>
        <w:ind w:firstLine="708"/>
        <w:jc w:val="both"/>
      </w:pPr>
    </w:p>
    <w:p w:rsidR="00EA45A5" w:rsidRDefault="00EA45A5" w:rsidP="00EA45A5">
      <w:pPr>
        <w:spacing w:line="360" w:lineRule="auto"/>
        <w:ind w:firstLine="708"/>
        <w:jc w:val="both"/>
      </w:pPr>
      <w:r>
        <w:t>(REFORMADO, P.O. 28 DE JULIO DE 2004)</w:t>
      </w:r>
    </w:p>
    <w:p w:rsidR="00EA45A5" w:rsidRDefault="00EA45A5" w:rsidP="00EA45A5">
      <w:pPr>
        <w:spacing w:line="360" w:lineRule="auto"/>
        <w:ind w:firstLine="708"/>
        <w:jc w:val="both"/>
      </w:pPr>
      <w:r>
        <w:t>ARTÍCULO 214.- A LOS QUE COMETAN EL DELITO DE COALICIÓN A QUE SE REFIERE EL ARTÍCULO ANTERIOR, ADEMÁS DE LAS PENAS APLICABLES POR LOS DELITOS QUE RESULTEN COMETIDOS, SE LES IMPONDRÁN DE DOS A SIETE AÑOS DE PRISIÓN, MULTA DE TREINTA A TRESCIENTAS CUOTAS Y DESTITUCIÓN E INHABILITACIÓN DE DOS A SIETE AÑOS PARA DESEMPEÑAR UN EMPLEO, CARGO O COMISIÓN PÚBLICOS</w:t>
      </w:r>
      <w:r w:rsidR="00D13545">
        <w:t>”</w:t>
      </w:r>
      <w:r>
        <w:t>.</w:t>
      </w:r>
    </w:p>
    <w:p w:rsidR="00EA45A5" w:rsidRDefault="00EA45A5" w:rsidP="00EA45A5">
      <w:pPr>
        <w:spacing w:line="360" w:lineRule="auto"/>
        <w:ind w:firstLine="708"/>
        <w:jc w:val="both"/>
      </w:pPr>
    </w:p>
    <w:p w:rsidR="00C40544" w:rsidRDefault="00D13545" w:rsidP="00382299">
      <w:pPr>
        <w:spacing w:line="360" w:lineRule="auto"/>
        <w:ind w:firstLine="708"/>
        <w:jc w:val="both"/>
        <w:rPr>
          <w:rFonts w:cs="Arial"/>
        </w:rPr>
      </w:pPr>
      <w:r>
        <w:rPr>
          <w:rFonts w:cs="Arial"/>
        </w:rPr>
        <w:t xml:space="preserve">Como se puede ver de la lectura del tipo penal, los </w:t>
      </w:r>
      <w:r w:rsidR="00382299" w:rsidRPr="00EA45A5">
        <w:rPr>
          <w:rFonts w:cs="Arial"/>
        </w:rPr>
        <w:t xml:space="preserve">elementos que integran la culpabilidad son: </w:t>
      </w:r>
      <w:r w:rsidR="00C40544">
        <w:rPr>
          <w:rFonts w:cs="Arial"/>
        </w:rPr>
        <w:t>la</w:t>
      </w:r>
      <w:r w:rsidR="00382299" w:rsidRPr="00EA45A5">
        <w:rPr>
          <w:rFonts w:cs="Arial"/>
        </w:rPr>
        <w:t xml:space="preserve"> antijuridicidad y la exigibilidad de otra conducta; </w:t>
      </w:r>
      <w:r>
        <w:rPr>
          <w:rFonts w:cs="Arial"/>
        </w:rPr>
        <w:t>bajo el conocimiento del</w:t>
      </w:r>
      <w:r w:rsidR="00A167B5">
        <w:rPr>
          <w:rFonts w:cs="Arial"/>
        </w:rPr>
        <w:t xml:space="preserve"> </w:t>
      </w:r>
      <w:r w:rsidR="00382299" w:rsidRPr="00EA45A5">
        <w:rPr>
          <w:rFonts w:cs="Arial"/>
        </w:rPr>
        <w:t>tanto del injusto penal como de</w:t>
      </w:r>
      <w:r w:rsidR="00E42738">
        <w:rPr>
          <w:rFonts w:cs="Arial"/>
        </w:rPr>
        <w:t xml:space="preserve"> </w:t>
      </w:r>
      <w:r w:rsidR="00382299" w:rsidRPr="00EA45A5">
        <w:rPr>
          <w:rFonts w:cs="Arial"/>
        </w:rPr>
        <w:t>la culpabilidad</w:t>
      </w:r>
      <w:r>
        <w:rPr>
          <w:rFonts w:cs="Arial"/>
        </w:rPr>
        <w:t xml:space="preserve"> de hecho que </w:t>
      </w:r>
      <w:r w:rsidR="00E42738">
        <w:rPr>
          <w:rFonts w:cs="Arial"/>
        </w:rPr>
        <w:t xml:space="preserve">se </w:t>
      </w:r>
      <w:r>
        <w:rPr>
          <w:rFonts w:cs="Arial"/>
        </w:rPr>
        <w:t>está cometiendo.</w:t>
      </w:r>
      <w:r w:rsidR="00382299" w:rsidRPr="00EA45A5">
        <w:rPr>
          <w:rFonts w:cs="Arial"/>
        </w:rPr>
        <w:t xml:space="preserve"> </w:t>
      </w:r>
    </w:p>
    <w:p w:rsidR="00C40544" w:rsidRDefault="00C40544" w:rsidP="00382299">
      <w:pPr>
        <w:spacing w:line="360" w:lineRule="auto"/>
        <w:ind w:firstLine="708"/>
        <w:jc w:val="both"/>
        <w:rPr>
          <w:rFonts w:cs="Arial"/>
        </w:rPr>
      </w:pPr>
    </w:p>
    <w:p w:rsidR="00C40544" w:rsidRDefault="00C40544" w:rsidP="00382299">
      <w:pPr>
        <w:spacing w:line="360" w:lineRule="auto"/>
        <w:ind w:firstLine="708"/>
        <w:jc w:val="both"/>
      </w:pPr>
      <w:r>
        <w:t>Lo anterior se debe a que la responsabilidad penal es personal; la pena y las medidas de seguridad sólo pueden imponerse a quien haya incurrido personalmente en la comisión de un delito, es decir, en materia penal conceptos como la representación o transmisibilidad no existen ya que responde sólo quien haya cometido delito.</w:t>
      </w:r>
    </w:p>
    <w:p w:rsidR="00382299" w:rsidRDefault="00C40544" w:rsidP="00382299">
      <w:pPr>
        <w:spacing w:line="360" w:lineRule="auto"/>
        <w:ind w:firstLine="708"/>
        <w:jc w:val="both"/>
        <w:rPr>
          <w:rFonts w:cs="Arial"/>
          <w:lang w:val="es-MX"/>
        </w:rPr>
      </w:pPr>
      <w:r>
        <w:br/>
      </w:r>
      <w:r>
        <w:rPr>
          <w:rFonts w:cs="Arial"/>
          <w:lang w:val="es-MX"/>
        </w:rPr>
        <w:t xml:space="preserve">            Sin embargo, </w:t>
      </w:r>
      <w:r w:rsidR="00D13545">
        <w:rPr>
          <w:rFonts w:cs="Arial"/>
          <w:lang w:val="es-MX"/>
        </w:rPr>
        <w:t>por otro lado c</w:t>
      </w:r>
      <w:r w:rsidR="00382299">
        <w:rPr>
          <w:rFonts w:cs="Arial"/>
          <w:lang w:val="es-MX"/>
        </w:rPr>
        <w:t xml:space="preserve">on el </w:t>
      </w:r>
      <w:r w:rsidR="00382299" w:rsidRPr="00382299">
        <w:rPr>
          <w:rFonts w:cs="Arial"/>
          <w:lang w:val="es-MX"/>
        </w:rPr>
        <w:t xml:space="preserve">avance democrático de México </w:t>
      </w:r>
      <w:r w:rsidR="00382299">
        <w:rPr>
          <w:rFonts w:cs="Arial"/>
          <w:lang w:val="es-MX"/>
        </w:rPr>
        <w:t>se dio paso a los</w:t>
      </w:r>
      <w:r w:rsidR="00382299" w:rsidRPr="00382299">
        <w:rPr>
          <w:rFonts w:cs="Arial"/>
          <w:lang w:val="es-MX"/>
        </w:rPr>
        <w:t xml:space="preserve"> órganos de fiscalización autónomos provistos de las facultades </w:t>
      </w:r>
      <w:r w:rsidR="00382299" w:rsidRPr="00382299">
        <w:rPr>
          <w:rFonts w:cs="Arial"/>
          <w:lang w:val="es-MX"/>
        </w:rPr>
        <w:lastRenderedPageBreak/>
        <w:t>necesarias para poder llevar a cabo una eficiente supervisión del manejo de las finanzas públicas</w:t>
      </w:r>
      <w:r w:rsidR="00D13545">
        <w:rPr>
          <w:rFonts w:cs="Arial"/>
          <w:lang w:val="es-MX"/>
        </w:rPr>
        <w:t xml:space="preserve"> y l</w:t>
      </w:r>
      <w:r w:rsidR="00382299" w:rsidRPr="00382299">
        <w:rPr>
          <w:rFonts w:cs="Arial"/>
          <w:lang w:val="es-MX"/>
        </w:rPr>
        <w:t xml:space="preserve">a rendición de cuentas de los </w:t>
      </w:r>
      <w:r w:rsidR="00382299">
        <w:rPr>
          <w:rFonts w:cs="Arial"/>
          <w:lang w:val="es-MX"/>
        </w:rPr>
        <w:t xml:space="preserve">servidores públicos y </w:t>
      </w:r>
      <w:r w:rsidR="00382299" w:rsidRPr="00382299">
        <w:rPr>
          <w:rFonts w:cs="Arial"/>
          <w:lang w:val="es-MX"/>
        </w:rPr>
        <w:t>gobernantes ante la ciudadanía y el perfeccionamiento de los mecanismos de fiscalización, son factores que contribuyen a lograr una mayor transparencia y eficiencia en el ejercicio de la gestión pública.</w:t>
      </w:r>
    </w:p>
    <w:p w:rsidR="00627B09" w:rsidRDefault="00627B09" w:rsidP="00382299">
      <w:pPr>
        <w:spacing w:line="360" w:lineRule="auto"/>
        <w:ind w:firstLine="708"/>
        <w:jc w:val="both"/>
        <w:rPr>
          <w:rFonts w:cs="Arial"/>
          <w:lang w:val="es-MX"/>
        </w:rPr>
      </w:pPr>
    </w:p>
    <w:p w:rsidR="00F866AB" w:rsidRDefault="00382299" w:rsidP="00382299">
      <w:pPr>
        <w:spacing w:line="360" w:lineRule="auto"/>
        <w:ind w:firstLine="708"/>
        <w:jc w:val="both"/>
        <w:rPr>
          <w:rFonts w:cs="Arial"/>
          <w:lang w:val="es-MX"/>
        </w:rPr>
      </w:pPr>
      <w:r>
        <w:rPr>
          <w:rFonts w:cs="Arial"/>
          <w:lang w:val="es-MX"/>
        </w:rPr>
        <w:t xml:space="preserve">En este sentido consideramos que la </w:t>
      </w:r>
      <w:r w:rsidRPr="00382299">
        <w:rPr>
          <w:rFonts w:cs="Arial"/>
          <w:lang w:val="es-MX"/>
        </w:rPr>
        <w:t xml:space="preserve">rendición de cuentas y la transparencia en el manejo de los recursos públicos </w:t>
      </w:r>
      <w:r>
        <w:rPr>
          <w:rFonts w:cs="Arial"/>
          <w:lang w:val="es-MX"/>
        </w:rPr>
        <w:t xml:space="preserve">que </w:t>
      </w:r>
      <w:r w:rsidR="00A167B5">
        <w:rPr>
          <w:rFonts w:cs="Arial"/>
          <w:lang w:val="es-MX"/>
        </w:rPr>
        <w:t xml:space="preserve">cada vez </w:t>
      </w:r>
      <w:r w:rsidRPr="00382299">
        <w:rPr>
          <w:rFonts w:cs="Arial"/>
          <w:lang w:val="es-MX"/>
        </w:rPr>
        <w:t>ocupa mayor atención</w:t>
      </w:r>
      <w:r>
        <w:rPr>
          <w:rFonts w:cs="Arial"/>
          <w:lang w:val="es-MX"/>
        </w:rPr>
        <w:t xml:space="preserve"> tanto e</w:t>
      </w:r>
      <w:r w:rsidRPr="00382299">
        <w:rPr>
          <w:rFonts w:cs="Arial"/>
          <w:lang w:val="es-MX"/>
        </w:rPr>
        <w:t xml:space="preserve">n el ámbito </w:t>
      </w:r>
      <w:r w:rsidR="00C40544" w:rsidRPr="00382299">
        <w:rPr>
          <w:rFonts w:cs="Arial"/>
          <w:lang w:val="es-MX"/>
        </w:rPr>
        <w:t>del gobierno estatal y municipal</w:t>
      </w:r>
      <w:r>
        <w:rPr>
          <w:rFonts w:cs="Arial"/>
          <w:lang w:val="es-MX"/>
        </w:rPr>
        <w:t>, no debe depender de empleados subordinados</w:t>
      </w:r>
      <w:r w:rsidR="00C40544">
        <w:rPr>
          <w:rFonts w:cs="Arial"/>
          <w:lang w:val="es-MX"/>
        </w:rPr>
        <w:t xml:space="preserve"> o a los funcionarios que inicien en el encargo,</w:t>
      </w:r>
      <w:r>
        <w:rPr>
          <w:rFonts w:cs="Arial"/>
          <w:lang w:val="es-MX"/>
        </w:rPr>
        <w:t xml:space="preserve"> sino de la eficiencia y correcto registro de irregularidades</w:t>
      </w:r>
      <w:r w:rsidR="00691028">
        <w:rPr>
          <w:rFonts w:cs="Arial"/>
          <w:lang w:val="es-MX"/>
        </w:rPr>
        <w:t xml:space="preserve"> y sus consecuencias</w:t>
      </w:r>
      <w:r w:rsidR="00F866AB">
        <w:rPr>
          <w:rFonts w:cs="Arial"/>
          <w:lang w:val="es-MX"/>
        </w:rPr>
        <w:t>.</w:t>
      </w:r>
    </w:p>
    <w:p w:rsidR="00C40544" w:rsidRDefault="00C40544" w:rsidP="00382299">
      <w:pPr>
        <w:spacing w:line="360" w:lineRule="auto"/>
        <w:ind w:firstLine="708"/>
        <w:jc w:val="both"/>
        <w:rPr>
          <w:rFonts w:cs="Arial"/>
          <w:lang w:val="es-MX"/>
        </w:rPr>
      </w:pPr>
    </w:p>
    <w:p w:rsidR="00691028" w:rsidRDefault="00691028" w:rsidP="00382299">
      <w:pPr>
        <w:spacing w:line="360" w:lineRule="auto"/>
        <w:ind w:firstLine="708"/>
        <w:jc w:val="both"/>
        <w:rPr>
          <w:rFonts w:cs="Arial"/>
          <w:lang w:val="es-MX"/>
        </w:rPr>
      </w:pPr>
      <w:r>
        <w:rPr>
          <w:rFonts w:cs="Arial"/>
          <w:lang w:val="es-MX"/>
        </w:rPr>
        <w:t xml:space="preserve">Por otro lado, no hay que olvidar que el principio de </w:t>
      </w:r>
      <w:r w:rsidRPr="00691028">
        <w:rPr>
          <w:rFonts w:cs="Arial"/>
          <w:i/>
          <w:lang w:val="es-MX"/>
        </w:rPr>
        <w:t>“última ratio”,</w:t>
      </w:r>
      <w:r w:rsidRPr="00691028">
        <w:rPr>
          <w:rFonts w:cs="Arial"/>
          <w:lang w:val="es-MX"/>
        </w:rPr>
        <w:t xml:space="preserve"> entendido como una de las expresiones de</w:t>
      </w:r>
      <w:r>
        <w:rPr>
          <w:rFonts w:cs="Arial"/>
          <w:lang w:val="es-MX"/>
        </w:rPr>
        <w:t xml:space="preserve"> </w:t>
      </w:r>
      <w:r w:rsidRPr="00691028">
        <w:rPr>
          <w:rFonts w:cs="Arial"/>
          <w:lang w:val="es-MX"/>
        </w:rPr>
        <w:t xml:space="preserve">necesidad de la intervención del </w:t>
      </w:r>
      <w:r>
        <w:rPr>
          <w:rFonts w:cs="Arial"/>
          <w:lang w:val="es-MX"/>
        </w:rPr>
        <w:t>Estado, que e</w:t>
      </w:r>
      <w:r w:rsidRPr="00691028">
        <w:rPr>
          <w:rFonts w:cs="Arial"/>
          <w:lang w:val="es-MX"/>
        </w:rPr>
        <w:t xml:space="preserve">sencialmente, apunta a que el Derecho penal debe ser el último instrumento al que la sociedad recurre para proteger determinados bienes jurídicos, siempre y cuando no haya otras </w:t>
      </w:r>
      <w:r w:rsidR="000D5393">
        <w:rPr>
          <w:rFonts w:cs="Arial"/>
          <w:lang w:val="es-MX"/>
        </w:rPr>
        <w:t>formas de control menos lesivas.</w:t>
      </w:r>
    </w:p>
    <w:p w:rsidR="000D5393" w:rsidRDefault="000D5393" w:rsidP="00382299">
      <w:pPr>
        <w:spacing w:line="360" w:lineRule="auto"/>
        <w:ind w:firstLine="708"/>
        <w:jc w:val="both"/>
        <w:rPr>
          <w:rFonts w:cs="Arial"/>
          <w:lang w:val="es-MX"/>
        </w:rPr>
      </w:pPr>
    </w:p>
    <w:p w:rsidR="00277156" w:rsidRPr="00277156" w:rsidRDefault="000D5393" w:rsidP="00C40544">
      <w:pPr>
        <w:spacing w:line="360" w:lineRule="auto"/>
        <w:ind w:firstLine="708"/>
        <w:jc w:val="both"/>
        <w:rPr>
          <w:rFonts w:cs="Arial"/>
          <w:lang w:val="es-MX"/>
        </w:rPr>
      </w:pPr>
      <w:r>
        <w:rPr>
          <w:rFonts w:cs="Arial"/>
          <w:lang w:val="es-MX"/>
        </w:rPr>
        <w:t xml:space="preserve">Con base en lo anterior y </w:t>
      </w:r>
      <w:r w:rsidR="00C40544" w:rsidRPr="00472B5E">
        <w:rPr>
          <w:rFonts w:cs="Arial"/>
          <w:lang w:val="es-MX"/>
        </w:rPr>
        <w:t xml:space="preserve">con la finalidad de coadyuvar en los avances y procesos que permitan construir en este contexto de la mano con los organismo ya mencionados, buscando una mayor y eficiente supervisión del gasto público, los Servidores Público ya encuentran sanciones administrativas para el caso que le preocupa a los iniciantes, en </w:t>
      </w:r>
      <w:r w:rsidR="00277156" w:rsidRPr="00472B5E">
        <w:rPr>
          <w:rFonts w:cs="Arial"/>
          <w:lang w:val="es-MX"/>
        </w:rPr>
        <w:t>acciones</w:t>
      </w:r>
      <w:r w:rsidR="00277156">
        <w:rPr>
          <w:rFonts w:cs="Arial"/>
          <w:lang w:val="es-MX"/>
        </w:rPr>
        <w:t xml:space="preserve"> administrativas, </w:t>
      </w:r>
      <w:r w:rsidR="00C40544">
        <w:rPr>
          <w:rFonts w:cs="Arial"/>
          <w:lang w:val="es-MX"/>
        </w:rPr>
        <w:t xml:space="preserve">pues </w:t>
      </w:r>
      <w:r w:rsidR="00277156">
        <w:rPr>
          <w:rFonts w:cs="Arial"/>
          <w:lang w:val="es-MX"/>
        </w:rPr>
        <w:t xml:space="preserve">ya </w:t>
      </w:r>
      <w:r w:rsidR="00C40544">
        <w:rPr>
          <w:rFonts w:cs="Arial"/>
          <w:lang w:val="es-MX"/>
        </w:rPr>
        <w:t xml:space="preserve">se encuentra regulado en </w:t>
      </w:r>
      <w:r w:rsidR="00277156">
        <w:rPr>
          <w:rFonts w:cs="Arial"/>
          <w:lang w:val="es-MX"/>
        </w:rPr>
        <w:t xml:space="preserve">la Ley </w:t>
      </w:r>
      <w:r w:rsidR="00277156" w:rsidRPr="00277156">
        <w:rPr>
          <w:rFonts w:cs="Arial"/>
          <w:lang w:val="es-MX"/>
        </w:rPr>
        <w:t xml:space="preserve">de </w:t>
      </w:r>
      <w:r w:rsidR="00277156">
        <w:rPr>
          <w:rFonts w:cs="Arial"/>
          <w:lang w:val="es-MX"/>
        </w:rPr>
        <w:t>R</w:t>
      </w:r>
      <w:r w:rsidR="00277156" w:rsidRPr="00277156">
        <w:rPr>
          <w:rFonts w:cs="Arial"/>
          <w:lang w:val="es-MX"/>
        </w:rPr>
        <w:t xml:space="preserve">esponsabilidades de los </w:t>
      </w:r>
      <w:r w:rsidR="00277156">
        <w:rPr>
          <w:rFonts w:cs="Arial"/>
          <w:lang w:val="es-MX"/>
        </w:rPr>
        <w:t>S</w:t>
      </w:r>
      <w:r w:rsidR="00277156" w:rsidRPr="00277156">
        <w:rPr>
          <w:rFonts w:cs="Arial"/>
          <w:lang w:val="es-MX"/>
        </w:rPr>
        <w:t xml:space="preserve">ervidores </w:t>
      </w:r>
      <w:r w:rsidR="00277156">
        <w:rPr>
          <w:rFonts w:cs="Arial"/>
          <w:lang w:val="es-MX"/>
        </w:rPr>
        <w:lastRenderedPageBreak/>
        <w:t>P</w:t>
      </w:r>
      <w:r w:rsidR="00277156" w:rsidRPr="00277156">
        <w:rPr>
          <w:rFonts w:cs="Arial"/>
          <w:lang w:val="es-MX"/>
        </w:rPr>
        <w:t xml:space="preserve">úblicos del </w:t>
      </w:r>
      <w:r w:rsidR="00277156">
        <w:rPr>
          <w:rFonts w:cs="Arial"/>
          <w:lang w:val="es-MX"/>
        </w:rPr>
        <w:t>E</w:t>
      </w:r>
      <w:r w:rsidR="00277156" w:rsidRPr="00277156">
        <w:rPr>
          <w:rFonts w:cs="Arial"/>
          <w:lang w:val="es-MX"/>
        </w:rPr>
        <w:t xml:space="preserve">stado y </w:t>
      </w:r>
      <w:r w:rsidR="00277156">
        <w:rPr>
          <w:rFonts w:cs="Arial"/>
          <w:lang w:val="es-MX"/>
        </w:rPr>
        <w:t>M</w:t>
      </w:r>
      <w:r w:rsidR="00277156" w:rsidRPr="00277156">
        <w:rPr>
          <w:rFonts w:cs="Arial"/>
          <w:lang w:val="es-MX"/>
        </w:rPr>
        <w:t xml:space="preserve">unicipios de </w:t>
      </w:r>
      <w:r w:rsidR="00277156">
        <w:rPr>
          <w:rFonts w:cs="Arial"/>
          <w:lang w:val="es-MX"/>
        </w:rPr>
        <w:t>N</w:t>
      </w:r>
      <w:r w:rsidR="00277156" w:rsidRPr="00277156">
        <w:rPr>
          <w:rFonts w:cs="Arial"/>
          <w:lang w:val="es-MX"/>
        </w:rPr>
        <w:t xml:space="preserve">uevo </w:t>
      </w:r>
      <w:r w:rsidR="00277156">
        <w:rPr>
          <w:rFonts w:cs="Arial"/>
          <w:lang w:val="es-MX"/>
        </w:rPr>
        <w:t>L</w:t>
      </w:r>
      <w:r w:rsidR="00277156" w:rsidRPr="00277156">
        <w:rPr>
          <w:rFonts w:cs="Arial"/>
          <w:lang w:val="es-MX"/>
        </w:rPr>
        <w:t>eón</w:t>
      </w:r>
      <w:r w:rsidR="00277156">
        <w:rPr>
          <w:rFonts w:cs="Arial"/>
          <w:lang w:val="es-MX"/>
        </w:rPr>
        <w:t>, de entre las cuales el artículo 50 señala en sus fracciones para los supuestos de estudio lo siguiente:</w:t>
      </w:r>
    </w:p>
    <w:p w:rsidR="00F866AB" w:rsidRDefault="00F866AB" w:rsidP="00277156">
      <w:pPr>
        <w:spacing w:line="360" w:lineRule="auto"/>
        <w:ind w:firstLine="708"/>
        <w:jc w:val="both"/>
        <w:rPr>
          <w:rFonts w:cs="Arial"/>
          <w:lang w:val="es-MX"/>
        </w:rPr>
      </w:pPr>
    </w:p>
    <w:p w:rsidR="00F866AB" w:rsidRPr="00277156" w:rsidRDefault="00277156" w:rsidP="00277156">
      <w:pPr>
        <w:tabs>
          <w:tab w:val="left" w:pos="0"/>
        </w:tabs>
        <w:spacing w:line="360" w:lineRule="auto"/>
        <w:ind w:left="708" w:right="-234"/>
        <w:jc w:val="both"/>
        <w:rPr>
          <w:rFonts w:cs="Arial"/>
          <w:i/>
          <w:lang w:val="es-MX"/>
        </w:rPr>
      </w:pPr>
      <w:r w:rsidRPr="00277156">
        <w:rPr>
          <w:rFonts w:cs="Arial"/>
          <w:i/>
          <w:lang w:val="es-MX"/>
        </w:rPr>
        <w:t>“</w:t>
      </w:r>
      <w:r w:rsidR="00F866AB" w:rsidRPr="00277156">
        <w:rPr>
          <w:rFonts w:cs="Arial"/>
          <w:i/>
          <w:lang w:val="es-MX"/>
        </w:rPr>
        <w:t>XXXVII.-Proporcionar o suministrar oportunamente los datos, la información y los documentos relacionados con la administración y ejercicio de las finanzas públicas, y no obstaculizar la práctica de visitas, inspecciones o auditorías y el acceso a los archivos, que le requieran las autoridades competentes en las formas, términos y condiciones señaladas en la Ley de Administración Financiera para el Estado y la Ley del Órgano Superior de Fiscalización del Estado de Nuevo León;</w:t>
      </w:r>
    </w:p>
    <w:p w:rsidR="00F866AB" w:rsidRPr="00277156" w:rsidRDefault="00F866AB" w:rsidP="00277156">
      <w:pPr>
        <w:spacing w:line="360" w:lineRule="auto"/>
        <w:ind w:left="708" w:right="-234"/>
        <w:jc w:val="both"/>
        <w:rPr>
          <w:rFonts w:cs="Arial"/>
          <w:i/>
          <w:lang w:val="es-MX"/>
        </w:rPr>
      </w:pPr>
      <w:r w:rsidRPr="00277156">
        <w:rPr>
          <w:rFonts w:cs="Arial"/>
          <w:i/>
          <w:lang w:val="es-MX"/>
        </w:rPr>
        <w:t>XXXVIII. Formular las observaciones pertinentes e informar a sus jefes inmediatos sobre las irregularidades o los ilícitos detectados, que puedan dar origen al fincamiento y determinación de responsabilidades, o a la presentación de denuncias penales, derivadas de las inspecciones, revisiones o auditorías internas o externas que se practiquen conforme a sus funciones en los procedimientos de fiscalización, control y evaluación gubernamental;</w:t>
      </w:r>
    </w:p>
    <w:p w:rsidR="00F866AB" w:rsidRPr="00C40544" w:rsidRDefault="00F866AB" w:rsidP="00277156">
      <w:pPr>
        <w:spacing w:line="360" w:lineRule="auto"/>
        <w:ind w:left="708" w:right="-234"/>
        <w:jc w:val="both"/>
        <w:rPr>
          <w:rFonts w:cs="Arial"/>
          <w:i/>
          <w:lang w:val="es-MX"/>
        </w:rPr>
      </w:pPr>
      <w:r w:rsidRPr="00277156">
        <w:rPr>
          <w:rFonts w:cs="Arial"/>
          <w:i/>
          <w:lang w:val="es-MX"/>
        </w:rPr>
        <w:t xml:space="preserve">XLII. Informar por escrito a su superior jerárquico cuando tenga conocimiento por razón de su empleo, cargo o comisión, de hechos en los que puedan resultar gravemente afectados el patrimonio o los intereses del Gobierno del Estado o Municipio; </w:t>
      </w:r>
      <w:r w:rsidRPr="00C40544">
        <w:rPr>
          <w:rFonts w:cs="Arial"/>
          <w:i/>
          <w:lang w:val="es-MX"/>
        </w:rPr>
        <w:t>o evitarlo si está dentro de sus facultades;</w:t>
      </w:r>
    </w:p>
    <w:p w:rsidR="00277156" w:rsidRPr="00277156" w:rsidRDefault="00277156" w:rsidP="00277156">
      <w:pPr>
        <w:pStyle w:val="Prrafodelista"/>
        <w:tabs>
          <w:tab w:val="left" w:pos="-1418"/>
        </w:tabs>
        <w:spacing w:after="0" w:line="360" w:lineRule="auto"/>
        <w:ind w:left="708"/>
        <w:jc w:val="both"/>
        <w:rPr>
          <w:rFonts w:ascii="Arial" w:hAnsi="Arial" w:cs="Arial"/>
          <w:i/>
          <w:sz w:val="24"/>
          <w:szCs w:val="24"/>
          <w:lang w:val="es-MX"/>
        </w:rPr>
      </w:pPr>
      <w:r w:rsidRPr="00277156">
        <w:rPr>
          <w:rFonts w:ascii="Arial" w:hAnsi="Arial" w:cs="Arial"/>
          <w:i/>
          <w:sz w:val="24"/>
          <w:szCs w:val="24"/>
          <w:lang w:val="es-MX"/>
        </w:rPr>
        <w:t>LXVI.- Denunciar ante la autoridad competente las conductas relacionadas con actos de corrupción”</w:t>
      </w:r>
    </w:p>
    <w:p w:rsidR="00F866AB" w:rsidRPr="00277156" w:rsidRDefault="00F866AB" w:rsidP="00277156">
      <w:pPr>
        <w:spacing w:line="360" w:lineRule="auto"/>
        <w:ind w:right="-234"/>
        <w:jc w:val="both"/>
        <w:rPr>
          <w:rFonts w:cs="Arial"/>
          <w:lang w:val="es-MX"/>
        </w:rPr>
      </w:pPr>
    </w:p>
    <w:p w:rsidR="00277156" w:rsidRPr="00277156" w:rsidRDefault="00277156" w:rsidP="00277156">
      <w:pPr>
        <w:spacing w:line="360" w:lineRule="auto"/>
        <w:ind w:right="-234" w:firstLine="708"/>
        <w:jc w:val="both"/>
        <w:rPr>
          <w:rFonts w:cs="Arial"/>
          <w:lang w:val="es-MX"/>
        </w:rPr>
      </w:pPr>
      <w:r w:rsidRPr="00277156">
        <w:rPr>
          <w:rFonts w:cs="Arial"/>
          <w:lang w:val="es-MX"/>
        </w:rPr>
        <w:lastRenderedPageBreak/>
        <w:t xml:space="preserve">La </w:t>
      </w:r>
      <w:r>
        <w:rPr>
          <w:rFonts w:cs="Arial"/>
          <w:lang w:val="es-MX"/>
        </w:rPr>
        <w:t xml:space="preserve">legislación en comento también </w:t>
      </w:r>
      <w:r w:rsidRPr="00277156">
        <w:rPr>
          <w:rFonts w:cs="Arial"/>
          <w:lang w:val="es-MX"/>
        </w:rPr>
        <w:t>señala en el Artículo 51, que se incurre en responsabilidad administrativa por incumplimiento de cualquiera de las obligaciones generales a que se refiere el Artículo anterior</w:t>
      </w:r>
      <w:r w:rsidR="00472B5E">
        <w:rPr>
          <w:rFonts w:cs="Arial"/>
          <w:lang w:val="es-MX"/>
        </w:rPr>
        <w:t>, es decir el 50</w:t>
      </w:r>
      <w:r w:rsidRPr="00277156">
        <w:rPr>
          <w:rFonts w:cs="Arial"/>
          <w:lang w:val="es-MX"/>
        </w:rPr>
        <w:t xml:space="preserve"> y dará lugar a la instrucción del procedimiento de responsabilidades establecido en esta Ley y, en su caso, a la sanción correspondiente, independientemente de las obligaciones específicas inherentes a su empleo, cargo o comisión y de los derechos y obligaciones laborales de los servidores públicos, las cuales van </w:t>
      </w:r>
      <w:r w:rsidR="00F760F8">
        <w:rPr>
          <w:rFonts w:cs="Arial"/>
          <w:lang w:val="es-MX"/>
        </w:rPr>
        <w:t>desde la s</w:t>
      </w:r>
      <w:r w:rsidRPr="00277156">
        <w:rPr>
          <w:rFonts w:cs="Arial"/>
          <w:lang w:val="es-MX"/>
        </w:rPr>
        <w:t xml:space="preserve">uspensión o </w:t>
      </w:r>
      <w:r w:rsidR="00F760F8">
        <w:rPr>
          <w:rFonts w:cs="Arial"/>
          <w:lang w:val="es-MX"/>
        </w:rPr>
        <w:t>d</w:t>
      </w:r>
      <w:r w:rsidRPr="00277156">
        <w:rPr>
          <w:rFonts w:cs="Arial"/>
          <w:lang w:val="es-MX"/>
        </w:rPr>
        <w:t>estitución del puesto, e Inhabilitación temporal para desempeñar empleos, cargos o comisiones de cualquier na</w:t>
      </w:r>
      <w:r w:rsidR="00472B5E">
        <w:rPr>
          <w:rFonts w:cs="Arial"/>
          <w:lang w:val="es-MX"/>
        </w:rPr>
        <w:t>turaleza en el servicio público</w:t>
      </w:r>
      <w:r w:rsidRPr="00277156">
        <w:rPr>
          <w:rFonts w:cs="Arial"/>
          <w:lang w:val="es-MX"/>
        </w:rPr>
        <w:t xml:space="preserve"> por un período </w:t>
      </w:r>
      <w:r w:rsidR="00472B5E">
        <w:rPr>
          <w:rFonts w:cs="Arial"/>
          <w:lang w:val="es-MX"/>
        </w:rPr>
        <w:t xml:space="preserve">que va desde </w:t>
      </w:r>
      <w:r w:rsidRPr="00277156">
        <w:rPr>
          <w:rFonts w:cs="Arial"/>
          <w:lang w:val="es-MX"/>
        </w:rPr>
        <w:t>un</w:t>
      </w:r>
      <w:r w:rsidR="00472B5E">
        <w:rPr>
          <w:rFonts w:cs="Arial"/>
          <w:lang w:val="es-MX"/>
        </w:rPr>
        <w:t xml:space="preserve"> año</w:t>
      </w:r>
      <w:r w:rsidRPr="00277156">
        <w:rPr>
          <w:rFonts w:cs="Arial"/>
          <w:lang w:val="es-MX"/>
        </w:rPr>
        <w:t xml:space="preserve"> hasta veinte años</w:t>
      </w:r>
      <w:r w:rsidR="00F760F8">
        <w:rPr>
          <w:rFonts w:cs="Arial"/>
          <w:lang w:val="es-MX"/>
        </w:rPr>
        <w:t>, dependiendo de los resultados del proceso.</w:t>
      </w:r>
    </w:p>
    <w:p w:rsidR="00277156" w:rsidRDefault="00277156" w:rsidP="00382299">
      <w:pPr>
        <w:spacing w:line="360" w:lineRule="auto"/>
        <w:ind w:firstLine="708"/>
        <w:jc w:val="both"/>
        <w:rPr>
          <w:rFonts w:cs="Arial"/>
          <w:lang w:val="es-MX"/>
        </w:rPr>
      </w:pPr>
    </w:p>
    <w:p w:rsidR="00F276B0" w:rsidRPr="00A46EBB" w:rsidRDefault="00F276B0" w:rsidP="00F276B0">
      <w:pPr>
        <w:spacing w:line="360" w:lineRule="auto"/>
        <w:ind w:firstLine="708"/>
        <w:jc w:val="both"/>
        <w:rPr>
          <w:rFonts w:cs="Arial"/>
          <w:bCs/>
          <w:lang w:val="es-MX"/>
        </w:rPr>
      </w:pPr>
      <w:r w:rsidRPr="00A46EBB">
        <w:rPr>
          <w:rFonts w:cs="Arial"/>
          <w:bCs/>
          <w:lang w:val="es-MX"/>
        </w:rPr>
        <w:t xml:space="preserve">En virtud de las consideraciones vertidas en el cuerpo del presente dictamen, los integrantes de </w:t>
      </w:r>
      <w:smartTag w:uri="urn:schemas-microsoft-com:office:smarttags" w:element="metricconverter">
        <w:smartTagPr>
          <w:attr w:name="ProductID" w:val="la Comisi￳n"/>
        </w:smartTagPr>
        <w:r w:rsidRPr="00A46EBB">
          <w:rPr>
            <w:rFonts w:cs="Arial"/>
            <w:bCs/>
            <w:lang w:val="es-MX"/>
          </w:rPr>
          <w:t xml:space="preserve">la </w:t>
        </w:r>
        <w:r w:rsidRPr="00FA1FAF">
          <w:rPr>
            <w:rFonts w:cs="Arial"/>
            <w:b/>
            <w:bCs/>
            <w:lang w:val="es-MX"/>
          </w:rPr>
          <w:t>Comisión</w:t>
        </w:r>
      </w:smartTag>
      <w:r w:rsidRPr="00FA1FAF">
        <w:rPr>
          <w:rFonts w:cs="Arial"/>
          <w:b/>
          <w:bCs/>
          <w:lang w:val="es-MX"/>
        </w:rPr>
        <w:t xml:space="preserve"> de </w:t>
      </w:r>
      <w:r w:rsidRPr="00FA1FAF">
        <w:rPr>
          <w:rFonts w:cs="Arial"/>
          <w:b/>
          <w:lang w:val="es-MX"/>
        </w:rPr>
        <w:t>Justicia y Seguridad Pública</w:t>
      </w:r>
      <w:r w:rsidRPr="00A46EBB">
        <w:rPr>
          <w:rFonts w:cs="Arial"/>
          <w:bCs/>
          <w:lang w:val="es-MX"/>
        </w:rPr>
        <w:t>, con fundamento en lo dispuesto en el artículo 63 fracción I de la Constitución Política del Estado Libre y Soberano de Nuevo León, sometemos a la consideración de esta Soberanía el siguiente proyecto de:</w:t>
      </w:r>
    </w:p>
    <w:p w:rsidR="00F276B0" w:rsidRPr="00A46EBB" w:rsidRDefault="00F276B0" w:rsidP="00F276B0">
      <w:pPr>
        <w:spacing w:line="360" w:lineRule="auto"/>
        <w:rPr>
          <w:rFonts w:cs="Arial"/>
          <w:b/>
          <w:lang w:val="es-MX"/>
        </w:rPr>
      </w:pPr>
    </w:p>
    <w:p w:rsidR="00FF0070" w:rsidRDefault="00FF0070" w:rsidP="00FF0070">
      <w:pPr>
        <w:autoSpaceDE w:val="0"/>
        <w:autoSpaceDN w:val="0"/>
        <w:adjustRightInd w:val="0"/>
        <w:spacing w:line="360" w:lineRule="auto"/>
        <w:jc w:val="center"/>
        <w:rPr>
          <w:rFonts w:cs="Arial"/>
          <w:b/>
          <w:bCs/>
          <w:color w:val="000000"/>
          <w:lang w:eastAsia="es-MX"/>
        </w:rPr>
      </w:pPr>
      <w:r w:rsidRPr="00100602">
        <w:rPr>
          <w:rFonts w:cs="Arial"/>
          <w:b/>
          <w:bCs/>
          <w:color w:val="000000"/>
          <w:lang w:eastAsia="es-MX"/>
        </w:rPr>
        <w:t>A C U E R D O</w:t>
      </w:r>
    </w:p>
    <w:p w:rsidR="00FF0070" w:rsidRPr="0083193E" w:rsidRDefault="00FF0070" w:rsidP="00FF0070">
      <w:pPr>
        <w:autoSpaceDE w:val="0"/>
        <w:autoSpaceDN w:val="0"/>
        <w:adjustRightInd w:val="0"/>
        <w:spacing w:line="360" w:lineRule="auto"/>
        <w:jc w:val="center"/>
        <w:rPr>
          <w:rFonts w:cs="Arial"/>
          <w:b/>
          <w:bCs/>
          <w:color w:val="000000"/>
          <w:sz w:val="14"/>
          <w:lang w:eastAsia="es-MX"/>
        </w:rPr>
      </w:pPr>
    </w:p>
    <w:p w:rsidR="00C9004E" w:rsidRDefault="00C9004E" w:rsidP="00C9004E">
      <w:pPr>
        <w:spacing w:line="360" w:lineRule="auto"/>
        <w:jc w:val="both"/>
        <w:rPr>
          <w:rFonts w:cs="Arial"/>
          <w:bCs/>
          <w:color w:val="000000"/>
          <w:lang w:eastAsia="es-MX"/>
        </w:rPr>
      </w:pPr>
      <w:r>
        <w:rPr>
          <w:rFonts w:cs="Arial"/>
          <w:b/>
          <w:bCs/>
          <w:color w:val="000000"/>
          <w:lang w:eastAsia="es-MX"/>
        </w:rPr>
        <w:t>Primero</w:t>
      </w:r>
      <w:r w:rsidRPr="0038551A">
        <w:rPr>
          <w:rFonts w:cs="Arial"/>
          <w:b/>
          <w:bCs/>
          <w:color w:val="000000"/>
          <w:lang w:eastAsia="es-MX"/>
        </w:rPr>
        <w:t>.-</w:t>
      </w:r>
      <w:r>
        <w:rPr>
          <w:rFonts w:cs="Arial"/>
          <w:bCs/>
          <w:color w:val="000000"/>
          <w:lang w:eastAsia="es-MX"/>
        </w:rPr>
        <w:t>Se da por atendida la iniciativa presentada por los Promoventes, en virtud de las consideraciones vertidas en el presente proyecto de Dictamen.</w:t>
      </w:r>
    </w:p>
    <w:p w:rsidR="00C9004E" w:rsidRDefault="00C9004E" w:rsidP="00C9004E">
      <w:pPr>
        <w:spacing w:line="360" w:lineRule="auto"/>
        <w:jc w:val="both"/>
        <w:rPr>
          <w:rFonts w:cs="Arial"/>
          <w:bCs/>
          <w:color w:val="000000"/>
          <w:lang w:eastAsia="es-MX"/>
        </w:rPr>
      </w:pPr>
    </w:p>
    <w:p w:rsidR="00C9004E" w:rsidRDefault="00C9004E" w:rsidP="00C9004E">
      <w:pPr>
        <w:spacing w:line="360" w:lineRule="auto"/>
        <w:jc w:val="both"/>
        <w:rPr>
          <w:rFonts w:cs="Arial"/>
          <w:lang w:val="es-MX"/>
        </w:rPr>
      </w:pPr>
      <w:r w:rsidRPr="00A46EBB">
        <w:rPr>
          <w:rFonts w:cs="Arial"/>
          <w:b/>
          <w:lang w:val="es-MX"/>
        </w:rPr>
        <w:t>Segundo.</w:t>
      </w:r>
      <w:r w:rsidRPr="00A46EBB">
        <w:rPr>
          <w:rFonts w:cs="Arial"/>
          <w:lang w:val="es-MX"/>
        </w:rPr>
        <w:t>-Co</w:t>
      </w:r>
      <w:r>
        <w:rPr>
          <w:rFonts w:cs="Arial"/>
          <w:lang w:val="es-MX"/>
        </w:rPr>
        <w:t>muníquese el presente Acuerdo al</w:t>
      </w:r>
      <w:r w:rsidRPr="00A46EBB">
        <w:rPr>
          <w:rFonts w:cs="Arial"/>
          <w:lang w:val="es-MX"/>
        </w:rPr>
        <w:t xml:space="preserve"> Promovente, de conformidad con lo establecido en el artículo 124 del Reglamento para el Gobierno Interior del Congreso del Estado.</w:t>
      </w:r>
    </w:p>
    <w:p w:rsidR="00C9004E" w:rsidRDefault="00C9004E" w:rsidP="00C9004E">
      <w:pPr>
        <w:spacing w:line="360" w:lineRule="auto"/>
        <w:jc w:val="both"/>
        <w:rPr>
          <w:rFonts w:cs="Arial"/>
          <w:lang w:val="es-MX"/>
        </w:rPr>
      </w:pPr>
      <w:bookmarkStart w:id="0" w:name="_GoBack"/>
      <w:bookmarkEnd w:id="0"/>
    </w:p>
    <w:p w:rsidR="00C9004E" w:rsidRPr="00943242" w:rsidRDefault="00C9004E" w:rsidP="00C9004E">
      <w:pPr>
        <w:spacing w:line="360" w:lineRule="auto"/>
        <w:jc w:val="both"/>
        <w:rPr>
          <w:rFonts w:cs="Arial"/>
          <w:lang w:val="es-MX"/>
        </w:rPr>
      </w:pPr>
      <w:r>
        <w:rPr>
          <w:rFonts w:cs="Arial"/>
          <w:b/>
          <w:lang w:val="es-MX"/>
        </w:rPr>
        <w:t>Tercero.-</w:t>
      </w:r>
      <w:r w:rsidRPr="00943242">
        <w:rPr>
          <w:rFonts w:cs="Arial"/>
          <w:color w:val="333333"/>
          <w:sz w:val="18"/>
          <w:szCs w:val="18"/>
          <w:shd w:val="clear" w:color="auto" w:fill="FFFFFF"/>
        </w:rPr>
        <w:t xml:space="preserve"> </w:t>
      </w:r>
      <w:r w:rsidRPr="00943242">
        <w:rPr>
          <w:rFonts w:cs="Arial"/>
        </w:rPr>
        <w:t>Archívese y téngase por concluido el presente asunto.</w:t>
      </w:r>
    </w:p>
    <w:p w:rsidR="00F760F8" w:rsidRDefault="00F760F8" w:rsidP="00FF0070">
      <w:pPr>
        <w:spacing w:line="360" w:lineRule="auto"/>
        <w:jc w:val="both"/>
        <w:rPr>
          <w:rFonts w:cs="Arial"/>
          <w:b/>
        </w:rPr>
      </w:pPr>
    </w:p>
    <w:p w:rsidR="00FF0070" w:rsidRPr="00076F21" w:rsidRDefault="00FF0070" w:rsidP="00FF0070">
      <w:pPr>
        <w:spacing w:line="360" w:lineRule="auto"/>
        <w:jc w:val="both"/>
        <w:rPr>
          <w:rFonts w:cs="Arial"/>
          <w:b/>
          <w:sz w:val="8"/>
        </w:rPr>
      </w:pPr>
    </w:p>
    <w:p w:rsidR="00FF0070" w:rsidRPr="00866B7A" w:rsidRDefault="00FF0070" w:rsidP="00FF0070">
      <w:pPr>
        <w:spacing w:line="360" w:lineRule="auto"/>
        <w:jc w:val="both"/>
        <w:rPr>
          <w:rFonts w:cs="Arial"/>
          <w:b/>
          <w:sz w:val="12"/>
          <w:lang w:val="es-MX"/>
        </w:rPr>
      </w:pPr>
    </w:p>
    <w:p w:rsidR="00FF0070" w:rsidRDefault="00FF0070" w:rsidP="00FF0070">
      <w:pPr>
        <w:spacing w:line="360" w:lineRule="auto"/>
        <w:jc w:val="center"/>
        <w:rPr>
          <w:rFonts w:cs="Arial"/>
          <w:b/>
        </w:rPr>
      </w:pPr>
      <w:r w:rsidRPr="003B7662">
        <w:rPr>
          <w:rFonts w:cs="Arial"/>
          <w:b/>
        </w:rPr>
        <w:t xml:space="preserve">Monterrey, </w:t>
      </w:r>
      <w:r>
        <w:rPr>
          <w:rFonts w:cs="Arial"/>
          <w:b/>
        </w:rPr>
        <w:t>Nuevo León</w:t>
      </w:r>
    </w:p>
    <w:p w:rsidR="00FF0070" w:rsidRDefault="00FF0070" w:rsidP="00FF0070">
      <w:pPr>
        <w:jc w:val="center"/>
        <w:rPr>
          <w:rFonts w:cs="Arial"/>
          <w:b/>
          <w:bCs/>
        </w:rPr>
      </w:pPr>
      <w:r w:rsidRPr="003B7662">
        <w:rPr>
          <w:rFonts w:cs="Arial"/>
          <w:b/>
          <w:bCs/>
        </w:rPr>
        <w:t>Comisión de Justicia y Seguridad Pública</w:t>
      </w:r>
    </w:p>
    <w:p w:rsidR="00FF0070" w:rsidRDefault="00FF0070" w:rsidP="00FF0070">
      <w:pPr>
        <w:jc w:val="center"/>
        <w:rPr>
          <w:rFonts w:cs="Arial"/>
          <w:b/>
          <w:bCs/>
        </w:rPr>
      </w:pPr>
    </w:p>
    <w:p w:rsidR="00FF0070" w:rsidRDefault="00FF0070" w:rsidP="00FF0070">
      <w:pPr>
        <w:jc w:val="center"/>
        <w:rPr>
          <w:rFonts w:cs="Arial"/>
          <w:b/>
          <w:bCs/>
        </w:rPr>
      </w:pPr>
    </w:p>
    <w:p w:rsidR="00FF0070" w:rsidRPr="00076F21" w:rsidRDefault="00FF0070" w:rsidP="00FF0070">
      <w:pPr>
        <w:jc w:val="center"/>
        <w:rPr>
          <w:rFonts w:cs="Arial"/>
          <w:b/>
          <w:bCs/>
          <w:sz w:val="4"/>
        </w:rPr>
      </w:pPr>
    </w:p>
    <w:p w:rsidR="00FF0070" w:rsidRPr="00866B7A" w:rsidRDefault="00FF0070" w:rsidP="00FF0070">
      <w:pPr>
        <w:jc w:val="center"/>
        <w:rPr>
          <w:rFonts w:cs="Arial"/>
          <w:b/>
          <w:bCs/>
          <w:sz w:val="4"/>
        </w:rPr>
      </w:pPr>
    </w:p>
    <w:p w:rsidR="00FF0070" w:rsidRPr="003B7662" w:rsidRDefault="00FF0070" w:rsidP="00FF0070">
      <w:pPr>
        <w:jc w:val="center"/>
        <w:rPr>
          <w:rFonts w:cs="Arial"/>
          <w:b/>
          <w:bCs/>
        </w:rPr>
      </w:pPr>
      <w:r w:rsidRPr="003B7662">
        <w:rPr>
          <w:rFonts w:cs="Arial"/>
          <w:b/>
          <w:bCs/>
        </w:rPr>
        <w:t>Dip. Presidente:</w:t>
      </w: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Default="00FF0070" w:rsidP="00FF0070">
      <w:pPr>
        <w:jc w:val="center"/>
        <w:rPr>
          <w:rFonts w:cs="Arial"/>
          <w:b/>
          <w:bCs/>
          <w:sz w:val="4"/>
        </w:rPr>
      </w:pPr>
    </w:p>
    <w:p w:rsidR="00FF0070" w:rsidRPr="002A7C48" w:rsidRDefault="00FF0070" w:rsidP="00FF0070">
      <w:pPr>
        <w:jc w:val="center"/>
        <w:rPr>
          <w:rFonts w:cs="Arial"/>
          <w:b/>
          <w:bCs/>
          <w:sz w:val="4"/>
        </w:rPr>
      </w:pPr>
    </w:p>
    <w:p w:rsidR="00FF0070" w:rsidRDefault="00FF0070" w:rsidP="00FF0070">
      <w:pPr>
        <w:jc w:val="center"/>
        <w:rPr>
          <w:rFonts w:cs="Arial"/>
        </w:rPr>
      </w:pPr>
      <w:r w:rsidRPr="003B7662">
        <w:rPr>
          <w:rFonts w:cs="Arial"/>
        </w:rPr>
        <w:t xml:space="preserve">   </w:t>
      </w:r>
      <w:r>
        <w:rPr>
          <w:rFonts w:cs="Arial"/>
        </w:rPr>
        <w:t>Gabriel Tláloc Cantú Cantú</w:t>
      </w:r>
      <w:r w:rsidRPr="003B7662">
        <w:rPr>
          <w:rFonts w:cs="Arial"/>
        </w:rPr>
        <w:tab/>
      </w:r>
    </w:p>
    <w:p w:rsidR="00FF0070" w:rsidRDefault="00FF0070" w:rsidP="00FF0070">
      <w:pPr>
        <w:jc w:val="center"/>
        <w:rPr>
          <w:rFonts w:cs="Arial"/>
        </w:rPr>
      </w:pPr>
    </w:p>
    <w:p w:rsidR="00FF0070" w:rsidRPr="003B7662" w:rsidRDefault="00FF0070" w:rsidP="00FF0070">
      <w:pPr>
        <w:jc w:val="center"/>
        <w:rPr>
          <w:rFonts w:cs="Arial"/>
        </w:rPr>
      </w:pPr>
    </w:p>
    <w:p w:rsidR="00FF0070" w:rsidRPr="003B7662" w:rsidRDefault="00FF0070" w:rsidP="00FF0070">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3686"/>
        <w:gridCol w:w="4394"/>
      </w:tblGrid>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Vicepresidente:</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Secretario:</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trHeight w:val="674"/>
          <w:jc w:val="center"/>
        </w:trPr>
        <w:tc>
          <w:tcPr>
            <w:tcW w:w="3686" w:type="dxa"/>
          </w:tcPr>
          <w:p w:rsidR="00FF0070" w:rsidRPr="003B7662" w:rsidRDefault="00FF0070" w:rsidP="009A4C92">
            <w:pPr>
              <w:rPr>
                <w:rFonts w:cs="Arial"/>
              </w:rPr>
            </w:pPr>
          </w:p>
          <w:p w:rsidR="00FF0070" w:rsidRPr="003B7662" w:rsidRDefault="00D13545" w:rsidP="00D13545">
            <w:pPr>
              <w:jc w:val="center"/>
              <w:rPr>
                <w:rFonts w:cs="Arial"/>
              </w:rPr>
            </w:pPr>
            <w:r>
              <w:rPr>
                <w:rFonts w:cs="Arial"/>
              </w:rPr>
              <w:t xml:space="preserve">Eva Patricia Salazar Marroquín </w:t>
            </w:r>
          </w:p>
        </w:tc>
        <w:tc>
          <w:tcPr>
            <w:tcW w:w="4394" w:type="dxa"/>
          </w:tcPr>
          <w:p w:rsidR="00FF0070" w:rsidRPr="003B7662" w:rsidRDefault="00FF0070" w:rsidP="009A4C92">
            <w:pPr>
              <w:jc w:val="center"/>
              <w:rPr>
                <w:rFonts w:cs="Arial"/>
              </w:rPr>
            </w:pPr>
          </w:p>
          <w:p w:rsidR="00FF0070" w:rsidRDefault="00FF0070" w:rsidP="009A4C92">
            <w:pPr>
              <w:jc w:val="center"/>
              <w:rPr>
                <w:rFonts w:cs="Arial"/>
              </w:rPr>
            </w:pPr>
            <w:r>
              <w:rPr>
                <w:rFonts w:cs="Arial"/>
              </w:rPr>
              <w:t>Laura Paula López Sánchez</w:t>
            </w:r>
          </w:p>
          <w:p w:rsidR="00FF0070" w:rsidRDefault="00FF0070" w:rsidP="009A4C92">
            <w:pPr>
              <w:jc w:val="center"/>
              <w:rPr>
                <w:rFonts w:cs="Arial"/>
              </w:rPr>
            </w:pPr>
          </w:p>
          <w:p w:rsidR="00FF0070" w:rsidRPr="003B7662"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A167B5" w:rsidRDefault="00A167B5" w:rsidP="009A4C92">
            <w:pPr>
              <w:jc w:val="center"/>
              <w:rPr>
                <w:rFonts w:cs="Arial"/>
              </w:rPr>
            </w:pPr>
          </w:p>
          <w:p w:rsidR="00A167B5" w:rsidRDefault="00A167B5" w:rsidP="009A4C92">
            <w:pPr>
              <w:jc w:val="center"/>
              <w:rPr>
                <w:rFonts w:cs="Arial"/>
              </w:rPr>
            </w:pPr>
          </w:p>
          <w:p w:rsidR="00A167B5" w:rsidRDefault="00A167B5" w:rsidP="009A4C92">
            <w:pPr>
              <w:jc w:val="center"/>
              <w:rPr>
                <w:rFonts w:cs="Arial"/>
              </w:rPr>
            </w:pPr>
          </w:p>
          <w:p w:rsidR="00A167B5" w:rsidRPr="003B7662" w:rsidRDefault="00A167B5"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lastRenderedPageBreak/>
              <w:t>Marco Antonio González Valdez</w:t>
            </w:r>
          </w:p>
        </w:tc>
        <w:tc>
          <w:tcPr>
            <w:tcW w:w="4394" w:type="dxa"/>
          </w:tcPr>
          <w:p w:rsidR="00FF0070" w:rsidRPr="003B7662" w:rsidRDefault="00D13545" w:rsidP="009A4C92">
            <w:pPr>
              <w:jc w:val="center"/>
              <w:rPr>
                <w:rFonts w:cs="Arial"/>
              </w:rPr>
            </w:pPr>
            <w:r>
              <w:rPr>
                <w:rFonts w:cs="Arial"/>
              </w:rPr>
              <w:t>José Arturo Salinas Garza</w:t>
            </w:r>
          </w:p>
        </w:tc>
      </w:tr>
      <w:tr w:rsidR="00FF0070" w:rsidRPr="003B7662" w:rsidTr="009A4C92">
        <w:trPr>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Default="00FF0070" w:rsidP="009A4C92">
            <w:pPr>
              <w:jc w:val="center"/>
              <w:rPr>
                <w:rFonts w:cs="Arial"/>
              </w:rPr>
            </w:pPr>
            <w:r>
              <w:rPr>
                <w:rFonts w:cs="Arial"/>
              </w:rPr>
              <w:t>Karina Marlene Barrón Perales</w:t>
            </w: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Default="00FF0070" w:rsidP="009A4C92">
            <w:pPr>
              <w:jc w:val="center"/>
              <w:rPr>
                <w:rFonts w:cs="Arial"/>
              </w:rPr>
            </w:pPr>
          </w:p>
          <w:p w:rsidR="00FF0070" w:rsidRPr="003B7662" w:rsidRDefault="00FF0070" w:rsidP="009A4C92">
            <w:pPr>
              <w:jc w:val="center"/>
              <w:rPr>
                <w:rFonts w:cs="Arial"/>
              </w:rPr>
            </w:pPr>
          </w:p>
        </w:tc>
        <w:tc>
          <w:tcPr>
            <w:tcW w:w="4394" w:type="dxa"/>
          </w:tcPr>
          <w:p w:rsidR="00FF0070" w:rsidRDefault="00FF0070" w:rsidP="009A4C92">
            <w:pPr>
              <w:jc w:val="center"/>
              <w:rPr>
                <w:rFonts w:cs="Arial"/>
              </w:rPr>
            </w:pPr>
            <w:r>
              <w:rPr>
                <w:rFonts w:cs="Arial"/>
              </w:rPr>
              <w:t>Marcelo Martínez Villarreal</w:t>
            </w:r>
          </w:p>
          <w:p w:rsidR="00FF0070" w:rsidRPr="003B7662" w:rsidRDefault="00FF0070" w:rsidP="009A4C92">
            <w:pPr>
              <w:jc w:val="center"/>
              <w:rPr>
                <w:rFonts w:cs="Arial"/>
              </w:rPr>
            </w:pPr>
          </w:p>
        </w:tc>
      </w:tr>
      <w:tr w:rsidR="00FF0070" w:rsidRPr="003B7662" w:rsidTr="009A4C92">
        <w:trPr>
          <w:jc w:val="center"/>
        </w:trPr>
        <w:tc>
          <w:tcPr>
            <w:tcW w:w="3686" w:type="dxa"/>
          </w:tcPr>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rPr>
                <w:rFonts w:cs="Arial"/>
                <w:b/>
                <w:bCs/>
              </w:rPr>
            </w:pPr>
          </w:p>
          <w:p w:rsidR="00FF0070" w:rsidRPr="003B7662" w:rsidRDefault="00FF0070" w:rsidP="009A4C92">
            <w:pPr>
              <w:jc w:val="center"/>
              <w:rPr>
                <w:rFonts w:cs="Arial"/>
                <w:b/>
                <w:bCs/>
              </w:rPr>
            </w:pPr>
          </w:p>
        </w:tc>
        <w:tc>
          <w:tcPr>
            <w:tcW w:w="4394" w:type="dxa"/>
          </w:tcPr>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9A4C92">
            <w:pPr>
              <w:jc w:val="center"/>
              <w:rPr>
                <w:rFonts w:cs="Arial"/>
              </w:rPr>
            </w:pPr>
            <w:r>
              <w:rPr>
                <w:rFonts w:cs="Arial"/>
              </w:rPr>
              <w:t xml:space="preserve">Marcos Mendoza Vázquez </w:t>
            </w:r>
          </w:p>
        </w:tc>
        <w:tc>
          <w:tcPr>
            <w:tcW w:w="4394" w:type="dxa"/>
          </w:tcPr>
          <w:p w:rsidR="00FF0070" w:rsidRPr="003B7662" w:rsidRDefault="00FF0070" w:rsidP="009A4C92">
            <w:pPr>
              <w:jc w:val="center"/>
              <w:rPr>
                <w:rFonts w:cs="Arial"/>
              </w:rPr>
            </w:pPr>
            <w:r>
              <w:rPr>
                <w:rFonts w:cs="Arial"/>
              </w:rPr>
              <w:t>Samuel Alejandro García Sepúlveda</w:t>
            </w:r>
          </w:p>
        </w:tc>
      </w:tr>
      <w:tr w:rsidR="00FF0070" w:rsidRPr="003B7662" w:rsidTr="009A4C92">
        <w:trPr>
          <w:trHeight w:val="1040"/>
          <w:jc w:val="center"/>
        </w:trPr>
        <w:tc>
          <w:tcPr>
            <w:tcW w:w="3686" w:type="dxa"/>
          </w:tcPr>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Default="00FF0070" w:rsidP="009A4C92">
            <w:pPr>
              <w:rPr>
                <w:rFonts w:cs="Arial"/>
                <w:b/>
                <w:bCs/>
              </w:rPr>
            </w:pPr>
          </w:p>
          <w:p w:rsidR="00FF0070" w:rsidRPr="003B7662" w:rsidRDefault="00FF0070" w:rsidP="009A4C92">
            <w:pPr>
              <w:rPr>
                <w:rFonts w:cs="Arial"/>
                <w:b/>
                <w:bCs/>
              </w:rPr>
            </w:pPr>
          </w:p>
          <w:p w:rsidR="00FF0070" w:rsidRPr="003B7662" w:rsidRDefault="00FF0070" w:rsidP="009A4C92">
            <w:pPr>
              <w:jc w:val="center"/>
              <w:rPr>
                <w:rFonts w:cs="Arial"/>
                <w:b/>
                <w:bCs/>
              </w:rPr>
            </w:pPr>
            <w:r w:rsidRPr="003B7662">
              <w:rPr>
                <w:rFonts w:cs="Arial"/>
                <w:b/>
                <w:bCs/>
              </w:rPr>
              <w:t>Dip. Vocal:</w:t>
            </w:r>
          </w:p>
          <w:p w:rsidR="00FF0070" w:rsidRPr="003B7662" w:rsidRDefault="00FF0070" w:rsidP="009A4C92">
            <w:pPr>
              <w:jc w:val="center"/>
              <w:rPr>
                <w:rFonts w:cs="Arial"/>
                <w:b/>
                <w:bCs/>
              </w:rPr>
            </w:pPr>
          </w:p>
          <w:p w:rsidR="00FF0070" w:rsidRPr="003B7662" w:rsidRDefault="00FF0070" w:rsidP="009A4C92">
            <w:pPr>
              <w:jc w:val="center"/>
              <w:rPr>
                <w:rFonts w:cs="Arial"/>
                <w:b/>
                <w:bCs/>
              </w:rPr>
            </w:pPr>
          </w:p>
        </w:tc>
        <w:tc>
          <w:tcPr>
            <w:tcW w:w="4394" w:type="dxa"/>
          </w:tcPr>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r w:rsidRPr="003B7662">
              <w:rPr>
                <w:rFonts w:cs="Arial"/>
                <w:b/>
                <w:bCs/>
              </w:rPr>
              <w:t>Dip. Vocal:</w:t>
            </w:r>
          </w:p>
          <w:p w:rsidR="00FF0070" w:rsidRDefault="00FF0070" w:rsidP="009A4C92">
            <w:pPr>
              <w:jc w:val="center"/>
              <w:rPr>
                <w:rFonts w:cs="Arial"/>
                <w:b/>
                <w:bCs/>
              </w:rPr>
            </w:pPr>
          </w:p>
          <w:p w:rsidR="00FF0070" w:rsidRDefault="00FF0070" w:rsidP="009A4C92">
            <w:pPr>
              <w:jc w:val="center"/>
              <w:rPr>
                <w:rFonts w:cs="Arial"/>
                <w:b/>
                <w:bCs/>
              </w:rPr>
            </w:pPr>
          </w:p>
          <w:p w:rsidR="00FF0070" w:rsidRDefault="00FF0070" w:rsidP="009A4C92">
            <w:pPr>
              <w:jc w:val="center"/>
              <w:rPr>
                <w:rFonts w:cs="Arial"/>
                <w:b/>
                <w:bCs/>
              </w:rPr>
            </w:pPr>
          </w:p>
          <w:p w:rsidR="00FF0070" w:rsidRPr="003B7662" w:rsidRDefault="00FF0070" w:rsidP="009A4C92">
            <w:pPr>
              <w:jc w:val="center"/>
              <w:rPr>
                <w:rFonts w:cs="Arial"/>
                <w:b/>
                <w:bCs/>
              </w:rPr>
            </w:pPr>
          </w:p>
        </w:tc>
      </w:tr>
      <w:tr w:rsidR="00FF0070" w:rsidRPr="003B7662" w:rsidTr="009A4C92">
        <w:trPr>
          <w:jc w:val="center"/>
        </w:trPr>
        <w:tc>
          <w:tcPr>
            <w:tcW w:w="3686" w:type="dxa"/>
          </w:tcPr>
          <w:p w:rsidR="00FF0070" w:rsidRPr="003B7662" w:rsidRDefault="00FF0070" w:rsidP="00D13545">
            <w:pPr>
              <w:jc w:val="center"/>
              <w:rPr>
                <w:rFonts w:cs="Arial"/>
              </w:rPr>
            </w:pPr>
            <w:r>
              <w:rPr>
                <w:rFonts w:cs="Arial"/>
              </w:rPr>
              <w:t>Rubén González Cabri</w:t>
            </w:r>
            <w:r w:rsidR="00D13545">
              <w:rPr>
                <w:rFonts w:cs="Arial"/>
              </w:rPr>
              <w:t>e</w:t>
            </w:r>
            <w:r>
              <w:rPr>
                <w:rFonts w:cs="Arial"/>
              </w:rPr>
              <w:t>les</w:t>
            </w:r>
          </w:p>
        </w:tc>
        <w:tc>
          <w:tcPr>
            <w:tcW w:w="4394" w:type="dxa"/>
          </w:tcPr>
          <w:p w:rsidR="00FF0070" w:rsidRPr="003B7662" w:rsidRDefault="00FF0070" w:rsidP="009A4C92">
            <w:pPr>
              <w:jc w:val="center"/>
              <w:rPr>
                <w:rFonts w:cs="Arial"/>
              </w:rPr>
            </w:pPr>
            <w:r>
              <w:rPr>
                <w:rFonts w:cs="Arial"/>
              </w:rPr>
              <w:t>Sergio Arrellano Balderas</w:t>
            </w:r>
          </w:p>
        </w:tc>
      </w:tr>
    </w:tbl>
    <w:p w:rsidR="00FF0070" w:rsidRPr="0066525F" w:rsidRDefault="00FF0070" w:rsidP="00FF0070">
      <w:pPr>
        <w:spacing w:line="360" w:lineRule="auto"/>
        <w:jc w:val="center"/>
        <w:rPr>
          <w:rFonts w:cs="Arial"/>
        </w:rPr>
      </w:pPr>
    </w:p>
    <w:p w:rsidR="007A2321" w:rsidRDefault="007A2321" w:rsidP="00FF0070">
      <w:pPr>
        <w:spacing w:line="360" w:lineRule="auto"/>
        <w:jc w:val="both"/>
      </w:pPr>
    </w:p>
    <w:sectPr w:rsidR="007A2321" w:rsidSect="00D94D63">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BB" w:rsidRDefault="00D07CBB" w:rsidP="007D6689">
      <w:r>
        <w:separator/>
      </w:r>
    </w:p>
  </w:endnote>
  <w:endnote w:type="continuationSeparator" w:id="0">
    <w:p w:rsidR="00D07CBB" w:rsidRDefault="00D07CBB"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70" w:rsidRDefault="00FF0070" w:rsidP="00FF0070">
    <w:pPr>
      <w:pStyle w:val="Piedepgina"/>
      <w:jc w:val="center"/>
      <w:rPr>
        <w:rFonts w:cs="Arial"/>
        <w:sz w:val="16"/>
        <w:szCs w:val="16"/>
      </w:rPr>
    </w:pPr>
    <w:r>
      <w:rPr>
        <w:rFonts w:cs="Arial"/>
        <w:sz w:val="16"/>
        <w:szCs w:val="16"/>
      </w:rPr>
      <w:t xml:space="preserve">H. Congreso del Estado de Nuevo León </w:t>
    </w:r>
    <w:r w:rsidR="00D94D63" w:rsidRPr="00D94D63">
      <w:rPr>
        <w:rFonts w:cs="Arial"/>
        <w:sz w:val="16"/>
        <w:szCs w:val="16"/>
      </w:rPr>
      <w:t>10107/LXXIV</w:t>
    </w:r>
    <w:r w:rsidR="00D94D63" w:rsidRPr="007A53AC">
      <w:rPr>
        <w:rFonts w:cs="Arial"/>
        <w:lang w:val="es-MX"/>
      </w:rPr>
      <w:t xml:space="preserve"> </w:t>
    </w:r>
    <w:r>
      <w:rPr>
        <w:rFonts w:cs="Arial"/>
        <w:sz w:val="16"/>
        <w:szCs w:val="16"/>
      </w:rPr>
      <w:t xml:space="preserve">Legislatura, </w:t>
    </w:r>
  </w:p>
  <w:p w:rsidR="00FF0070" w:rsidRDefault="00FF0070" w:rsidP="00FF0070">
    <w:pPr>
      <w:pStyle w:val="Piedepgina"/>
      <w:jc w:val="center"/>
      <w:rPr>
        <w:rFonts w:cs="Arial"/>
        <w:sz w:val="16"/>
        <w:szCs w:val="16"/>
      </w:rPr>
    </w:pPr>
    <w:r>
      <w:rPr>
        <w:rFonts w:cs="Arial"/>
        <w:sz w:val="16"/>
        <w:szCs w:val="16"/>
      </w:rPr>
      <w:t>Comisión de Justicia y Seguridad Pública</w:t>
    </w:r>
  </w:p>
  <w:p w:rsidR="00FF0070" w:rsidRPr="0044215A" w:rsidRDefault="00FF0070" w:rsidP="00FF0070">
    <w:pPr>
      <w:pStyle w:val="Piedepgina"/>
      <w:jc w:val="right"/>
      <w:rPr>
        <w:sz w:val="16"/>
        <w:szCs w:val="16"/>
      </w:rPr>
    </w:pPr>
    <w:r w:rsidRPr="0044215A">
      <w:rPr>
        <w:sz w:val="16"/>
        <w:szCs w:val="16"/>
      </w:rPr>
      <w:fldChar w:fldCharType="begin"/>
    </w:r>
    <w:r w:rsidRPr="0044215A">
      <w:rPr>
        <w:sz w:val="16"/>
        <w:szCs w:val="16"/>
      </w:rPr>
      <w:instrText>PAGE</w:instrText>
    </w:r>
    <w:r w:rsidRPr="0044215A">
      <w:rPr>
        <w:sz w:val="16"/>
        <w:szCs w:val="16"/>
      </w:rPr>
      <w:fldChar w:fldCharType="separate"/>
    </w:r>
    <w:r w:rsidR="00D94D63">
      <w:rPr>
        <w:noProof/>
        <w:sz w:val="16"/>
        <w:szCs w:val="16"/>
      </w:rPr>
      <w:t>8</w:t>
    </w:r>
    <w:r w:rsidRPr="0044215A">
      <w:rPr>
        <w:sz w:val="16"/>
        <w:szCs w:val="16"/>
      </w:rPr>
      <w:fldChar w:fldCharType="end"/>
    </w:r>
    <w:r w:rsidRPr="0044215A">
      <w:rPr>
        <w:sz w:val="16"/>
        <w:szCs w:val="16"/>
      </w:rPr>
      <w:t xml:space="preserve"> de </w:t>
    </w:r>
    <w:r w:rsidRPr="0044215A">
      <w:rPr>
        <w:sz w:val="16"/>
        <w:szCs w:val="16"/>
      </w:rPr>
      <w:fldChar w:fldCharType="begin"/>
    </w:r>
    <w:r w:rsidRPr="0044215A">
      <w:rPr>
        <w:sz w:val="16"/>
        <w:szCs w:val="16"/>
      </w:rPr>
      <w:instrText>NUMPAGES</w:instrText>
    </w:r>
    <w:r w:rsidRPr="0044215A">
      <w:rPr>
        <w:sz w:val="16"/>
        <w:szCs w:val="16"/>
      </w:rPr>
      <w:fldChar w:fldCharType="separate"/>
    </w:r>
    <w:r w:rsidR="00D94D63">
      <w:rPr>
        <w:noProof/>
        <w:sz w:val="16"/>
        <w:szCs w:val="16"/>
      </w:rPr>
      <w:t>9</w:t>
    </w:r>
    <w:r w:rsidRPr="0044215A">
      <w:rPr>
        <w:sz w:val="16"/>
        <w:szCs w:val="16"/>
      </w:rPr>
      <w:fldChar w:fldCharType="end"/>
    </w:r>
  </w:p>
  <w:p w:rsidR="007C3B15" w:rsidRPr="00FF0070" w:rsidRDefault="007C3B15" w:rsidP="00FF0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BB" w:rsidRDefault="00D07CBB" w:rsidP="007D6689">
      <w:r>
        <w:separator/>
      </w:r>
    </w:p>
  </w:footnote>
  <w:footnote w:type="continuationSeparator" w:id="0">
    <w:p w:rsidR="00D07CBB" w:rsidRDefault="00D07CBB"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2CE3"/>
    <w:rsid w:val="00071C54"/>
    <w:rsid w:val="00074FEF"/>
    <w:rsid w:val="000D5393"/>
    <w:rsid w:val="001169EA"/>
    <w:rsid w:val="00120D91"/>
    <w:rsid w:val="001346E9"/>
    <w:rsid w:val="0017382F"/>
    <w:rsid w:val="00182470"/>
    <w:rsid w:val="001E65E6"/>
    <w:rsid w:val="001F5298"/>
    <w:rsid w:val="00223B8E"/>
    <w:rsid w:val="0025524B"/>
    <w:rsid w:val="00277156"/>
    <w:rsid w:val="002B2CF4"/>
    <w:rsid w:val="002D35C8"/>
    <w:rsid w:val="002E4291"/>
    <w:rsid w:val="00311321"/>
    <w:rsid w:val="00347FFD"/>
    <w:rsid w:val="00363044"/>
    <w:rsid w:val="003633C7"/>
    <w:rsid w:val="00382299"/>
    <w:rsid w:val="00387633"/>
    <w:rsid w:val="003C2217"/>
    <w:rsid w:val="003E3D98"/>
    <w:rsid w:val="00422C55"/>
    <w:rsid w:val="00472B5E"/>
    <w:rsid w:val="0049189F"/>
    <w:rsid w:val="004F40BB"/>
    <w:rsid w:val="0052373C"/>
    <w:rsid w:val="00545AED"/>
    <w:rsid w:val="005525B9"/>
    <w:rsid w:val="00610024"/>
    <w:rsid w:val="00627B09"/>
    <w:rsid w:val="006367EF"/>
    <w:rsid w:val="00683E91"/>
    <w:rsid w:val="0068509D"/>
    <w:rsid w:val="00691028"/>
    <w:rsid w:val="00700ECE"/>
    <w:rsid w:val="007740B0"/>
    <w:rsid w:val="00777C64"/>
    <w:rsid w:val="007A2321"/>
    <w:rsid w:val="007C3B15"/>
    <w:rsid w:val="007D6689"/>
    <w:rsid w:val="007E5F3B"/>
    <w:rsid w:val="00830032"/>
    <w:rsid w:val="00835E25"/>
    <w:rsid w:val="00886188"/>
    <w:rsid w:val="008B4D78"/>
    <w:rsid w:val="00A167B5"/>
    <w:rsid w:val="00B225C8"/>
    <w:rsid w:val="00B27F40"/>
    <w:rsid w:val="00B66FBF"/>
    <w:rsid w:val="00B705F5"/>
    <w:rsid w:val="00BB36DF"/>
    <w:rsid w:val="00BD28D7"/>
    <w:rsid w:val="00C0100A"/>
    <w:rsid w:val="00C34AFD"/>
    <w:rsid w:val="00C40544"/>
    <w:rsid w:val="00C406FB"/>
    <w:rsid w:val="00C9004E"/>
    <w:rsid w:val="00CC6AE1"/>
    <w:rsid w:val="00CD7C41"/>
    <w:rsid w:val="00D07CBB"/>
    <w:rsid w:val="00D13545"/>
    <w:rsid w:val="00D51821"/>
    <w:rsid w:val="00D64A7C"/>
    <w:rsid w:val="00D73C14"/>
    <w:rsid w:val="00D82F4C"/>
    <w:rsid w:val="00D94D63"/>
    <w:rsid w:val="00E014D9"/>
    <w:rsid w:val="00E079A4"/>
    <w:rsid w:val="00E42738"/>
    <w:rsid w:val="00EA45A5"/>
    <w:rsid w:val="00EF5373"/>
    <w:rsid w:val="00F276B0"/>
    <w:rsid w:val="00F45E5F"/>
    <w:rsid w:val="00F66F40"/>
    <w:rsid w:val="00F760F8"/>
    <w:rsid w:val="00F866AB"/>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D94D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D6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2</cp:revision>
  <cp:lastPrinted>2017-04-03T22:49:00Z</cp:lastPrinted>
  <dcterms:created xsi:type="dcterms:W3CDTF">2017-04-03T22:50:00Z</dcterms:created>
  <dcterms:modified xsi:type="dcterms:W3CDTF">2017-04-03T22:50:00Z</dcterms:modified>
</cp:coreProperties>
</file>