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HONORABLE ASAMBLEA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fecha </w:t>
      </w:r>
      <w:r w:rsidR="00DA5E19" w:rsidRPr="00DA5E19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DA5E1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AF0E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 del 2017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turnó, para su estudio y dictamen, el </w:t>
      </w:r>
      <w:r w:rsidR="00B2112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xpediente </w:t>
      </w:r>
      <w:r w:rsidR="00B2112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egislativo número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10666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/LXXIV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el cual co</w:t>
      </w:r>
      <w:r>
        <w:rPr>
          <w:rFonts w:ascii="Arial" w:eastAsia="Times New Roman" w:hAnsi="Arial" w:cs="Arial"/>
          <w:sz w:val="24"/>
          <w:szCs w:val="24"/>
          <w:lang w:eastAsia="es-ES"/>
        </w:rPr>
        <w:t>ntiene un escrito signado por la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C. DIP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 CRISTINA ISMENE GAYTAN HERNANDEZ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A5E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VICEPRESIDENTA DE LA COMISIÓN PERMANENTE DEL CONGRESO DE LA UNIÓN,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21128">
        <w:rPr>
          <w:rFonts w:ascii="Arial" w:eastAsia="Times New Roman" w:hAnsi="Arial" w:cs="Arial"/>
          <w:sz w:val="24"/>
          <w:szCs w:val="24"/>
          <w:lang w:eastAsia="es-ES"/>
        </w:rPr>
        <w:t xml:space="preserve">mediante el cual 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B21128">
        <w:rPr>
          <w:rFonts w:ascii="Arial" w:eastAsia="Times New Roman" w:hAnsi="Arial" w:cs="Arial"/>
          <w:sz w:val="24"/>
          <w:szCs w:val="24"/>
          <w:lang w:eastAsia="es-ES"/>
        </w:rPr>
        <w:t>mite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5E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Oficio </w:t>
      </w:r>
      <w:r w:rsidR="005F567C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DA5E19">
        <w:rPr>
          <w:rFonts w:ascii="Arial" w:eastAsia="Times New Roman" w:hAnsi="Arial" w:cs="Arial"/>
          <w:b/>
          <w:sz w:val="24"/>
          <w:szCs w:val="24"/>
          <w:lang w:eastAsia="es-ES"/>
        </w:rPr>
        <w:t>o. D.</w:t>
      </w:r>
      <w:r w:rsidR="006D39F9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DA5E1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D39F9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DA5E1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D39F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B211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63-11-6-1615 </w:t>
      </w:r>
      <w:r w:rsidR="00DA5E19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B211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el que </w:t>
      </w:r>
      <w:r w:rsidR="00DA5E19">
        <w:rPr>
          <w:rFonts w:ascii="Arial" w:eastAsia="Times New Roman" w:hAnsi="Arial" w:cs="Arial"/>
          <w:b/>
          <w:sz w:val="24"/>
          <w:szCs w:val="24"/>
          <w:lang w:eastAsia="es-ES"/>
        </w:rPr>
        <w:t>informa sobre el acuerdo aprobado en el que se Exhorta a los 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ongresos de las </w:t>
      </w:r>
      <w:r w:rsidR="006D39F9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ntidades </w:t>
      </w:r>
      <w:r w:rsidR="006D39F9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ederativas, para que tomen en consideración lo previsto en el Código Penal Federal, en materia de tipificación del delito de Feminicidio</w:t>
      </w:r>
      <w:r w:rsidR="006D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fin de que realicen las reformas que consideren pertinentes sus legislaciones locales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Con el fin de ver proveído  el requisito fundamental de dar vista al contenido de la iniciativa ya citada y según lo establecido en el artículo 47 inciso a) y b) del Reglamento para el Gobierno Interior del Congreso del Estado, quienes integramos la Comisión de Dictamen Legislativo que sustenta el presente documento, consideramos ante este Pleno los siguientes: 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ANTECEDENTES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8968D9" w:rsidRDefault="000629F1" w:rsidP="006D39F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Expone que los hechos de violencia contra las mujeres constituyen una violación de derechos humanos</w:t>
      </w:r>
      <w:r w:rsidR="00D564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señalando que en la última década los feminicidios en México se han incrementado, </w:t>
      </w:r>
      <w:r w:rsidR="00DA5E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 el 2007 y 2012, un promedio </w:t>
      </w:r>
      <w:r w:rsidR="00DA5E1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anual de 60 mil mujeres en el mundo fueron víctimas de homicidios, representa el 16 por ciento de los homicidios intencionales, </w:t>
      </w:r>
      <w:r w:rsidR="00D5647B">
        <w:rPr>
          <w:rFonts w:ascii="Arial" w:eastAsia="Times New Roman" w:hAnsi="Arial" w:cs="Arial"/>
          <w:sz w:val="24"/>
          <w:szCs w:val="24"/>
          <w:lang w:val="es-ES" w:eastAsia="es-ES"/>
        </w:rPr>
        <w:t>México actualmente es uno de los 10 países con más feminicidio</w:t>
      </w:r>
      <w:r w:rsidR="008968D9">
        <w:rPr>
          <w:rFonts w:ascii="Arial" w:eastAsia="Times New Roman" w:hAnsi="Arial" w:cs="Arial"/>
          <w:sz w:val="24"/>
          <w:szCs w:val="24"/>
          <w:lang w:val="es-ES" w:eastAsia="es-ES"/>
        </w:rPr>
        <w:t>s por armas de fuego en el mundo, es una de</w:t>
      </w:r>
      <w:r w:rsidR="005E12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968D9">
        <w:rPr>
          <w:rFonts w:ascii="Arial" w:eastAsia="Times New Roman" w:hAnsi="Arial" w:cs="Arial"/>
          <w:sz w:val="24"/>
          <w:szCs w:val="24"/>
          <w:lang w:val="es-ES" w:eastAsia="es-ES"/>
        </w:rPr>
        <w:t>las 25 naciones que concentran la mitad de todos los crímenes cometidos en contra de las mujeres y niñas a escala mundial</w:t>
      </w:r>
      <w:r w:rsidR="00D5647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8968D9" w:rsidRDefault="008968D9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5E19" w:rsidRDefault="008968D9" w:rsidP="006D39F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violencia que se ejerce día con día en contra de las mujeres y niñas constituyen una violación a sus derechos humanos y tienen impacto en todos los ámbitos de su vida, social, salud, libertad, educación, desarrollo y su propia vida. </w:t>
      </w:r>
      <w:r w:rsidR="00D11C0D">
        <w:rPr>
          <w:rFonts w:ascii="Arial" w:eastAsia="Times New Roman" w:hAnsi="Arial" w:cs="Arial"/>
          <w:sz w:val="24"/>
          <w:szCs w:val="24"/>
          <w:lang w:val="es-ES" w:eastAsia="es-ES"/>
        </w:rPr>
        <w:t>Se considera que las Entidades Federativas es necesaria la homologación con el Código Penal Federal</w:t>
      </w:r>
      <w:r w:rsidR="00D5647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629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11C0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ya que presentan inconsistencias que puedan llegar a impedir la correcta investigación y sanción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delito de feminicidio. </w:t>
      </w:r>
    </w:p>
    <w:p w:rsidR="008968D9" w:rsidRDefault="008968D9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23C93" w:rsidRDefault="00623C93" w:rsidP="00623C9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623C93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Por lo anterior la Comisión Permanente del H. Congreso de la Unión exhorta con pleno respeto a su soberanía, a los Congresos de las Entidades Federativas, para que tomen en consideración lo previsto en el código penal federal, en materia de tipificación del delito de feminicidio y en su caso realicen las reformas que consideren pertinentes a sus legisladores locales.  </w:t>
      </w:r>
    </w:p>
    <w:p w:rsidR="005F567C" w:rsidRPr="00623C93" w:rsidRDefault="005F567C" w:rsidP="00623C9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Una vez señalado lo anterior y con fundamento en el artículo 47, inciso c) del Reglamento para el Gobierno Interior del Congreso del Estado de Nuevo León, quienes integramos la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>, ofrecemos al Pleno de este Poder Legislativo, a manera de sustento para este dictamen las siguientes: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CONSIDERACIONES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se encuentra facultada para conocer del asunto que le fue turnado, de conformidad con lo establecido en el artículo 70, fracción III, de </w:t>
      </w:r>
      <w:smartTag w:uri="urn:schemas-microsoft-com:office:smarttags" w:element="PersonName">
        <w:smartTagPr>
          <w:attr w:name="ProductID" w:val="la Ley Org￡nica"/>
        </w:smartTagPr>
        <w:r w:rsidRPr="005748ED">
          <w:rPr>
            <w:rFonts w:ascii="Arial" w:eastAsia="Times New Roman" w:hAnsi="Arial" w:cs="Arial"/>
            <w:sz w:val="24"/>
            <w:szCs w:val="24"/>
            <w:lang w:eastAsia="es-ES"/>
          </w:rPr>
          <w:t>la Ley Orgánica</w:t>
        </w:r>
      </w:smartTag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del Poder Legislativo del Estado de Nuevo León, y 39, fracción III, inciso L), del Reglamento para el Gobierno Interior del Congreso del Estado de Nuevo León.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7515" w:rsidRDefault="006D39F9" w:rsidP="006D39F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D39F9">
        <w:rPr>
          <w:rFonts w:ascii="Arial" w:hAnsi="Arial" w:cs="Arial"/>
          <w:color w:val="000000"/>
          <w:sz w:val="24"/>
        </w:rPr>
        <w:t xml:space="preserve">En relación al oficio número </w:t>
      </w:r>
      <w:r w:rsidR="00623C93">
        <w:rPr>
          <w:rFonts w:ascii="Arial" w:hAnsi="Arial" w:cs="Arial"/>
          <w:b/>
          <w:sz w:val="24"/>
        </w:rPr>
        <w:t>D.G.P.L.</w:t>
      </w:r>
      <w:r w:rsidRPr="006D39F9">
        <w:rPr>
          <w:rFonts w:ascii="Arial" w:hAnsi="Arial" w:cs="Arial"/>
          <w:b/>
          <w:sz w:val="24"/>
        </w:rPr>
        <w:t>-</w:t>
      </w:r>
      <w:r w:rsidR="00623C93">
        <w:rPr>
          <w:rFonts w:ascii="Arial" w:hAnsi="Arial" w:cs="Arial"/>
          <w:b/>
          <w:sz w:val="24"/>
        </w:rPr>
        <w:t>63-II-6-1615</w:t>
      </w:r>
      <w:r w:rsidRPr="006D39F9">
        <w:rPr>
          <w:rFonts w:ascii="Arial" w:hAnsi="Arial" w:cs="Arial"/>
          <w:b/>
          <w:sz w:val="24"/>
        </w:rPr>
        <w:t xml:space="preserve">, </w:t>
      </w:r>
      <w:r w:rsidRPr="006D39F9">
        <w:rPr>
          <w:rFonts w:ascii="Arial" w:hAnsi="Arial" w:cs="Arial"/>
          <w:sz w:val="24"/>
        </w:rPr>
        <w:t>nos permitimos informar a es</w:t>
      </w:r>
      <w:r w:rsidR="00623C93">
        <w:rPr>
          <w:rFonts w:ascii="Arial" w:hAnsi="Arial" w:cs="Arial"/>
          <w:sz w:val="24"/>
        </w:rPr>
        <w:t>a</w:t>
      </w:r>
      <w:r w:rsidRPr="006D39F9">
        <w:rPr>
          <w:rFonts w:ascii="Arial" w:hAnsi="Arial" w:cs="Arial"/>
          <w:sz w:val="24"/>
        </w:rPr>
        <w:t xml:space="preserve"> H. Soberanía, que esta </w:t>
      </w:r>
      <w:r w:rsidR="00623C93">
        <w:rPr>
          <w:rFonts w:ascii="Arial" w:hAnsi="Arial" w:cs="Arial"/>
          <w:sz w:val="24"/>
        </w:rPr>
        <w:t>C</w:t>
      </w:r>
      <w:r w:rsidRPr="006D39F9">
        <w:rPr>
          <w:rFonts w:ascii="Arial" w:hAnsi="Arial" w:cs="Arial"/>
          <w:sz w:val="24"/>
        </w:rPr>
        <w:t xml:space="preserve">omisión </w:t>
      </w:r>
      <w:r w:rsidR="00623C93">
        <w:rPr>
          <w:rFonts w:ascii="Arial" w:hAnsi="Arial" w:cs="Arial"/>
          <w:sz w:val="24"/>
        </w:rPr>
        <w:t xml:space="preserve">de Dictamen Legislativo, </w:t>
      </w:r>
      <w:r w:rsidRPr="006D39F9">
        <w:rPr>
          <w:rFonts w:ascii="Arial" w:hAnsi="Arial" w:cs="Arial"/>
          <w:sz w:val="24"/>
        </w:rPr>
        <w:t>e</w:t>
      </w:r>
      <w:r w:rsidR="00623C93">
        <w:rPr>
          <w:rFonts w:ascii="Arial" w:hAnsi="Arial" w:cs="Arial"/>
          <w:sz w:val="24"/>
        </w:rPr>
        <w:t>n</w:t>
      </w:r>
      <w:r w:rsidRPr="006D39F9">
        <w:rPr>
          <w:rFonts w:ascii="Arial" w:hAnsi="Arial" w:cs="Arial"/>
          <w:sz w:val="24"/>
        </w:rPr>
        <w:t xml:space="preserve"> fecha </w:t>
      </w:r>
      <w:r w:rsidR="00623C93">
        <w:rPr>
          <w:rFonts w:ascii="Arial" w:hAnsi="Arial" w:cs="Arial"/>
          <w:sz w:val="24"/>
        </w:rPr>
        <w:t>27-veintisiete de marzo de</w:t>
      </w:r>
      <w:r w:rsidRPr="006D39F9">
        <w:rPr>
          <w:rFonts w:ascii="Arial" w:hAnsi="Arial" w:cs="Arial"/>
          <w:sz w:val="24"/>
        </w:rPr>
        <w:t>l año 201</w:t>
      </w:r>
      <w:r w:rsidR="00623C93">
        <w:rPr>
          <w:rFonts w:ascii="Arial" w:hAnsi="Arial" w:cs="Arial"/>
          <w:sz w:val="24"/>
        </w:rPr>
        <w:t>7</w:t>
      </w:r>
      <w:r w:rsidRPr="006D39F9">
        <w:rPr>
          <w:rFonts w:ascii="Arial" w:hAnsi="Arial" w:cs="Arial"/>
          <w:sz w:val="24"/>
        </w:rPr>
        <w:t xml:space="preserve">, </w:t>
      </w:r>
      <w:r w:rsidR="00623C93">
        <w:rPr>
          <w:rFonts w:ascii="Arial" w:hAnsi="Arial" w:cs="Arial"/>
          <w:sz w:val="24"/>
        </w:rPr>
        <w:t xml:space="preserve">aprobó reforma por </w:t>
      </w:r>
      <w:r w:rsidRPr="006D39F9">
        <w:rPr>
          <w:rFonts w:ascii="Arial" w:hAnsi="Arial" w:cs="Arial"/>
          <w:sz w:val="24"/>
        </w:rPr>
        <w:t xml:space="preserve">modificación </w:t>
      </w:r>
      <w:r w:rsidR="00977515" w:rsidRPr="00977515">
        <w:rPr>
          <w:rFonts w:ascii="Arial" w:hAnsi="Arial" w:cs="Arial"/>
          <w:sz w:val="24"/>
        </w:rPr>
        <w:t>de los artículos 331 Bis</w:t>
      </w:r>
      <w:r w:rsidR="00977515">
        <w:rPr>
          <w:rFonts w:ascii="Arial" w:hAnsi="Arial" w:cs="Arial"/>
          <w:sz w:val="24"/>
        </w:rPr>
        <w:t xml:space="preserve"> </w:t>
      </w:r>
      <w:r w:rsidR="00977515" w:rsidRPr="00977515">
        <w:rPr>
          <w:rFonts w:ascii="Arial" w:hAnsi="Arial" w:cs="Arial"/>
          <w:sz w:val="24"/>
        </w:rPr>
        <w:t>2, primer párrafo y fracciones ll y lll y 331 Bis 3, primer y tercer párrafos; por adición de las fracciones IV, V y VI al artículo 331 Bis 2 y de un penúltimo párrafo; y por derogación del segundo párrafo del artículo 331 Bis 3,</w:t>
      </w:r>
      <w:r w:rsidR="00977515">
        <w:rPr>
          <w:rFonts w:ascii="Arial" w:hAnsi="Arial" w:cs="Arial"/>
          <w:sz w:val="24"/>
        </w:rPr>
        <w:t xml:space="preserve"> todos del </w:t>
      </w:r>
      <w:r w:rsidR="00977515" w:rsidRPr="00977515">
        <w:rPr>
          <w:rFonts w:ascii="Arial" w:hAnsi="Arial" w:cs="Arial"/>
          <w:sz w:val="24"/>
        </w:rPr>
        <w:t xml:space="preserve"> Código Penal del Estado de Nuevo León,</w:t>
      </w:r>
      <w:r w:rsidR="00977515">
        <w:rPr>
          <w:rFonts w:ascii="Arial" w:hAnsi="Arial" w:cs="Arial"/>
          <w:sz w:val="24"/>
        </w:rPr>
        <w:t xml:space="preserve"> a fin de que se especificara lo siguiente:</w:t>
      </w:r>
    </w:p>
    <w:p w:rsidR="005F567C" w:rsidRDefault="005F567C" w:rsidP="005F567C">
      <w:pPr>
        <w:pStyle w:val="Prrafodelista"/>
        <w:spacing w:line="360" w:lineRule="auto"/>
        <w:ind w:left="0" w:firstLine="708"/>
        <w:jc w:val="both"/>
        <w:rPr>
          <w:rFonts w:ascii="Arial" w:hAnsi="Arial" w:cs="Arial"/>
          <w:sz w:val="24"/>
        </w:rPr>
      </w:pPr>
    </w:p>
    <w:p w:rsidR="00977515" w:rsidRDefault="00977515" w:rsidP="005F567C">
      <w:pPr>
        <w:pStyle w:val="Prrafodelista"/>
        <w:spacing w:line="360" w:lineRule="auto"/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reforma contempla un tipo penal autónomo, al establecer lo siguiente: “</w:t>
      </w:r>
      <w:r w:rsidRPr="00977515">
        <w:rPr>
          <w:rFonts w:ascii="Arial" w:hAnsi="Arial" w:cs="Arial"/>
          <w:sz w:val="24"/>
        </w:rPr>
        <w:t>Comete el delito de feminicidio quien prive de la vida a una mujer por razones de género</w:t>
      </w:r>
      <w:r>
        <w:rPr>
          <w:rFonts w:ascii="Arial" w:hAnsi="Arial" w:cs="Arial"/>
          <w:sz w:val="24"/>
        </w:rPr>
        <w:t>”</w:t>
      </w:r>
      <w:r w:rsidRPr="0097751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Así mimos </w:t>
      </w:r>
      <w:r w:rsidR="005F567C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 xml:space="preserve">señala que se </w:t>
      </w:r>
      <w:r w:rsidRPr="00977515">
        <w:rPr>
          <w:rFonts w:ascii="Arial" w:hAnsi="Arial" w:cs="Arial"/>
          <w:sz w:val="24"/>
        </w:rPr>
        <w:t>considera que existen razones de género cuando concurra alguna de las siguientes circunstancias:</w:t>
      </w:r>
    </w:p>
    <w:p w:rsidR="00977515" w:rsidRDefault="00977515" w:rsidP="00977515">
      <w:pPr>
        <w:pStyle w:val="Prrafodelista"/>
        <w:spacing w:line="360" w:lineRule="auto"/>
        <w:ind w:left="1428"/>
        <w:jc w:val="both"/>
        <w:rPr>
          <w:rFonts w:ascii="Arial" w:hAnsi="Arial" w:cs="Arial"/>
          <w:sz w:val="24"/>
        </w:rPr>
      </w:pPr>
    </w:p>
    <w:p w:rsidR="00977515" w:rsidRPr="00CE5353" w:rsidRDefault="00977515" w:rsidP="009775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Arial" w:hAnsi="Arial" w:cs="Arial"/>
          <w:sz w:val="24"/>
        </w:rPr>
      </w:pPr>
      <w:r w:rsidRPr="00CE5353">
        <w:rPr>
          <w:rFonts w:ascii="Arial" w:hAnsi="Arial" w:cs="Arial"/>
          <w:sz w:val="24"/>
        </w:rPr>
        <w:t xml:space="preserve">Existan antecedentes o datos de cualquier tipo de violencia en el ámbito familiar, laboral o escolar, del sujeto activo en contra de la víctima; </w:t>
      </w:r>
    </w:p>
    <w:p w:rsidR="00977515" w:rsidRPr="00CE5353" w:rsidRDefault="00977515" w:rsidP="009775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Arial" w:hAnsi="Arial" w:cs="Arial"/>
          <w:sz w:val="24"/>
        </w:rPr>
      </w:pPr>
      <w:r w:rsidRPr="00CE5353">
        <w:rPr>
          <w:rFonts w:ascii="Arial" w:hAnsi="Arial" w:cs="Arial"/>
          <w:sz w:val="24"/>
        </w:rPr>
        <w:lastRenderedPageBreak/>
        <w:t>a la víctima se le hayan infligido actos infamantes, degradantes o mutilaciones, de manera previa o posterior a la privación de la vida; o actos de necrofilia;</w:t>
      </w:r>
    </w:p>
    <w:p w:rsidR="00977515" w:rsidRPr="00CE5353" w:rsidRDefault="00977515" w:rsidP="009775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Arial" w:hAnsi="Arial" w:cs="Arial"/>
          <w:sz w:val="24"/>
        </w:rPr>
      </w:pPr>
      <w:r w:rsidRPr="00CE5353">
        <w:rPr>
          <w:rFonts w:ascii="Arial" w:hAnsi="Arial" w:cs="Arial"/>
          <w:sz w:val="24"/>
        </w:rPr>
        <w:t>haya existido entre el activo y la víctima una relación sentimental, afectiva o de confianza;</w:t>
      </w:r>
    </w:p>
    <w:p w:rsidR="00977515" w:rsidRPr="00CE5353" w:rsidRDefault="00977515" w:rsidP="009775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Arial" w:hAnsi="Arial" w:cs="Arial"/>
          <w:sz w:val="24"/>
        </w:rPr>
      </w:pPr>
      <w:r w:rsidRPr="00CE5353">
        <w:rPr>
          <w:rFonts w:ascii="Arial" w:hAnsi="Arial" w:cs="Arial"/>
          <w:sz w:val="24"/>
        </w:rPr>
        <w:t>la víctima haya sido incomunicada, cualquiera que sea el tiempo previo a la privación de la vida; y</w:t>
      </w:r>
    </w:p>
    <w:p w:rsidR="00977515" w:rsidRPr="00CE5353" w:rsidRDefault="00977515" w:rsidP="009775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Arial" w:hAnsi="Arial" w:cs="Arial"/>
          <w:sz w:val="24"/>
        </w:rPr>
      </w:pPr>
      <w:r w:rsidRPr="00CE5353">
        <w:rPr>
          <w:rFonts w:ascii="Arial" w:hAnsi="Arial" w:cs="Arial"/>
          <w:sz w:val="24"/>
        </w:rPr>
        <w:t>el cuerpo de la víctima sea expuesto o exhibido en un lugar público.</w:t>
      </w:r>
    </w:p>
    <w:p w:rsidR="00977515" w:rsidRPr="005F567C" w:rsidRDefault="00977515" w:rsidP="005F567C">
      <w:pPr>
        <w:spacing w:line="360" w:lineRule="auto"/>
        <w:ind w:left="709" w:right="105"/>
        <w:jc w:val="both"/>
        <w:rPr>
          <w:rFonts w:ascii="Arial" w:hAnsi="Arial" w:cs="Arial"/>
          <w:sz w:val="24"/>
        </w:rPr>
      </w:pPr>
      <w:r w:rsidRPr="005F567C">
        <w:rPr>
          <w:rFonts w:ascii="Arial" w:hAnsi="Arial" w:cs="Arial"/>
          <w:sz w:val="24"/>
        </w:rPr>
        <w:t>Aunado a lo anterior se adición que en caso de que no se acredite el feminicidio, se aplicarán las reglas del homicidio, lo anterior a fin de que como regla general se investigue el delito de Feminicidio</w:t>
      </w:r>
      <w:r w:rsidR="005F567C">
        <w:rPr>
          <w:rFonts w:ascii="Arial" w:hAnsi="Arial" w:cs="Arial"/>
          <w:sz w:val="24"/>
        </w:rPr>
        <w:t>, complementando con ello la homologación del tipo penal Federal</w:t>
      </w:r>
      <w:r w:rsidRPr="005F567C">
        <w:rPr>
          <w:rFonts w:ascii="Arial" w:hAnsi="Arial" w:cs="Arial"/>
          <w:sz w:val="24"/>
        </w:rPr>
        <w:t>.</w:t>
      </w:r>
    </w:p>
    <w:p w:rsidR="000629F1" w:rsidRPr="005748ED" w:rsidRDefault="000629F1" w:rsidP="000629F1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629F1" w:rsidRDefault="000629F1" w:rsidP="006D39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virtud de las consideraciones vertidas en el cuerpo del presente dictamen, los integrantes de </w:t>
      </w:r>
      <w:smartTag w:uri="urn:schemas-microsoft-com:office:smarttags" w:element="metricconverter">
        <w:smartTagPr>
          <w:attr w:name="ProductID" w:val="la Comisi￳n"/>
        </w:smartTagPr>
        <w:r w:rsidRPr="005748ED">
          <w:rPr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la </w:t>
        </w:r>
        <w:r w:rsidRPr="005748ED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Comisión</w:t>
        </w:r>
      </w:smartTag>
      <w:r w:rsidRPr="005748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>, con fundamento en lo dispuesto en el artículo 63 fracción I de la Constitución Política del Estado Libre y Soberano de Nuevo León, sometemos a la consideración de esta Soberanía el siguiente proyecto de:</w:t>
      </w:r>
    </w:p>
    <w:p w:rsidR="009D49C6" w:rsidRDefault="009D49C6" w:rsidP="006D39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D49C6" w:rsidRDefault="009D49C6" w:rsidP="006D39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D49C6" w:rsidRPr="005748ED" w:rsidRDefault="009D49C6" w:rsidP="006D39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39F9" w:rsidRPr="006D39F9" w:rsidRDefault="006D39F9" w:rsidP="006D39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D39F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ACUERDO</w:t>
      </w:r>
    </w:p>
    <w:p w:rsidR="006D39F9" w:rsidRPr="006D39F9" w:rsidRDefault="006D39F9" w:rsidP="006D39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39F9" w:rsidRPr="006D39F9" w:rsidRDefault="006D39F9" w:rsidP="006D39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D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PRIMERO.- </w:t>
      </w:r>
      <w:r w:rsidRPr="006D39F9">
        <w:rPr>
          <w:rFonts w:ascii="Arial" w:eastAsia="Times New Roman" w:hAnsi="Arial" w:cs="Arial"/>
          <w:sz w:val="24"/>
          <w:szCs w:val="24"/>
          <w:lang w:eastAsia="es-ES"/>
        </w:rPr>
        <w:t>La LXXIV Legislatura al Honorable Congreso del Estado de Nuevo León, da</w:t>
      </w:r>
      <w:r w:rsidR="00977515">
        <w:rPr>
          <w:rFonts w:ascii="Arial" w:eastAsia="Times New Roman" w:hAnsi="Arial" w:cs="Arial"/>
          <w:sz w:val="24"/>
          <w:szCs w:val="24"/>
          <w:lang w:eastAsia="es-ES"/>
        </w:rPr>
        <w:t xml:space="preserve"> contestación al oficio número D.G.P.L.</w:t>
      </w:r>
      <w:r w:rsidRPr="006D39F9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977515">
        <w:rPr>
          <w:rFonts w:ascii="Arial" w:eastAsia="Times New Roman" w:hAnsi="Arial" w:cs="Arial"/>
          <w:sz w:val="24"/>
          <w:szCs w:val="24"/>
          <w:lang w:eastAsia="es-ES"/>
        </w:rPr>
        <w:t>63-11-6-1615</w:t>
      </w:r>
      <w:r w:rsidRPr="006D39F9">
        <w:rPr>
          <w:rFonts w:ascii="Arial" w:eastAsia="Times New Roman" w:hAnsi="Arial" w:cs="Arial"/>
          <w:sz w:val="24"/>
          <w:szCs w:val="24"/>
          <w:lang w:eastAsia="es-ES"/>
        </w:rPr>
        <w:t xml:space="preserve">, mediante el cual remite punto de acuerdo donde el H. Congreso de la Unión, exhorta a los Congresos de las entidades federativas </w:t>
      </w:r>
      <w:r w:rsidR="00977515" w:rsidRPr="00977515">
        <w:rPr>
          <w:rFonts w:ascii="Arial" w:eastAsia="Times New Roman" w:hAnsi="Arial" w:cs="Arial"/>
          <w:sz w:val="24"/>
          <w:szCs w:val="24"/>
          <w:lang w:eastAsia="es-ES"/>
        </w:rPr>
        <w:t>para que tomen en consideración lo previsto en el Código Penal Federal, en materia de tipificación del delito de Feminicidio a fin de que realicen las reformas que consideren pertinentes sus legislaciones locales.</w:t>
      </w:r>
      <w:r w:rsidRPr="006D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6D39F9" w:rsidRPr="006D39F9" w:rsidRDefault="006D39F9" w:rsidP="006D39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629F1" w:rsidRPr="006D39F9" w:rsidRDefault="006D39F9" w:rsidP="006D39F9">
      <w:pPr>
        <w:spacing w:after="0" w:line="360" w:lineRule="auto"/>
        <w:jc w:val="both"/>
        <w:rPr>
          <w:rFonts w:ascii="Arial" w:eastAsia="Times New Roman" w:hAnsi="Arial" w:cs="Arial"/>
          <w:sz w:val="8"/>
          <w:szCs w:val="24"/>
          <w:lang w:val="es-ES" w:eastAsia="es-ES"/>
        </w:rPr>
      </w:pPr>
      <w:r w:rsidRPr="006D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SEGUNDO.- </w:t>
      </w:r>
      <w:r w:rsidRPr="006D39F9">
        <w:rPr>
          <w:rFonts w:ascii="Arial" w:eastAsia="Times New Roman" w:hAnsi="Arial" w:cs="Arial"/>
          <w:sz w:val="24"/>
          <w:szCs w:val="24"/>
          <w:lang w:eastAsia="es-ES"/>
        </w:rPr>
        <w:t>Envíese al Honorable Congreso de la Unión para los efectos legales a que haya lugar.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Monterrey, Nuevo León</w:t>
      </w: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Comisión de Justicia y Seguridad Pública</w:t>
      </w: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Dip. Presidente:</w:t>
      </w: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Gabriel Tláloc Cantú Cantú</w:t>
      </w: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</w:tblGrid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Vicepresidente:</w:t>
            </w: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Secretario: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629F1" w:rsidRPr="005748ED" w:rsidTr="004663F3">
        <w:trPr>
          <w:trHeight w:val="674"/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0629F1" w:rsidRPr="005748ED" w:rsidRDefault="00977515" w:rsidP="00977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Eva </w:t>
            </w: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Patricia Salazar Marroquín </w:t>
            </w: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0629F1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Laura Paula López Sánchez</w:t>
            </w:r>
          </w:p>
          <w:p w:rsidR="009D49C6" w:rsidRPr="005748ED" w:rsidRDefault="009D49C6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Marco Antonio González Valdez</w:t>
            </w:r>
          </w:p>
        </w:tc>
        <w:tc>
          <w:tcPr>
            <w:tcW w:w="4394" w:type="dxa"/>
          </w:tcPr>
          <w:p w:rsidR="000629F1" w:rsidRPr="005748ED" w:rsidRDefault="00977515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José Arturo Salinas Garza</w:t>
            </w:r>
          </w:p>
        </w:tc>
      </w:tr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Karina Marlen</w:t>
            </w:r>
            <w:r w:rsidR="009D49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Barrón Perales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Marcelo Martínez Villarreal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Marcos Mendoza Vázquez </w:t>
            </w: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Samuel Alejandro García Sepúlveda</w:t>
            </w:r>
          </w:p>
        </w:tc>
      </w:tr>
      <w:tr w:rsidR="000629F1" w:rsidRPr="005748ED" w:rsidTr="004663F3">
        <w:trPr>
          <w:trHeight w:val="1040"/>
          <w:jc w:val="center"/>
        </w:trPr>
        <w:tc>
          <w:tcPr>
            <w:tcW w:w="3686" w:type="dxa"/>
          </w:tcPr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629F1" w:rsidRPr="005748ED" w:rsidTr="004663F3">
        <w:trPr>
          <w:jc w:val="center"/>
        </w:trPr>
        <w:tc>
          <w:tcPr>
            <w:tcW w:w="3686" w:type="dxa"/>
          </w:tcPr>
          <w:p w:rsidR="000629F1" w:rsidRPr="005748ED" w:rsidRDefault="000629F1" w:rsidP="00977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Rubén González Cabri</w:t>
            </w:r>
            <w:r w:rsidR="009775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les</w:t>
            </w:r>
          </w:p>
        </w:tc>
        <w:tc>
          <w:tcPr>
            <w:tcW w:w="4394" w:type="dxa"/>
          </w:tcPr>
          <w:p w:rsidR="000629F1" w:rsidRPr="005748ED" w:rsidRDefault="000629F1" w:rsidP="0046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Sergio Arrellano Balderas</w:t>
            </w:r>
          </w:p>
        </w:tc>
      </w:tr>
    </w:tbl>
    <w:p w:rsidR="007B5491" w:rsidRDefault="00A57FB2"/>
    <w:sectPr w:rsidR="007B5491" w:rsidSect="009D49C6">
      <w:footerReference w:type="even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B2" w:rsidRDefault="00A57FB2">
      <w:pPr>
        <w:spacing w:after="0" w:line="240" w:lineRule="auto"/>
      </w:pPr>
      <w:r>
        <w:separator/>
      </w:r>
    </w:p>
  </w:endnote>
  <w:endnote w:type="continuationSeparator" w:id="0">
    <w:p w:rsidR="00A57FB2" w:rsidRDefault="00A5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15" w:rsidRDefault="00AD5E1C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B15" w:rsidRDefault="00A57FB2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70" w:rsidRDefault="00AD5E1C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H. Congreso del Estado de Nuevo León LXXIV Legislatura, </w:t>
    </w:r>
  </w:p>
  <w:p w:rsidR="00FF0070" w:rsidRDefault="00AD5E1C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Comisión de Justicia y Seguridad Pública</w:t>
    </w:r>
  </w:p>
  <w:p w:rsidR="00FF0070" w:rsidRPr="0044215A" w:rsidRDefault="00AD5E1C" w:rsidP="00FF0070">
    <w:pPr>
      <w:pStyle w:val="Piedepgina"/>
      <w:jc w:val="right"/>
      <w:rPr>
        <w:sz w:val="16"/>
        <w:szCs w:val="16"/>
      </w:rPr>
    </w:pPr>
    <w:r w:rsidRPr="0044215A">
      <w:rPr>
        <w:sz w:val="16"/>
        <w:szCs w:val="16"/>
      </w:rPr>
      <w:fldChar w:fldCharType="begin"/>
    </w:r>
    <w:r w:rsidRPr="0044215A">
      <w:rPr>
        <w:sz w:val="16"/>
        <w:szCs w:val="16"/>
      </w:rPr>
      <w:instrText>PAGE</w:instrText>
    </w:r>
    <w:r w:rsidRPr="0044215A">
      <w:rPr>
        <w:sz w:val="16"/>
        <w:szCs w:val="16"/>
      </w:rPr>
      <w:fldChar w:fldCharType="separate"/>
    </w:r>
    <w:r w:rsidR="009D49C6">
      <w:rPr>
        <w:noProof/>
        <w:sz w:val="16"/>
        <w:szCs w:val="16"/>
      </w:rPr>
      <w:t>6</w:t>
    </w:r>
    <w:r w:rsidRPr="0044215A">
      <w:rPr>
        <w:sz w:val="16"/>
        <w:szCs w:val="16"/>
      </w:rPr>
      <w:fldChar w:fldCharType="end"/>
    </w:r>
    <w:r w:rsidRPr="0044215A">
      <w:rPr>
        <w:sz w:val="16"/>
        <w:szCs w:val="16"/>
      </w:rPr>
      <w:t xml:space="preserve"> </w:t>
    </w:r>
    <w:r w:rsidR="009D49C6">
      <w:rPr>
        <w:sz w:val="16"/>
        <w:szCs w:val="16"/>
      </w:rPr>
      <w:t xml:space="preserve"> </w:t>
    </w:r>
  </w:p>
  <w:p w:rsidR="007C3B15" w:rsidRPr="00FF0070" w:rsidRDefault="00A57FB2" w:rsidP="00FF0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B2" w:rsidRDefault="00A57FB2">
      <w:pPr>
        <w:spacing w:after="0" w:line="240" w:lineRule="auto"/>
      </w:pPr>
      <w:r>
        <w:separator/>
      </w:r>
    </w:p>
  </w:footnote>
  <w:footnote w:type="continuationSeparator" w:id="0">
    <w:p w:rsidR="00A57FB2" w:rsidRDefault="00A5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4E1E"/>
    <w:multiLevelType w:val="hybridMultilevel"/>
    <w:tmpl w:val="1CE4BAB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1657653"/>
    <w:multiLevelType w:val="hybridMultilevel"/>
    <w:tmpl w:val="619AAE7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1"/>
    <w:rsid w:val="00033B73"/>
    <w:rsid w:val="000629F1"/>
    <w:rsid w:val="001242AF"/>
    <w:rsid w:val="00174773"/>
    <w:rsid w:val="002D46A8"/>
    <w:rsid w:val="004A183A"/>
    <w:rsid w:val="005412C5"/>
    <w:rsid w:val="005E12AF"/>
    <w:rsid w:val="005F567C"/>
    <w:rsid w:val="00623C93"/>
    <w:rsid w:val="006D39F9"/>
    <w:rsid w:val="00804A8E"/>
    <w:rsid w:val="008968D9"/>
    <w:rsid w:val="00977515"/>
    <w:rsid w:val="009D49C6"/>
    <w:rsid w:val="00A57FB2"/>
    <w:rsid w:val="00AD5E1C"/>
    <w:rsid w:val="00AF0EC6"/>
    <w:rsid w:val="00B20579"/>
    <w:rsid w:val="00B21128"/>
    <w:rsid w:val="00CC271D"/>
    <w:rsid w:val="00CE5353"/>
    <w:rsid w:val="00D11C0D"/>
    <w:rsid w:val="00D51F71"/>
    <w:rsid w:val="00D5647B"/>
    <w:rsid w:val="00DA52FE"/>
    <w:rsid w:val="00DA5E19"/>
    <w:rsid w:val="00EC39F9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22C6-894A-4245-9562-6CD9C71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2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9F1"/>
  </w:style>
  <w:style w:type="character" w:styleId="Nmerodepgina">
    <w:name w:val="page number"/>
    <w:rsid w:val="000629F1"/>
  </w:style>
  <w:style w:type="paragraph" w:styleId="Prrafodelista">
    <w:name w:val="List Paragraph"/>
    <w:basedOn w:val="Normal"/>
    <w:uiPriority w:val="34"/>
    <w:qFormat/>
    <w:rsid w:val="009775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4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9C6"/>
  </w:style>
  <w:style w:type="paragraph" w:styleId="Textodeglobo">
    <w:name w:val="Balloon Text"/>
    <w:basedOn w:val="Normal"/>
    <w:link w:val="TextodegloboCar"/>
    <w:uiPriority w:val="99"/>
    <w:semiHidden/>
    <w:unhideWhenUsed/>
    <w:rsid w:val="009D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Tlaloc Cantu Cantu</dc:creator>
  <cp:keywords/>
  <dc:description/>
  <cp:lastModifiedBy>operador_pc</cp:lastModifiedBy>
  <cp:revision>2</cp:revision>
  <cp:lastPrinted>2017-03-27T19:15:00Z</cp:lastPrinted>
  <dcterms:created xsi:type="dcterms:W3CDTF">2017-03-27T19:15:00Z</dcterms:created>
  <dcterms:modified xsi:type="dcterms:W3CDTF">2017-03-27T19:15:00Z</dcterms:modified>
</cp:coreProperties>
</file>