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86" w:rsidRPr="007F7F86" w:rsidRDefault="007F7F86" w:rsidP="006A40C2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HONORABLE ASAMBLEA: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En fecha 27 de julio de 2012, la </w:t>
      </w:r>
      <w:r w:rsidR="00CE017D" w:rsidRPr="007F7F86">
        <w:rPr>
          <w:rFonts w:ascii="Arial" w:hAnsi="Arial" w:cs="Arial"/>
          <w:sz w:val="24"/>
          <w:szCs w:val="24"/>
        </w:rPr>
        <w:t>Diputación</w:t>
      </w:r>
      <w:r w:rsidRPr="007F7F86">
        <w:rPr>
          <w:rFonts w:ascii="Arial" w:hAnsi="Arial" w:cs="Arial"/>
          <w:sz w:val="24"/>
          <w:szCs w:val="24"/>
        </w:rPr>
        <w:t xml:space="preserve"> Permanente de este H. Congreso del Estado, turnó con </w:t>
      </w:r>
      <w:proofErr w:type="spellStart"/>
      <w:r w:rsidRPr="007F7F86">
        <w:rPr>
          <w:rFonts w:ascii="Arial" w:hAnsi="Arial" w:cs="Arial"/>
          <w:sz w:val="24"/>
          <w:szCs w:val="24"/>
        </w:rPr>
        <w:t>carácter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urgente a la </w:t>
      </w:r>
      <w:r w:rsidR="00CE017D" w:rsidRPr="007F7F86">
        <w:rPr>
          <w:rFonts w:ascii="Arial" w:hAnsi="Arial" w:cs="Arial"/>
          <w:b/>
          <w:bCs/>
          <w:sz w:val="24"/>
          <w:szCs w:val="24"/>
        </w:rPr>
        <w:t>Comisión</w:t>
      </w:r>
      <w:r w:rsidRPr="007F7F86">
        <w:rPr>
          <w:rFonts w:ascii="Arial" w:hAnsi="Arial" w:cs="Arial"/>
          <w:b/>
          <w:bCs/>
          <w:sz w:val="24"/>
          <w:szCs w:val="24"/>
        </w:rPr>
        <w:t xml:space="preserve"> de Desarrollo Urbano </w:t>
      </w:r>
      <w:r w:rsidRPr="007F7F86">
        <w:rPr>
          <w:rFonts w:ascii="Arial" w:hAnsi="Arial" w:cs="Arial"/>
          <w:sz w:val="24"/>
          <w:szCs w:val="24"/>
        </w:rPr>
        <w:t xml:space="preserve">el expediente </w:t>
      </w:r>
      <w:r w:rsidR="00CE017D" w:rsidRPr="007F7F86">
        <w:rPr>
          <w:rFonts w:ascii="Arial" w:hAnsi="Arial" w:cs="Arial"/>
          <w:sz w:val="24"/>
          <w:szCs w:val="24"/>
        </w:rPr>
        <w:t>número</w:t>
      </w:r>
      <w:r w:rsidRPr="007F7F86">
        <w:rPr>
          <w:rFonts w:ascii="Arial" w:hAnsi="Arial" w:cs="Arial"/>
          <w:sz w:val="24"/>
          <w:szCs w:val="24"/>
        </w:rPr>
        <w:t xml:space="preserve"> </w:t>
      </w:r>
      <w:r w:rsidRPr="007F7F86">
        <w:rPr>
          <w:rFonts w:ascii="Arial" w:hAnsi="Arial" w:cs="Arial"/>
          <w:b/>
          <w:bCs/>
          <w:sz w:val="24"/>
          <w:szCs w:val="24"/>
        </w:rPr>
        <w:t>7424/LXXII</w:t>
      </w:r>
      <w:r w:rsidRPr="007F7F86">
        <w:rPr>
          <w:rFonts w:ascii="Arial" w:hAnsi="Arial" w:cs="Arial"/>
          <w:sz w:val="24"/>
          <w:szCs w:val="24"/>
        </w:rPr>
        <w:t xml:space="preserve">, el cual contiene un escrito signado por los C.C. Rodrigo Medina De la Cruz, </w:t>
      </w:r>
      <w:r w:rsidR="00CE017D" w:rsidRPr="007F7F86">
        <w:rPr>
          <w:rFonts w:ascii="Arial" w:hAnsi="Arial" w:cs="Arial"/>
          <w:sz w:val="24"/>
          <w:szCs w:val="24"/>
        </w:rPr>
        <w:t>Álvaro</w:t>
      </w:r>
      <w:r w:rsidRPr="007F7F86">
        <w:rPr>
          <w:rFonts w:ascii="Arial" w:hAnsi="Arial" w:cs="Arial"/>
          <w:sz w:val="24"/>
          <w:szCs w:val="24"/>
        </w:rPr>
        <w:t xml:space="preserve"> Ibarra Hinojosa y Rodolfo </w:t>
      </w:r>
      <w:r w:rsidR="00CE017D" w:rsidRPr="007F7F86">
        <w:rPr>
          <w:rFonts w:ascii="Arial" w:hAnsi="Arial" w:cs="Arial"/>
          <w:sz w:val="24"/>
          <w:szCs w:val="24"/>
        </w:rPr>
        <w:t>Gómez</w:t>
      </w:r>
      <w:r w:rsidRPr="007F7F86">
        <w:rPr>
          <w:rFonts w:ascii="Arial" w:hAnsi="Arial" w:cs="Arial"/>
          <w:sz w:val="24"/>
          <w:szCs w:val="24"/>
        </w:rPr>
        <w:t xml:space="preserve"> Acosta, Gobernador Constitucional, Secretario General de Gobierno, y Secretario de Finanzas y Tesorero General del Estado, respectivamente, mediante el cual someten a la </w:t>
      </w:r>
      <w:r w:rsidR="00CE017D" w:rsidRPr="007F7F86">
        <w:rPr>
          <w:rFonts w:ascii="Arial" w:hAnsi="Arial" w:cs="Arial"/>
          <w:sz w:val="24"/>
          <w:szCs w:val="24"/>
        </w:rPr>
        <w:t>consideración</w:t>
      </w:r>
      <w:r w:rsidRPr="007F7F86">
        <w:rPr>
          <w:rFonts w:ascii="Arial" w:hAnsi="Arial" w:cs="Arial"/>
          <w:sz w:val="24"/>
          <w:szCs w:val="24"/>
        </w:rPr>
        <w:t xml:space="preserve"> de esta </w:t>
      </w:r>
      <w:r w:rsidR="00CE017D" w:rsidRPr="007F7F86">
        <w:rPr>
          <w:rFonts w:ascii="Arial" w:hAnsi="Arial" w:cs="Arial"/>
          <w:sz w:val="24"/>
          <w:szCs w:val="24"/>
        </w:rPr>
        <w:t>Soberanía</w:t>
      </w:r>
      <w:r w:rsidRPr="007F7F86">
        <w:rPr>
          <w:rFonts w:ascii="Arial" w:hAnsi="Arial" w:cs="Arial"/>
          <w:sz w:val="24"/>
          <w:szCs w:val="24"/>
        </w:rPr>
        <w:t xml:space="preserve"> Iniciativa con proyecto de Decreto que tiene por objeto desincorporar del dominio </w:t>
      </w:r>
      <w:r w:rsidR="00CE017D" w:rsidRPr="007F7F86">
        <w:rPr>
          <w:rFonts w:ascii="Arial" w:hAnsi="Arial" w:cs="Arial"/>
          <w:sz w:val="24"/>
          <w:szCs w:val="24"/>
        </w:rPr>
        <w:t>público</w:t>
      </w:r>
      <w:r w:rsidRPr="007F7F86">
        <w:rPr>
          <w:rFonts w:ascii="Arial" w:hAnsi="Arial" w:cs="Arial"/>
          <w:sz w:val="24"/>
          <w:szCs w:val="24"/>
        </w:rPr>
        <w:t xml:space="preserve"> once inmuebles propiedad del Estado, </w:t>
      </w:r>
      <w:r w:rsidR="00CE017D" w:rsidRPr="007F7F86">
        <w:rPr>
          <w:rFonts w:ascii="Arial" w:hAnsi="Arial" w:cs="Arial"/>
          <w:sz w:val="24"/>
          <w:szCs w:val="24"/>
        </w:rPr>
        <w:t>así</w:t>
      </w:r>
      <w:r w:rsidRPr="007F7F86">
        <w:rPr>
          <w:rFonts w:ascii="Arial" w:hAnsi="Arial" w:cs="Arial"/>
          <w:sz w:val="24"/>
          <w:szCs w:val="24"/>
        </w:rPr>
        <w:t xml:space="preserve">́ como autorizar su </w:t>
      </w:r>
      <w:r w:rsidR="00CE017D" w:rsidRPr="007F7F86">
        <w:rPr>
          <w:rFonts w:ascii="Arial" w:hAnsi="Arial" w:cs="Arial"/>
          <w:sz w:val="24"/>
          <w:szCs w:val="24"/>
        </w:rPr>
        <w:t>enajenación</w:t>
      </w:r>
      <w:r w:rsidRPr="007F7F86">
        <w:rPr>
          <w:rFonts w:ascii="Arial" w:hAnsi="Arial" w:cs="Arial"/>
          <w:sz w:val="24"/>
          <w:szCs w:val="24"/>
        </w:rPr>
        <w:t xml:space="preserve">, mediante contratos de </w:t>
      </w:r>
      <w:r w:rsidR="00CE017D" w:rsidRPr="007F7F86">
        <w:rPr>
          <w:rFonts w:ascii="Arial" w:hAnsi="Arial" w:cs="Arial"/>
          <w:sz w:val="24"/>
          <w:szCs w:val="24"/>
        </w:rPr>
        <w:t>donación</w:t>
      </w:r>
      <w:r w:rsidRPr="007F7F86">
        <w:rPr>
          <w:rFonts w:ascii="Arial" w:hAnsi="Arial" w:cs="Arial"/>
          <w:sz w:val="24"/>
          <w:szCs w:val="24"/>
        </w:rPr>
        <w:t xml:space="preserve"> al Fideicomiso Fomento Metropolitano de Monterrey (FOMERREY), la Universidad </w:t>
      </w:r>
      <w:r w:rsidR="00CE017D" w:rsidRPr="007F7F86">
        <w:rPr>
          <w:rFonts w:ascii="Arial" w:hAnsi="Arial" w:cs="Arial"/>
          <w:sz w:val="24"/>
          <w:szCs w:val="24"/>
        </w:rPr>
        <w:t>Tecnológica</w:t>
      </w:r>
      <w:r w:rsidRPr="007F7F86">
        <w:rPr>
          <w:rFonts w:ascii="Arial" w:hAnsi="Arial" w:cs="Arial"/>
          <w:sz w:val="24"/>
          <w:szCs w:val="24"/>
        </w:rPr>
        <w:t xml:space="preserve"> de Cadereyta (UTC) y el Fideicomiso para el Desarrollo de la Zona </w:t>
      </w:r>
      <w:r w:rsidR="00CE017D" w:rsidRPr="007F7F86">
        <w:rPr>
          <w:rFonts w:ascii="Arial" w:hAnsi="Arial" w:cs="Arial"/>
          <w:sz w:val="24"/>
          <w:szCs w:val="24"/>
        </w:rPr>
        <w:t>Citrícola</w:t>
      </w:r>
      <w:r w:rsidRPr="007F7F86">
        <w:rPr>
          <w:rFonts w:ascii="Arial" w:hAnsi="Arial" w:cs="Arial"/>
          <w:sz w:val="24"/>
          <w:szCs w:val="24"/>
        </w:rPr>
        <w:t xml:space="preserve"> del Estado de Nuevo </w:t>
      </w:r>
      <w:r w:rsidR="00CE017D" w:rsidRPr="007F7F86">
        <w:rPr>
          <w:rFonts w:ascii="Arial" w:hAnsi="Arial" w:cs="Arial"/>
          <w:sz w:val="24"/>
          <w:szCs w:val="24"/>
        </w:rPr>
        <w:t>León</w:t>
      </w:r>
      <w:r w:rsidRPr="007F7F86">
        <w:rPr>
          <w:rFonts w:ascii="Arial" w:hAnsi="Arial" w:cs="Arial"/>
          <w:sz w:val="24"/>
          <w:szCs w:val="24"/>
        </w:rPr>
        <w:t xml:space="preserve"> (FIDECITRUS), de compraventa y de permuta a favor de diversos particulares, todo ello en los </w:t>
      </w:r>
      <w:r w:rsidR="00CE017D" w:rsidRPr="007F7F86">
        <w:rPr>
          <w:rFonts w:ascii="Arial" w:hAnsi="Arial" w:cs="Arial"/>
          <w:sz w:val="24"/>
          <w:szCs w:val="24"/>
        </w:rPr>
        <w:t>términos</w:t>
      </w:r>
      <w:r w:rsidRPr="007F7F86">
        <w:rPr>
          <w:rFonts w:ascii="Arial" w:hAnsi="Arial" w:cs="Arial"/>
          <w:sz w:val="24"/>
          <w:szCs w:val="24"/>
        </w:rPr>
        <w:t xml:space="preserve"> de lo dispuesto en la Ley de </w:t>
      </w:r>
      <w:r w:rsidR="00CE017D" w:rsidRPr="007F7F86">
        <w:rPr>
          <w:rFonts w:ascii="Arial" w:hAnsi="Arial" w:cs="Arial"/>
          <w:sz w:val="24"/>
          <w:szCs w:val="24"/>
        </w:rPr>
        <w:t>Administración</w:t>
      </w:r>
      <w:r w:rsidRPr="007F7F86">
        <w:rPr>
          <w:rFonts w:ascii="Arial" w:hAnsi="Arial" w:cs="Arial"/>
          <w:sz w:val="24"/>
          <w:szCs w:val="24"/>
        </w:rPr>
        <w:t xml:space="preserve"> Financiera para el Estado de Nuevo </w:t>
      </w:r>
      <w:r w:rsidR="00CE017D" w:rsidRPr="007F7F86">
        <w:rPr>
          <w:rFonts w:ascii="Arial" w:hAnsi="Arial" w:cs="Arial"/>
          <w:sz w:val="24"/>
          <w:szCs w:val="24"/>
        </w:rPr>
        <w:t>León</w:t>
      </w:r>
      <w:r w:rsidRPr="007F7F86">
        <w:rPr>
          <w:rFonts w:ascii="Arial" w:hAnsi="Arial" w:cs="Arial"/>
          <w:sz w:val="24"/>
          <w:szCs w:val="24"/>
        </w:rPr>
        <w:t xml:space="preserve"> y </w:t>
      </w:r>
      <w:r w:rsidR="00CE017D" w:rsidRPr="007F7F86">
        <w:rPr>
          <w:rFonts w:ascii="Arial" w:hAnsi="Arial" w:cs="Arial"/>
          <w:sz w:val="24"/>
          <w:szCs w:val="24"/>
        </w:rPr>
        <w:t>demás</w:t>
      </w:r>
      <w:r w:rsidRPr="007F7F86">
        <w:rPr>
          <w:rFonts w:ascii="Arial" w:hAnsi="Arial" w:cs="Arial"/>
          <w:sz w:val="24"/>
          <w:szCs w:val="24"/>
        </w:rPr>
        <w:t xml:space="preserve"> normatividad aplicable.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ANTECEDENTES: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Expresan los </w:t>
      </w:r>
      <w:proofErr w:type="spellStart"/>
      <w:r w:rsidRPr="007F7F86">
        <w:rPr>
          <w:rFonts w:ascii="Arial" w:hAnsi="Arial" w:cs="Arial"/>
          <w:sz w:val="24"/>
          <w:szCs w:val="24"/>
        </w:rPr>
        <w:t>promoventes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que el Estado es </w:t>
      </w:r>
      <w:proofErr w:type="spellStart"/>
      <w:r w:rsidRPr="007F7F86">
        <w:rPr>
          <w:rFonts w:ascii="Arial" w:hAnsi="Arial" w:cs="Arial"/>
          <w:sz w:val="24"/>
          <w:szCs w:val="24"/>
        </w:rPr>
        <w:t>dueño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en </w:t>
      </w:r>
      <w:proofErr w:type="spellStart"/>
      <w:r w:rsidRPr="007F7F86">
        <w:rPr>
          <w:rFonts w:ascii="Arial" w:hAnsi="Arial" w:cs="Arial"/>
          <w:sz w:val="24"/>
          <w:szCs w:val="24"/>
        </w:rPr>
        <w:t>legítima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propiedad y pleno dominio de once inmuebles, los cuales se identifican con los expedientes catastrales </w:t>
      </w:r>
      <w:proofErr w:type="spellStart"/>
      <w:r w:rsidRPr="007F7F86">
        <w:rPr>
          <w:rFonts w:ascii="Arial" w:hAnsi="Arial" w:cs="Arial"/>
          <w:sz w:val="24"/>
          <w:szCs w:val="24"/>
        </w:rPr>
        <w:t>números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: 20) 02-010-006, 28) 69-001-287, 42) 65-000-791, 19) 53-000-290, 19) 53-000-924, 45) 61-000-361, 45) 61-000- 597, 44) 15-000-075, 70) 22-004-022, 70) 22-004-021 y 70) 11-145-005.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lastRenderedPageBreak/>
        <w:t xml:space="preserve">Los datos relativos a las dimensiones, </w:t>
      </w:r>
      <w:proofErr w:type="spellStart"/>
      <w:r w:rsidRPr="007F7F86">
        <w:rPr>
          <w:rFonts w:ascii="Arial" w:hAnsi="Arial" w:cs="Arial"/>
          <w:sz w:val="24"/>
          <w:szCs w:val="24"/>
        </w:rPr>
        <w:t>ubicación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colindancias y datos de </w:t>
      </w:r>
      <w:proofErr w:type="spellStart"/>
      <w:r w:rsidRPr="007F7F86">
        <w:rPr>
          <w:rFonts w:ascii="Arial" w:hAnsi="Arial" w:cs="Arial"/>
          <w:sz w:val="24"/>
          <w:szCs w:val="24"/>
        </w:rPr>
        <w:t>inscripción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los inmuebles antes mencionados son descritos por los </w:t>
      </w:r>
      <w:proofErr w:type="spellStart"/>
      <w:r w:rsidRPr="007F7F86">
        <w:rPr>
          <w:rFonts w:ascii="Arial" w:hAnsi="Arial" w:cs="Arial"/>
          <w:sz w:val="24"/>
          <w:szCs w:val="24"/>
        </w:rPr>
        <w:t>promoventes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en la solicitud de </w:t>
      </w:r>
      <w:proofErr w:type="spellStart"/>
      <w:r w:rsidRPr="007F7F86">
        <w:rPr>
          <w:rFonts w:ascii="Arial" w:hAnsi="Arial" w:cs="Arial"/>
          <w:sz w:val="24"/>
          <w:szCs w:val="24"/>
        </w:rPr>
        <w:t>mérito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mismos que se tienen </w:t>
      </w:r>
      <w:proofErr w:type="spellStart"/>
      <w:r w:rsidRPr="007F7F86">
        <w:rPr>
          <w:rFonts w:ascii="Arial" w:hAnsi="Arial" w:cs="Arial"/>
          <w:sz w:val="24"/>
          <w:szCs w:val="24"/>
        </w:rPr>
        <w:t>aqui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por reproducidos literalmente, en obvio de repeticiones, como si a la letra se insertaran.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F7F86">
        <w:rPr>
          <w:rFonts w:ascii="Arial" w:hAnsi="Arial" w:cs="Arial"/>
          <w:sz w:val="24"/>
          <w:szCs w:val="24"/>
        </w:rPr>
        <w:t>Señalan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que en fechas 10 de junio del 2010 y 07 de enero del 2011, el C. Juan Federico </w:t>
      </w:r>
      <w:proofErr w:type="spellStart"/>
      <w:r w:rsidRPr="007F7F86">
        <w:rPr>
          <w:rFonts w:ascii="Arial" w:hAnsi="Arial" w:cs="Arial"/>
          <w:sz w:val="24"/>
          <w:szCs w:val="24"/>
        </w:rPr>
        <w:t>García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Iza, Representante Legal de la empresa MARIZA, S.A. de C.V., y los C.C. Consuelo Rivero </w:t>
      </w:r>
      <w:proofErr w:type="spellStart"/>
      <w:r w:rsidRPr="007F7F86">
        <w:rPr>
          <w:rFonts w:ascii="Arial" w:hAnsi="Arial" w:cs="Arial"/>
          <w:sz w:val="24"/>
          <w:szCs w:val="24"/>
        </w:rPr>
        <w:t>Milmo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Cano y </w:t>
      </w:r>
      <w:proofErr w:type="spellStart"/>
      <w:r w:rsidRPr="007F7F86">
        <w:rPr>
          <w:rFonts w:ascii="Arial" w:hAnsi="Arial" w:cs="Arial"/>
          <w:sz w:val="24"/>
          <w:szCs w:val="24"/>
        </w:rPr>
        <w:t>Jesús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Cano </w:t>
      </w:r>
      <w:proofErr w:type="spellStart"/>
      <w:r w:rsidRPr="007F7F86">
        <w:rPr>
          <w:rFonts w:ascii="Arial" w:hAnsi="Arial" w:cs="Arial"/>
          <w:sz w:val="24"/>
          <w:szCs w:val="24"/>
        </w:rPr>
        <w:t>González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mediante escrito solicitaron en venta ante la </w:t>
      </w:r>
      <w:proofErr w:type="spellStart"/>
      <w:r w:rsidRPr="007F7F86">
        <w:rPr>
          <w:rFonts w:ascii="Arial" w:hAnsi="Arial" w:cs="Arial"/>
          <w:sz w:val="24"/>
          <w:szCs w:val="24"/>
        </w:rPr>
        <w:t>Dirección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Patrimonio de la </w:t>
      </w:r>
      <w:proofErr w:type="spellStart"/>
      <w:r w:rsidRPr="007F7F86">
        <w:rPr>
          <w:rFonts w:ascii="Arial" w:hAnsi="Arial" w:cs="Arial"/>
          <w:sz w:val="24"/>
          <w:szCs w:val="24"/>
        </w:rPr>
        <w:t>Subsecretaría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F7F86">
        <w:rPr>
          <w:rFonts w:ascii="Arial" w:hAnsi="Arial" w:cs="Arial"/>
          <w:sz w:val="24"/>
          <w:szCs w:val="24"/>
        </w:rPr>
        <w:t>Secretaría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Finanzas y </w:t>
      </w:r>
      <w:proofErr w:type="spellStart"/>
      <w:r w:rsidRPr="007F7F86">
        <w:rPr>
          <w:rFonts w:ascii="Arial" w:hAnsi="Arial" w:cs="Arial"/>
          <w:sz w:val="24"/>
          <w:szCs w:val="24"/>
        </w:rPr>
        <w:t>Tesorería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General del Estado, los inmuebles identificados con los expedientes catastrales 70) 22-004-021 y 70) 22-004-022, con superficies de 56.214 y 256.397 metros cuadrados, respectivamente, </w:t>
      </w:r>
      <w:proofErr w:type="spellStart"/>
      <w:r w:rsidRPr="007F7F86">
        <w:rPr>
          <w:rFonts w:ascii="Arial" w:hAnsi="Arial" w:cs="Arial"/>
          <w:sz w:val="24"/>
          <w:szCs w:val="24"/>
        </w:rPr>
        <w:t>señalando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que son propietarios de los lotes que colindan con dichos inmuebles.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En lo relativo al inmueble identificado con el expediente catastral 70) 11-145- 005, con una superficie de 183.480 m2, propiedad del Gobierno del Estado, precisan que con motivo de la </w:t>
      </w:r>
      <w:proofErr w:type="spellStart"/>
      <w:r w:rsidRPr="007F7F86">
        <w:rPr>
          <w:rFonts w:ascii="Arial" w:hAnsi="Arial" w:cs="Arial"/>
          <w:sz w:val="24"/>
          <w:szCs w:val="24"/>
        </w:rPr>
        <w:t>ejecución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 obra </w:t>
      </w:r>
      <w:proofErr w:type="spellStart"/>
      <w:r w:rsidRPr="007F7F86">
        <w:rPr>
          <w:rFonts w:ascii="Arial" w:hAnsi="Arial" w:cs="Arial"/>
          <w:sz w:val="24"/>
          <w:szCs w:val="24"/>
        </w:rPr>
        <w:t>pública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Ampliación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 Avenida Venustiano Carranza se afectó un inmueble propiedad del C. Julio N. Garza </w:t>
      </w:r>
      <w:proofErr w:type="spellStart"/>
      <w:r w:rsidRPr="007F7F86">
        <w:rPr>
          <w:rFonts w:ascii="Arial" w:hAnsi="Arial" w:cs="Arial"/>
          <w:sz w:val="24"/>
          <w:szCs w:val="24"/>
        </w:rPr>
        <w:t>González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el cual se encuentra ubicado en la avenida Venustiano Carranza </w:t>
      </w:r>
      <w:proofErr w:type="spellStart"/>
      <w:r w:rsidRPr="007F7F86">
        <w:rPr>
          <w:rFonts w:ascii="Arial" w:hAnsi="Arial" w:cs="Arial"/>
          <w:sz w:val="24"/>
          <w:szCs w:val="24"/>
        </w:rPr>
        <w:t>número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216 y se identifica con el expediente catastral </w:t>
      </w:r>
      <w:proofErr w:type="spellStart"/>
      <w:r w:rsidRPr="007F7F86">
        <w:rPr>
          <w:rFonts w:ascii="Arial" w:hAnsi="Arial" w:cs="Arial"/>
          <w:sz w:val="24"/>
          <w:szCs w:val="24"/>
        </w:rPr>
        <w:t>número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70) 11-145-008, por lo cual la </w:t>
      </w:r>
      <w:proofErr w:type="spellStart"/>
      <w:r w:rsidRPr="007F7F86">
        <w:rPr>
          <w:rFonts w:ascii="Arial" w:hAnsi="Arial" w:cs="Arial"/>
          <w:sz w:val="24"/>
          <w:szCs w:val="24"/>
        </w:rPr>
        <w:t>intención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es permutar dichos inmuebles a fin de pagar la </w:t>
      </w:r>
      <w:proofErr w:type="spellStart"/>
      <w:r w:rsidRPr="007F7F86">
        <w:rPr>
          <w:rFonts w:ascii="Arial" w:hAnsi="Arial" w:cs="Arial"/>
          <w:sz w:val="24"/>
          <w:szCs w:val="24"/>
        </w:rPr>
        <w:t>afectación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realizada al citado particular.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lastRenderedPageBreak/>
        <w:t xml:space="preserve">Agregan que en cumplimiento a lo establecido en los </w:t>
      </w:r>
      <w:proofErr w:type="spellStart"/>
      <w:r w:rsidRPr="007F7F86">
        <w:rPr>
          <w:rFonts w:ascii="Arial" w:hAnsi="Arial" w:cs="Arial"/>
          <w:sz w:val="24"/>
          <w:szCs w:val="24"/>
        </w:rPr>
        <w:t>artículos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134 de la </w:t>
      </w:r>
      <w:proofErr w:type="spellStart"/>
      <w:r w:rsidRPr="007F7F86">
        <w:rPr>
          <w:rFonts w:ascii="Arial" w:hAnsi="Arial" w:cs="Arial"/>
          <w:sz w:val="24"/>
          <w:szCs w:val="24"/>
        </w:rPr>
        <w:t>Constitución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Política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Estado Libre y Soberano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; 75, 107 de la Ley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Financiera para el Estado; y 26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VIII del Reglamento Interior de la </w:t>
      </w:r>
      <w:proofErr w:type="spellStart"/>
      <w:r w:rsidRPr="007F7F86">
        <w:rPr>
          <w:rFonts w:ascii="Arial" w:hAnsi="Arial" w:cs="Arial"/>
          <w:sz w:val="24"/>
          <w:szCs w:val="24"/>
        </w:rPr>
        <w:t>Secretaría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Finanzas y </w:t>
      </w:r>
      <w:proofErr w:type="spellStart"/>
      <w:r w:rsidRPr="007F7F86">
        <w:rPr>
          <w:rFonts w:ascii="Arial" w:hAnsi="Arial" w:cs="Arial"/>
          <w:sz w:val="24"/>
          <w:szCs w:val="24"/>
        </w:rPr>
        <w:t>Tesorería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General del Estado, el Consejero </w:t>
      </w:r>
      <w:proofErr w:type="spellStart"/>
      <w:r w:rsidRPr="007F7F86">
        <w:rPr>
          <w:rFonts w:ascii="Arial" w:hAnsi="Arial" w:cs="Arial"/>
          <w:sz w:val="24"/>
          <w:szCs w:val="24"/>
        </w:rPr>
        <w:t>Jurídico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dicha </w:t>
      </w:r>
      <w:proofErr w:type="spellStart"/>
      <w:r w:rsidRPr="007F7F86">
        <w:rPr>
          <w:rFonts w:ascii="Arial" w:hAnsi="Arial" w:cs="Arial"/>
          <w:sz w:val="24"/>
          <w:szCs w:val="24"/>
        </w:rPr>
        <w:t>Secretaría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mediante los oficios </w:t>
      </w:r>
      <w:proofErr w:type="spellStart"/>
      <w:r w:rsidRPr="007F7F86">
        <w:rPr>
          <w:rFonts w:ascii="Arial" w:hAnsi="Arial" w:cs="Arial"/>
          <w:sz w:val="24"/>
          <w:szCs w:val="24"/>
        </w:rPr>
        <w:t>números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CJ-046/2011 de fecha 08 de marzo de 2011, CJ-311/2011 de fecha 07 de julio de 2011, CJ/414/2011 de fecha 21 de septiembre de 2011, CJ- 409/2011 de fecha 07 de septiembre de 2011, CJ-142/2011 y CJ-166/2011, de fechas 10 y 14 de junio de 2011 respectivamente, CJ/488/2011 de fecha 09 de noviembre de 2011 y CJ-513/2011 de fecha 06 de diciembre del 2011, </w:t>
      </w:r>
      <w:proofErr w:type="spellStart"/>
      <w:r w:rsidRPr="007F7F86">
        <w:rPr>
          <w:rFonts w:ascii="Arial" w:hAnsi="Arial" w:cs="Arial"/>
          <w:sz w:val="24"/>
          <w:szCs w:val="24"/>
        </w:rPr>
        <w:t>emitio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</w:t>
      </w:r>
      <w:proofErr w:type="spellStart"/>
      <w:r w:rsidRPr="007F7F86">
        <w:rPr>
          <w:rFonts w:ascii="Arial" w:hAnsi="Arial" w:cs="Arial"/>
          <w:sz w:val="24"/>
          <w:szCs w:val="24"/>
        </w:rPr>
        <w:t>autorización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para que se realicen los </w:t>
      </w:r>
      <w:proofErr w:type="spellStart"/>
      <w:r w:rsidRPr="007F7F86">
        <w:rPr>
          <w:rFonts w:ascii="Arial" w:hAnsi="Arial" w:cs="Arial"/>
          <w:sz w:val="24"/>
          <w:szCs w:val="24"/>
        </w:rPr>
        <w:t>trámites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correspondientes para someter a </w:t>
      </w:r>
      <w:proofErr w:type="spellStart"/>
      <w:r w:rsidRPr="007F7F86">
        <w:rPr>
          <w:rFonts w:ascii="Arial" w:hAnsi="Arial" w:cs="Arial"/>
          <w:sz w:val="24"/>
          <w:szCs w:val="24"/>
        </w:rPr>
        <w:t>consideración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F7F86">
        <w:rPr>
          <w:rFonts w:ascii="Arial" w:hAnsi="Arial" w:cs="Arial"/>
          <w:sz w:val="24"/>
          <w:szCs w:val="24"/>
        </w:rPr>
        <w:t>Comite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de Operaciones Inmobiliarias los respectivos contratos de </w:t>
      </w:r>
      <w:proofErr w:type="spellStart"/>
      <w:r w:rsidRPr="007F7F86">
        <w:rPr>
          <w:rFonts w:ascii="Arial" w:hAnsi="Arial" w:cs="Arial"/>
          <w:sz w:val="24"/>
          <w:szCs w:val="24"/>
        </w:rPr>
        <w:t>donación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compraventa y permuta, con </w:t>
      </w:r>
      <w:proofErr w:type="spellStart"/>
      <w:r w:rsidRPr="007F7F86">
        <w:rPr>
          <w:rFonts w:ascii="Arial" w:hAnsi="Arial" w:cs="Arial"/>
          <w:sz w:val="24"/>
          <w:szCs w:val="24"/>
        </w:rPr>
        <w:t>relación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a los once inmuebles objeto de la solicitud del presente dictamen.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Especifican que, acorde a lo dispuesto en el </w:t>
      </w:r>
      <w:proofErr w:type="spellStart"/>
      <w:r w:rsidRPr="007F7F86">
        <w:rPr>
          <w:rFonts w:ascii="Arial" w:hAnsi="Arial" w:cs="Arial"/>
          <w:sz w:val="24"/>
          <w:szCs w:val="24"/>
        </w:rPr>
        <w:t>artículo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123 de la Ley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Financiera para 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el referido </w:t>
      </w:r>
      <w:proofErr w:type="spellStart"/>
      <w:r w:rsidRPr="007F7F86">
        <w:rPr>
          <w:rFonts w:ascii="Arial" w:hAnsi="Arial" w:cs="Arial"/>
          <w:sz w:val="24"/>
          <w:szCs w:val="24"/>
        </w:rPr>
        <w:t>Comite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de Operaciones Inmobiliarias </w:t>
      </w:r>
      <w:proofErr w:type="spellStart"/>
      <w:r w:rsidRPr="007F7F86">
        <w:rPr>
          <w:rFonts w:ascii="Arial" w:hAnsi="Arial" w:cs="Arial"/>
          <w:sz w:val="24"/>
          <w:szCs w:val="24"/>
        </w:rPr>
        <w:t>emitio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en diversas fechas </w:t>
      </w:r>
      <w:proofErr w:type="spellStart"/>
      <w:r w:rsidRPr="007F7F86">
        <w:rPr>
          <w:rFonts w:ascii="Arial" w:hAnsi="Arial" w:cs="Arial"/>
          <w:sz w:val="24"/>
          <w:szCs w:val="24"/>
        </w:rPr>
        <w:t>dictámenes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favorables para que, previo el cumplimiento de las formalidades legales aplicables, se proceda con los </w:t>
      </w:r>
      <w:proofErr w:type="spellStart"/>
      <w:r w:rsidRPr="007F7F86">
        <w:rPr>
          <w:rFonts w:ascii="Arial" w:hAnsi="Arial" w:cs="Arial"/>
          <w:sz w:val="24"/>
          <w:szCs w:val="24"/>
        </w:rPr>
        <w:t>trámites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necesarios para la </w:t>
      </w:r>
      <w:proofErr w:type="spellStart"/>
      <w:r w:rsidRPr="007F7F86">
        <w:rPr>
          <w:rFonts w:ascii="Arial" w:hAnsi="Arial" w:cs="Arial"/>
          <w:sz w:val="24"/>
          <w:szCs w:val="24"/>
        </w:rPr>
        <w:t>materialización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las operaciones aprobadas.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A este respecto, las fechas de las sesiones del </w:t>
      </w:r>
      <w:proofErr w:type="spellStart"/>
      <w:r w:rsidRPr="007F7F86">
        <w:rPr>
          <w:rFonts w:ascii="Arial" w:hAnsi="Arial" w:cs="Arial"/>
          <w:sz w:val="24"/>
          <w:szCs w:val="24"/>
        </w:rPr>
        <w:t>Comite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de Operaciones Inmobiliarias y las operaciones aprobadas para cada uno de los inmuebles son: </w:t>
      </w:r>
    </w:p>
    <w:p w:rsidR="007F7F86" w:rsidRPr="007F7F86" w:rsidRDefault="007F7F86" w:rsidP="007F7F86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lastRenderedPageBreak/>
        <w:t xml:space="preserve">  21 de junio de 2011: para celebrar contrato de permuta referente al inmueble propiedad estatal identificado con el expediente catastral </w:t>
      </w:r>
      <w:proofErr w:type="spellStart"/>
      <w:r w:rsidRPr="007F7F86">
        <w:rPr>
          <w:rFonts w:ascii="Arial" w:hAnsi="Arial" w:cs="Arial"/>
          <w:sz w:val="24"/>
          <w:szCs w:val="24"/>
        </w:rPr>
        <w:t>número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70-11-145-005, por el inmueble propiedad del C. Julio N. Garza </w:t>
      </w:r>
      <w:proofErr w:type="spellStart"/>
      <w:r w:rsidRPr="007F7F86">
        <w:rPr>
          <w:rFonts w:ascii="Arial" w:hAnsi="Arial" w:cs="Arial"/>
          <w:sz w:val="24"/>
          <w:szCs w:val="24"/>
        </w:rPr>
        <w:t>González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con una superficie de 148.89 metros cuadrados, identificado con el expediente catastral </w:t>
      </w:r>
      <w:proofErr w:type="spellStart"/>
      <w:r w:rsidRPr="007F7F86">
        <w:rPr>
          <w:rFonts w:ascii="Arial" w:hAnsi="Arial" w:cs="Arial"/>
          <w:sz w:val="24"/>
          <w:szCs w:val="24"/>
        </w:rPr>
        <w:t>número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70) 11-145-008, en el entendido de que resultara una diferencia de $233,800.00 a favor del Gobierno del Estado que </w:t>
      </w:r>
      <w:proofErr w:type="spellStart"/>
      <w:r w:rsidRPr="007F7F86">
        <w:rPr>
          <w:rFonts w:ascii="Arial" w:hAnsi="Arial" w:cs="Arial"/>
          <w:sz w:val="24"/>
          <w:szCs w:val="24"/>
        </w:rPr>
        <w:t>debera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ser pagada por el citado en el momento de su </w:t>
      </w:r>
      <w:proofErr w:type="spellStart"/>
      <w:r w:rsidRPr="007F7F86">
        <w:rPr>
          <w:rFonts w:ascii="Arial" w:hAnsi="Arial" w:cs="Arial"/>
          <w:sz w:val="24"/>
          <w:szCs w:val="24"/>
        </w:rPr>
        <w:t>formalización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. </w:t>
      </w:r>
    </w:p>
    <w:p w:rsidR="00344CC7" w:rsidRDefault="007F7F86" w:rsidP="00344CC7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  21 de junio de 2011: para celebrar contratos de compraventa con la empresa denominada MARIZA, S.A. de C.V., referente al inmueble identificado con el expediente catastral </w:t>
      </w:r>
      <w:proofErr w:type="spellStart"/>
      <w:r w:rsidRPr="007F7F86">
        <w:rPr>
          <w:rFonts w:ascii="Arial" w:hAnsi="Arial" w:cs="Arial"/>
          <w:sz w:val="24"/>
          <w:szCs w:val="24"/>
        </w:rPr>
        <w:t>número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70) 22-004-021, y con el C. </w:t>
      </w:r>
      <w:proofErr w:type="spellStart"/>
      <w:r w:rsidRPr="007F7F86">
        <w:rPr>
          <w:rFonts w:ascii="Arial" w:hAnsi="Arial" w:cs="Arial"/>
          <w:sz w:val="24"/>
          <w:szCs w:val="24"/>
        </w:rPr>
        <w:t>Jesús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Cano </w:t>
      </w:r>
      <w:proofErr w:type="spellStart"/>
      <w:r w:rsidRPr="007F7F86">
        <w:rPr>
          <w:rFonts w:ascii="Arial" w:hAnsi="Arial" w:cs="Arial"/>
          <w:sz w:val="24"/>
          <w:szCs w:val="24"/>
        </w:rPr>
        <w:t>González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respecto del inmueble estatal identificado con el expediente catastral </w:t>
      </w:r>
      <w:proofErr w:type="spellStart"/>
      <w:r w:rsidRPr="007F7F86">
        <w:rPr>
          <w:rFonts w:ascii="Arial" w:hAnsi="Arial" w:cs="Arial"/>
          <w:sz w:val="24"/>
          <w:szCs w:val="24"/>
        </w:rPr>
        <w:t>número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70) 22-004-022, estableciendo como valor de la </w:t>
      </w:r>
      <w:proofErr w:type="spellStart"/>
      <w:r w:rsidRPr="007F7F86">
        <w:rPr>
          <w:rFonts w:ascii="Arial" w:hAnsi="Arial" w:cs="Arial"/>
          <w:sz w:val="24"/>
          <w:szCs w:val="24"/>
        </w:rPr>
        <w:t>operación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para el primero la cantidad de $196,750.00 (Ciento noventa y seis mil setecientos cincuenta pesos 00/100 M.N.), y para el segundo la cantidad de $1’128,100.00 (Un </w:t>
      </w:r>
      <w:proofErr w:type="spellStart"/>
      <w:r w:rsidRPr="007F7F86">
        <w:rPr>
          <w:rFonts w:ascii="Arial" w:hAnsi="Arial" w:cs="Arial"/>
          <w:sz w:val="24"/>
          <w:szCs w:val="24"/>
        </w:rPr>
        <w:t>millón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ciento veintiocho mil cien pesos 00/100 M.N.), de conformidad a lo establecido por el Colegio Mexicano de </w:t>
      </w:r>
      <w:proofErr w:type="spellStart"/>
      <w:r w:rsidRPr="007F7F86">
        <w:rPr>
          <w:rFonts w:ascii="Arial" w:hAnsi="Arial" w:cs="Arial"/>
          <w:sz w:val="24"/>
          <w:szCs w:val="24"/>
        </w:rPr>
        <w:t>Valuación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A.C., mediante el </w:t>
      </w:r>
      <w:proofErr w:type="spellStart"/>
      <w:r w:rsidRPr="007F7F86">
        <w:rPr>
          <w:rFonts w:ascii="Arial" w:hAnsi="Arial" w:cs="Arial"/>
          <w:sz w:val="24"/>
          <w:szCs w:val="24"/>
        </w:rPr>
        <w:t>avalúo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11-0057, de fecha 02 de junio del 2011 y el </w:t>
      </w:r>
      <w:proofErr w:type="spellStart"/>
      <w:r w:rsidRPr="007F7F86">
        <w:rPr>
          <w:rFonts w:ascii="Arial" w:hAnsi="Arial" w:cs="Arial"/>
          <w:sz w:val="24"/>
          <w:szCs w:val="24"/>
        </w:rPr>
        <w:t>avalúo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10-0121, de fecha 5 de diciembre de 2010. </w:t>
      </w:r>
      <w:r w:rsidR="00344CC7">
        <w:rPr>
          <w:rFonts w:ascii="Arial" w:hAnsi="Arial" w:cs="Arial"/>
          <w:sz w:val="24"/>
          <w:szCs w:val="24"/>
        </w:rPr>
        <w:t xml:space="preserve"> </w:t>
      </w:r>
    </w:p>
    <w:p w:rsidR="007F7F86" w:rsidRPr="00344CC7" w:rsidRDefault="007F7F86" w:rsidP="00344CC7">
      <w:pPr>
        <w:pStyle w:val="NormalWeb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344CC7">
        <w:rPr>
          <w:rFonts w:ascii="Arial" w:hAnsi="Arial" w:cs="Arial"/>
          <w:sz w:val="24"/>
          <w:szCs w:val="24"/>
        </w:rPr>
        <w:t xml:space="preserve">3. 14 de septiembre de 2011: para celebrar contrato de </w:t>
      </w:r>
      <w:proofErr w:type="spellStart"/>
      <w:r w:rsidRPr="00344CC7">
        <w:rPr>
          <w:rFonts w:ascii="Arial" w:hAnsi="Arial" w:cs="Arial"/>
          <w:sz w:val="24"/>
          <w:szCs w:val="24"/>
        </w:rPr>
        <w:t>donación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 a favor del Fideicomiso de Fomento Metropolitano de Monterrey (FOMERREY), del inmueble propiedad del Estado, identificado con el expediente catastral </w:t>
      </w:r>
      <w:proofErr w:type="spellStart"/>
      <w:r w:rsidRPr="00344CC7">
        <w:rPr>
          <w:rFonts w:ascii="Arial" w:hAnsi="Arial" w:cs="Arial"/>
          <w:sz w:val="24"/>
          <w:szCs w:val="24"/>
        </w:rPr>
        <w:t>número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 20) 02-010-006, con una superficie de 11,295.11 metros cuadrados, en el que se encuentra ubicado el asentamiento </w:t>
      </w:r>
      <w:r w:rsidRPr="00344CC7">
        <w:rPr>
          <w:rFonts w:ascii="Arial" w:hAnsi="Arial" w:cs="Arial"/>
          <w:sz w:val="24"/>
          <w:szCs w:val="24"/>
        </w:rPr>
        <w:lastRenderedPageBreak/>
        <w:t xml:space="preserve">humano conocido como colonia Ricardo Morales, Municipio de El Carmen, Nuevo </w:t>
      </w:r>
      <w:proofErr w:type="spellStart"/>
      <w:r w:rsidRPr="00344CC7">
        <w:rPr>
          <w:rFonts w:ascii="Arial" w:hAnsi="Arial" w:cs="Arial"/>
          <w:sz w:val="24"/>
          <w:szCs w:val="24"/>
        </w:rPr>
        <w:t>León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, a efecto de realizar la </w:t>
      </w:r>
      <w:proofErr w:type="spellStart"/>
      <w:r w:rsidRPr="00344CC7">
        <w:rPr>
          <w:rFonts w:ascii="Arial" w:hAnsi="Arial" w:cs="Arial"/>
          <w:sz w:val="24"/>
          <w:szCs w:val="24"/>
        </w:rPr>
        <w:t>regularización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 de la tenencia de la tierra, a favor de las familias que lo habitan. </w:t>
      </w:r>
    </w:p>
    <w:p w:rsidR="007F7F86" w:rsidRPr="007F7F86" w:rsidRDefault="007F7F86" w:rsidP="007F7F86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14 de septiembre de 2011: para celebrar contrato de </w:t>
      </w:r>
      <w:proofErr w:type="spellStart"/>
      <w:r w:rsidRPr="007F7F86">
        <w:rPr>
          <w:rFonts w:ascii="Arial" w:hAnsi="Arial" w:cs="Arial"/>
          <w:sz w:val="24"/>
          <w:szCs w:val="24"/>
        </w:rPr>
        <w:t>donación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a favor de la Universidad </w:t>
      </w:r>
      <w:proofErr w:type="spellStart"/>
      <w:r w:rsidRPr="007F7F86">
        <w:rPr>
          <w:rFonts w:ascii="Arial" w:hAnsi="Arial" w:cs="Arial"/>
          <w:sz w:val="24"/>
          <w:szCs w:val="24"/>
        </w:rPr>
        <w:t>Tecnológica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Cadereyta, de los inmuebles propiedad del Estado, ubicados en la Hacienda Santa </w:t>
      </w:r>
      <w:proofErr w:type="spellStart"/>
      <w:r w:rsidRPr="007F7F86">
        <w:rPr>
          <w:rFonts w:ascii="Arial" w:hAnsi="Arial" w:cs="Arial"/>
          <w:sz w:val="24"/>
          <w:szCs w:val="24"/>
        </w:rPr>
        <w:t>Efigenia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identificados con los expedientes catastrales </w:t>
      </w:r>
      <w:proofErr w:type="spellStart"/>
      <w:r w:rsidRPr="007F7F86">
        <w:rPr>
          <w:rFonts w:ascii="Arial" w:hAnsi="Arial" w:cs="Arial"/>
          <w:sz w:val="24"/>
          <w:szCs w:val="24"/>
        </w:rPr>
        <w:t>números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19) 53-000-290 y 19) 53-000-924, con una superficie de 74,812.47 y 75,187.39 metros cuadrados, respectivamente. </w:t>
      </w:r>
    </w:p>
    <w:p w:rsidR="007F7F86" w:rsidRPr="007F7F86" w:rsidRDefault="007F7F86" w:rsidP="007F7F86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04 de noviembre de 2011: para celebrar contrato de </w:t>
      </w:r>
      <w:proofErr w:type="spellStart"/>
      <w:r w:rsidRPr="007F7F86">
        <w:rPr>
          <w:rFonts w:ascii="Arial" w:hAnsi="Arial" w:cs="Arial"/>
          <w:sz w:val="24"/>
          <w:szCs w:val="24"/>
        </w:rPr>
        <w:t>donación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a favor del Fideicomiso Fomento Metropolitano de Monterrey “FOMERREY”, respecto de los inmuebles identificados con los expedientes catastrales </w:t>
      </w:r>
      <w:proofErr w:type="spellStart"/>
      <w:r w:rsidRPr="007F7F86">
        <w:rPr>
          <w:rFonts w:ascii="Arial" w:hAnsi="Arial" w:cs="Arial"/>
          <w:sz w:val="24"/>
          <w:szCs w:val="24"/>
        </w:rPr>
        <w:t>números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28) 69-001-287 y 42) 65-000-791, en </w:t>
      </w:r>
      <w:proofErr w:type="spellStart"/>
      <w:r w:rsidRPr="007F7F86">
        <w:rPr>
          <w:rFonts w:ascii="Arial" w:hAnsi="Arial" w:cs="Arial"/>
          <w:sz w:val="24"/>
          <w:szCs w:val="24"/>
        </w:rPr>
        <w:t>razón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 necesidad de regularizar el asentamiento humano irregular conocido como colonia “</w:t>
      </w:r>
      <w:proofErr w:type="spellStart"/>
      <w:r w:rsidRPr="007F7F86">
        <w:rPr>
          <w:rFonts w:ascii="Arial" w:hAnsi="Arial" w:cs="Arial"/>
          <w:sz w:val="24"/>
          <w:szCs w:val="24"/>
        </w:rPr>
        <w:t>Ampliación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Tierra Propia La Cuchilla”. </w:t>
      </w:r>
    </w:p>
    <w:p w:rsidR="007F7F86" w:rsidRDefault="007F7F86" w:rsidP="007F7F86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13 de diciembre de 2011, para celebrar contrato de </w:t>
      </w:r>
      <w:proofErr w:type="spellStart"/>
      <w:r w:rsidRPr="007F7F86">
        <w:rPr>
          <w:rFonts w:ascii="Arial" w:hAnsi="Arial" w:cs="Arial"/>
          <w:sz w:val="24"/>
          <w:szCs w:val="24"/>
        </w:rPr>
        <w:t>donación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a favor del Fideicomiso para el Desarrollo de la Zona </w:t>
      </w:r>
      <w:proofErr w:type="spellStart"/>
      <w:r w:rsidRPr="007F7F86">
        <w:rPr>
          <w:rFonts w:ascii="Arial" w:hAnsi="Arial" w:cs="Arial"/>
          <w:sz w:val="24"/>
          <w:szCs w:val="24"/>
        </w:rPr>
        <w:t>Citrícola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“FIDECITRUS” respecto de los inmuebles identificados con los expedientes catastrales Nos. 45) 61-000-361, 45) 61-000-597 y 44)15- 000-</w:t>
      </w:r>
    </w:p>
    <w:p w:rsidR="007F7F86" w:rsidRPr="007F7F86" w:rsidRDefault="007F7F86" w:rsidP="007F7F86">
      <w:pPr>
        <w:pStyle w:val="NormalWeb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Conforme a lo anterior, los </w:t>
      </w:r>
      <w:proofErr w:type="spellStart"/>
      <w:r w:rsidRPr="007F7F86">
        <w:rPr>
          <w:rFonts w:ascii="Arial" w:hAnsi="Arial" w:cs="Arial"/>
          <w:sz w:val="24"/>
          <w:szCs w:val="24"/>
        </w:rPr>
        <w:t>promoventes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 iniciativa de </w:t>
      </w:r>
      <w:proofErr w:type="spellStart"/>
      <w:r w:rsidRPr="007F7F86">
        <w:rPr>
          <w:rFonts w:ascii="Arial" w:hAnsi="Arial" w:cs="Arial"/>
          <w:sz w:val="24"/>
          <w:szCs w:val="24"/>
        </w:rPr>
        <w:t>mérito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someten a la </w:t>
      </w:r>
      <w:proofErr w:type="spellStart"/>
      <w:r w:rsidRPr="007F7F86">
        <w:rPr>
          <w:rFonts w:ascii="Arial" w:hAnsi="Arial" w:cs="Arial"/>
          <w:sz w:val="24"/>
          <w:szCs w:val="24"/>
        </w:rPr>
        <w:t>consideración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esta </w:t>
      </w:r>
      <w:proofErr w:type="spellStart"/>
      <w:r w:rsidRPr="007F7F86">
        <w:rPr>
          <w:rFonts w:ascii="Arial" w:hAnsi="Arial" w:cs="Arial"/>
          <w:sz w:val="24"/>
          <w:szCs w:val="24"/>
        </w:rPr>
        <w:t>Soberanía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proyecto de Decreto para desincorporar del patrimonio estatal los bienes inmuebles de referencia, a </w:t>
      </w:r>
      <w:r w:rsidRPr="007F7F86">
        <w:rPr>
          <w:rFonts w:ascii="Arial" w:hAnsi="Arial" w:cs="Arial"/>
          <w:sz w:val="24"/>
          <w:szCs w:val="24"/>
        </w:rPr>
        <w:lastRenderedPageBreak/>
        <w:t xml:space="preserve">fin de que puedan ser objeto de </w:t>
      </w:r>
      <w:proofErr w:type="spellStart"/>
      <w:r w:rsidRPr="007F7F86">
        <w:rPr>
          <w:rFonts w:ascii="Arial" w:hAnsi="Arial" w:cs="Arial"/>
          <w:sz w:val="24"/>
          <w:szCs w:val="24"/>
        </w:rPr>
        <w:t>enajenación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y otros actos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7F86">
        <w:rPr>
          <w:rFonts w:ascii="Arial" w:hAnsi="Arial" w:cs="Arial"/>
          <w:sz w:val="24"/>
          <w:szCs w:val="24"/>
        </w:rPr>
        <w:t>disposición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. </w:t>
      </w:r>
    </w:p>
    <w:p w:rsidR="007F7F86" w:rsidRPr="007F7F86" w:rsidRDefault="007F7F86" w:rsidP="007F7F86">
      <w:pPr>
        <w:pStyle w:val="Normal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>CONSIDERACIONES: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De conformidad con el </w:t>
      </w:r>
      <w:proofErr w:type="spellStart"/>
      <w:r w:rsidRPr="007F7F86">
        <w:rPr>
          <w:rFonts w:ascii="Arial" w:hAnsi="Arial" w:cs="Arial"/>
          <w:sz w:val="24"/>
          <w:szCs w:val="24"/>
        </w:rPr>
        <w:t>artículo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23 de la </w:t>
      </w:r>
      <w:proofErr w:type="spellStart"/>
      <w:r w:rsidRPr="007F7F86">
        <w:rPr>
          <w:rFonts w:ascii="Arial" w:hAnsi="Arial" w:cs="Arial"/>
          <w:sz w:val="24"/>
          <w:szCs w:val="24"/>
        </w:rPr>
        <w:t>Constitución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Política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es competente este H. Congreso para conocer y resolver la presente solicitud de </w:t>
      </w:r>
      <w:proofErr w:type="spellStart"/>
      <w:r w:rsidRPr="007F7F86">
        <w:rPr>
          <w:rFonts w:ascii="Arial" w:hAnsi="Arial" w:cs="Arial"/>
          <w:sz w:val="24"/>
          <w:szCs w:val="24"/>
        </w:rPr>
        <w:t>desafectación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; de conformidad con lo establecido en el </w:t>
      </w:r>
      <w:proofErr w:type="spellStart"/>
      <w:r w:rsidRPr="007F7F86">
        <w:rPr>
          <w:rFonts w:ascii="Arial" w:hAnsi="Arial" w:cs="Arial"/>
          <w:sz w:val="24"/>
          <w:szCs w:val="24"/>
        </w:rPr>
        <w:t>artículo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70,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VIII, de la Ley </w:t>
      </w:r>
      <w:proofErr w:type="spellStart"/>
      <w:r w:rsidRPr="007F7F86">
        <w:rPr>
          <w:rFonts w:ascii="Arial" w:hAnsi="Arial" w:cs="Arial"/>
          <w:sz w:val="24"/>
          <w:szCs w:val="24"/>
        </w:rPr>
        <w:t>Orgánica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Poder Legislativo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y el diverso 39,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VIII, inciso c), del Reglamento para el Gobierno Interior del Congreso, es competencia de esta </w:t>
      </w:r>
      <w:proofErr w:type="spellStart"/>
      <w:r w:rsidRPr="007F7F86">
        <w:rPr>
          <w:rFonts w:ascii="Arial" w:hAnsi="Arial" w:cs="Arial"/>
          <w:sz w:val="24"/>
          <w:szCs w:val="24"/>
        </w:rPr>
        <w:t>Comisión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Desarrollo Urbano, conocer y resolver sobre las desafectaciones y autorizaciones para enajenar o gravar los bienes del Estado, derivado de lo cual sometemos a este </w:t>
      </w:r>
      <w:proofErr w:type="spellStart"/>
      <w:r w:rsidRPr="007F7F86">
        <w:rPr>
          <w:rFonts w:ascii="Arial" w:hAnsi="Arial" w:cs="Arial"/>
          <w:sz w:val="24"/>
          <w:szCs w:val="24"/>
        </w:rPr>
        <w:t>Órgano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Colegiado las siguientes consideraciones: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Es preciso mencionar que esta </w:t>
      </w:r>
      <w:proofErr w:type="spellStart"/>
      <w:r w:rsidRPr="007F7F86">
        <w:rPr>
          <w:rFonts w:ascii="Arial" w:hAnsi="Arial" w:cs="Arial"/>
          <w:sz w:val="24"/>
          <w:szCs w:val="24"/>
        </w:rPr>
        <w:t>Comisión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Desarrollo Urbano dictaminó en forma favorable los bienes inmuebles identificados con los expedientes catastrales 20) 02-010-006, 28) 69-001-287, 4</w:t>
      </w:r>
      <w:r w:rsidR="00344CC7">
        <w:rPr>
          <w:rFonts w:ascii="Arial" w:hAnsi="Arial" w:cs="Arial"/>
          <w:sz w:val="24"/>
          <w:szCs w:val="24"/>
        </w:rPr>
        <w:t xml:space="preserve">2) 65-000-791, 19) 53-000-290, </w:t>
      </w:r>
      <w:r w:rsidRPr="007F7F86">
        <w:rPr>
          <w:rFonts w:ascii="Arial" w:hAnsi="Arial" w:cs="Arial"/>
          <w:sz w:val="24"/>
          <w:szCs w:val="24"/>
        </w:rPr>
        <w:t>19) 53-000-924</w:t>
      </w:r>
      <w:r w:rsidR="00344CC7">
        <w:rPr>
          <w:rFonts w:ascii="Arial" w:hAnsi="Arial" w:cs="Arial"/>
          <w:sz w:val="24"/>
          <w:szCs w:val="24"/>
        </w:rPr>
        <w:t xml:space="preserve"> y </w:t>
      </w:r>
      <w:r w:rsidR="00344CC7" w:rsidRPr="007F7F86">
        <w:rPr>
          <w:rFonts w:ascii="Arial" w:hAnsi="Arial" w:cs="Arial"/>
          <w:sz w:val="24"/>
          <w:szCs w:val="24"/>
        </w:rPr>
        <w:t>70) 22-004-022</w:t>
      </w:r>
      <w:r w:rsidRPr="007F7F86">
        <w:rPr>
          <w:rFonts w:ascii="Arial" w:hAnsi="Arial" w:cs="Arial"/>
          <w:sz w:val="24"/>
          <w:szCs w:val="24"/>
        </w:rPr>
        <w:t xml:space="preserve">; Ahora bien a fin de avanzar en la </w:t>
      </w:r>
      <w:proofErr w:type="spellStart"/>
      <w:r w:rsidRPr="007F7F86">
        <w:rPr>
          <w:rFonts w:ascii="Arial" w:hAnsi="Arial" w:cs="Arial"/>
          <w:sz w:val="24"/>
          <w:szCs w:val="24"/>
        </w:rPr>
        <w:t>construcción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acuerdos que permitan resolver oportuna y eficazmente la solicitud de cuenta, los integrantes de esta </w:t>
      </w:r>
      <w:proofErr w:type="spellStart"/>
      <w:r w:rsidRPr="007F7F86">
        <w:rPr>
          <w:rFonts w:ascii="Arial" w:hAnsi="Arial" w:cs="Arial"/>
          <w:sz w:val="24"/>
          <w:szCs w:val="24"/>
        </w:rPr>
        <w:t>Comisión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Dictamen Legislativo estimamos conveniente que el estudio, </w:t>
      </w:r>
      <w:proofErr w:type="spellStart"/>
      <w:r w:rsidRPr="007F7F86">
        <w:rPr>
          <w:rFonts w:ascii="Arial" w:hAnsi="Arial" w:cs="Arial"/>
          <w:sz w:val="24"/>
          <w:szCs w:val="24"/>
        </w:rPr>
        <w:t>análisis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7F86">
        <w:rPr>
          <w:rFonts w:ascii="Arial" w:hAnsi="Arial" w:cs="Arial"/>
          <w:sz w:val="24"/>
          <w:szCs w:val="24"/>
        </w:rPr>
        <w:t>resolución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presente dictamen se limite al bien inmueble identificado con el exp</w:t>
      </w:r>
      <w:r w:rsidR="00344CC7">
        <w:rPr>
          <w:rFonts w:ascii="Arial" w:hAnsi="Arial" w:cs="Arial"/>
          <w:sz w:val="24"/>
          <w:szCs w:val="24"/>
        </w:rPr>
        <w:t>ediente catastral 70) 22-004-021</w:t>
      </w:r>
      <w:r w:rsidRPr="007F7F86">
        <w:rPr>
          <w:rFonts w:ascii="Arial" w:hAnsi="Arial" w:cs="Arial"/>
          <w:sz w:val="24"/>
          <w:szCs w:val="24"/>
        </w:rPr>
        <w:t xml:space="preserve">, quedando pendiente para su </w:t>
      </w:r>
      <w:proofErr w:type="spellStart"/>
      <w:r w:rsidRPr="007F7F86">
        <w:rPr>
          <w:rFonts w:ascii="Arial" w:hAnsi="Arial" w:cs="Arial"/>
          <w:sz w:val="24"/>
          <w:szCs w:val="24"/>
        </w:rPr>
        <w:t>análisis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estudio y posterior </w:t>
      </w:r>
      <w:proofErr w:type="spellStart"/>
      <w:r w:rsidRPr="007F7F86">
        <w:rPr>
          <w:rFonts w:ascii="Arial" w:hAnsi="Arial" w:cs="Arial"/>
          <w:sz w:val="24"/>
          <w:szCs w:val="24"/>
        </w:rPr>
        <w:t>resolución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la parte de la solicitud relativa a los inmuebles identificados con los </w:t>
      </w:r>
      <w:r w:rsidRPr="007F7F86">
        <w:rPr>
          <w:rFonts w:ascii="Arial" w:hAnsi="Arial" w:cs="Arial"/>
          <w:sz w:val="24"/>
          <w:szCs w:val="24"/>
        </w:rPr>
        <w:lastRenderedPageBreak/>
        <w:t>expedientes catastrales 45) 61-000-361, 45) 61-000-597, 44) 15-000-075</w:t>
      </w:r>
      <w:r w:rsidR="00344CC7">
        <w:rPr>
          <w:rFonts w:ascii="Arial" w:hAnsi="Arial" w:cs="Arial"/>
          <w:sz w:val="24"/>
          <w:szCs w:val="24"/>
        </w:rPr>
        <w:t xml:space="preserve"> </w:t>
      </w:r>
      <w:r w:rsidRPr="007F7F86">
        <w:rPr>
          <w:rFonts w:ascii="Arial" w:hAnsi="Arial" w:cs="Arial"/>
          <w:sz w:val="24"/>
          <w:szCs w:val="24"/>
        </w:rPr>
        <w:t xml:space="preserve">y 70) 11- 145-005.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Una vez precisado lo anterior, es de </w:t>
      </w:r>
      <w:proofErr w:type="spellStart"/>
      <w:r w:rsidRPr="007F7F86">
        <w:rPr>
          <w:rFonts w:ascii="Arial" w:hAnsi="Arial" w:cs="Arial"/>
          <w:sz w:val="24"/>
          <w:szCs w:val="24"/>
        </w:rPr>
        <w:t>señalarse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que la propiedad del inmueble que nos ocupa se acredita fehacientemente por el Gobierno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mediante sendas documentales adjuntas al expediente de </w:t>
      </w:r>
      <w:proofErr w:type="spellStart"/>
      <w:r w:rsidRPr="007F7F86">
        <w:rPr>
          <w:rFonts w:ascii="Arial" w:hAnsi="Arial" w:cs="Arial"/>
          <w:sz w:val="24"/>
          <w:szCs w:val="24"/>
        </w:rPr>
        <w:t>mérito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De la misma forma, las ubicaciones, colindancias, superficies y </w:t>
      </w:r>
      <w:proofErr w:type="spellStart"/>
      <w:r w:rsidRPr="007F7F86">
        <w:rPr>
          <w:rFonts w:ascii="Arial" w:hAnsi="Arial" w:cs="Arial"/>
          <w:sz w:val="24"/>
          <w:szCs w:val="24"/>
        </w:rPr>
        <w:t>demás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datos de </w:t>
      </w:r>
      <w:proofErr w:type="spellStart"/>
      <w:r w:rsidRPr="007F7F86">
        <w:rPr>
          <w:rFonts w:ascii="Arial" w:hAnsi="Arial" w:cs="Arial"/>
          <w:sz w:val="24"/>
          <w:szCs w:val="24"/>
        </w:rPr>
        <w:t>identificación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registral y catastral se detallan y precisan apropiadamente. Por consiguiente, al estar fehacientemente demostrada la titularidad de los derechos de propiedad e </w:t>
      </w:r>
      <w:proofErr w:type="spellStart"/>
      <w:r w:rsidRPr="007F7F86">
        <w:rPr>
          <w:rFonts w:ascii="Arial" w:hAnsi="Arial" w:cs="Arial"/>
          <w:sz w:val="24"/>
          <w:szCs w:val="24"/>
        </w:rPr>
        <w:t>identificación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bien inmueble de referencia, los integrantes de la </w:t>
      </w:r>
      <w:proofErr w:type="spellStart"/>
      <w:r w:rsidRPr="007F7F86">
        <w:rPr>
          <w:rFonts w:ascii="Arial" w:hAnsi="Arial" w:cs="Arial"/>
          <w:sz w:val="24"/>
          <w:szCs w:val="24"/>
        </w:rPr>
        <w:t>Comisión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Desarrollo Urbano, procedimos al estudio del fondo de la solicitud de </w:t>
      </w:r>
      <w:proofErr w:type="spellStart"/>
      <w:r w:rsidRPr="007F7F86">
        <w:rPr>
          <w:rFonts w:ascii="Arial" w:hAnsi="Arial" w:cs="Arial"/>
          <w:sz w:val="24"/>
          <w:szCs w:val="24"/>
        </w:rPr>
        <w:t>mérito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7F86">
        <w:rPr>
          <w:rFonts w:ascii="Arial" w:hAnsi="Arial" w:cs="Arial"/>
          <w:sz w:val="24"/>
          <w:szCs w:val="24"/>
        </w:rPr>
        <w:t>demás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documentales allegadas a la misma, al respecto es de mencionarse que: </w:t>
      </w:r>
    </w:p>
    <w:p w:rsidR="007F7F86" w:rsidRPr="007F7F86" w:rsidRDefault="007F7F86" w:rsidP="007F7F86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Derivado del </w:t>
      </w:r>
      <w:proofErr w:type="spellStart"/>
      <w:r w:rsidRPr="007F7F86">
        <w:rPr>
          <w:rFonts w:ascii="Arial" w:hAnsi="Arial" w:cs="Arial"/>
          <w:sz w:val="24"/>
          <w:szCs w:val="24"/>
        </w:rPr>
        <w:t>título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propiedad del bien inmueble del Gobierno del Estado correspondientes </w:t>
      </w:r>
      <w:r w:rsidR="00344CC7">
        <w:rPr>
          <w:rFonts w:ascii="Arial" w:hAnsi="Arial" w:cs="Arial"/>
          <w:sz w:val="24"/>
          <w:szCs w:val="24"/>
        </w:rPr>
        <w:t>al inmueble</w:t>
      </w:r>
      <w:r w:rsidRPr="007F7F86">
        <w:rPr>
          <w:rFonts w:ascii="Arial" w:hAnsi="Arial" w:cs="Arial"/>
          <w:sz w:val="24"/>
          <w:szCs w:val="24"/>
        </w:rPr>
        <w:t xml:space="preserve"> identificado con el exp</w:t>
      </w:r>
      <w:r w:rsidR="00344CC7">
        <w:rPr>
          <w:rFonts w:ascii="Arial" w:hAnsi="Arial" w:cs="Arial"/>
          <w:sz w:val="24"/>
          <w:szCs w:val="24"/>
        </w:rPr>
        <w:t>ediente catastral 70) 22-004-021</w:t>
      </w:r>
      <w:r w:rsidRPr="007F7F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F7F86">
        <w:rPr>
          <w:rFonts w:ascii="Arial" w:hAnsi="Arial" w:cs="Arial"/>
          <w:sz w:val="24"/>
          <w:szCs w:val="24"/>
        </w:rPr>
        <w:t>asi</w:t>
      </w:r>
      <w:proofErr w:type="spellEnd"/>
      <w:r w:rsidRPr="007F7F86">
        <w:rPr>
          <w:rFonts w:ascii="Arial" w:hAnsi="Arial" w:cs="Arial"/>
          <w:sz w:val="24"/>
          <w:szCs w:val="24"/>
        </w:rPr>
        <w:t>́ como certificado de l</w:t>
      </w:r>
      <w:r w:rsidR="00344CC7">
        <w:rPr>
          <w:rFonts w:ascii="Arial" w:hAnsi="Arial" w:cs="Arial"/>
          <w:sz w:val="24"/>
          <w:szCs w:val="24"/>
        </w:rPr>
        <w:t xml:space="preserve">ibertad de </w:t>
      </w:r>
      <w:proofErr w:type="spellStart"/>
      <w:r w:rsidR="00344CC7">
        <w:rPr>
          <w:rFonts w:ascii="Arial" w:hAnsi="Arial" w:cs="Arial"/>
          <w:sz w:val="24"/>
          <w:szCs w:val="24"/>
        </w:rPr>
        <w:t>gravámenes</w:t>
      </w:r>
      <w:proofErr w:type="spellEnd"/>
      <w:r w:rsidR="00344CC7">
        <w:rPr>
          <w:rFonts w:ascii="Arial" w:hAnsi="Arial" w:cs="Arial"/>
          <w:sz w:val="24"/>
          <w:szCs w:val="24"/>
        </w:rPr>
        <w:t>, adjunto</w:t>
      </w:r>
      <w:r w:rsidRPr="007F7F86">
        <w:rPr>
          <w:rFonts w:ascii="Arial" w:hAnsi="Arial" w:cs="Arial"/>
          <w:sz w:val="24"/>
          <w:szCs w:val="24"/>
        </w:rPr>
        <w:t xml:space="preserve"> a la solicitud en estudio, se advierte que l</w:t>
      </w:r>
      <w:r w:rsidR="00344CC7">
        <w:rPr>
          <w:rFonts w:ascii="Arial" w:hAnsi="Arial" w:cs="Arial"/>
          <w:sz w:val="24"/>
          <w:szCs w:val="24"/>
        </w:rPr>
        <w:t>a citada propiedad se encuentra</w:t>
      </w:r>
      <w:r w:rsidRPr="007F7F86">
        <w:rPr>
          <w:rFonts w:ascii="Arial" w:hAnsi="Arial" w:cs="Arial"/>
          <w:sz w:val="24"/>
          <w:szCs w:val="24"/>
        </w:rPr>
        <w:t xml:space="preserve"> libre de todo gravamen y responsabilidad, por lo que en los </w:t>
      </w:r>
      <w:proofErr w:type="spellStart"/>
      <w:r w:rsidRPr="007F7F86">
        <w:rPr>
          <w:rFonts w:ascii="Arial" w:hAnsi="Arial" w:cs="Arial"/>
          <w:sz w:val="24"/>
          <w:szCs w:val="24"/>
        </w:rPr>
        <w:t>términos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los </w:t>
      </w:r>
      <w:proofErr w:type="spellStart"/>
      <w:r w:rsidRPr="007F7F86">
        <w:rPr>
          <w:rFonts w:ascii="Arial" w:hAnsi="Arial" w:cs="Arial"/>
          <w:sz w:val="24"/>
          <w:szCs w:val="24"/>
        </w:rPr>
        <w:t>artículos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107 fracciones V, 108, 109, y </w:t>
      </w:r>
      <w:proofErr w:type="spellStart"/>
      <w:r w:rsidRPr="007F7F86">
        <w:rPr>
          <w:rFonts w:ascii="Arial" w:hAnsi="Arial" w:cs="Arial"/>
          <w:sz w:val="24"/>
          <w:szCs w:val="24"/>
        </w:rPr>
        <w:t>demás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relativos de la Ley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Financiera para el Estado, al autorizar su </w:t>
      </w:r>
      <w:proofErr w:type="spellStart"/>
      <w:r w:rsidRPr="007F7F86">
        <w:rPr>
          <w:rFonts w:ascii="Arial" w:hAnsi="Arial" w:cs="Arial"/>
          <w:sz w:val="24"/>
          <w:szCs w:val="24"/>
        </w:rPr>
        <w:t>desincorporación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por esta </w:t>
      </w:r>
      <w:proofErr w:type="spellStart"/>
      <w:r w:rsidRPr="007F7F86">
        <w:rPr>
          <w:rFonts w:ascii="Arial" w:hAnsi="Arial" w:cs="Arial"/>
          <w:sz w:val="24"/>
          <w:szCs w:val="24"/>
        </w:rPr>
        <w:t>Soberanía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no se contravienen disposiciones de orden </w:t>
      </w:r>
      <w:proofErr w:type="spellStart"/>
      <w:r w:rsidRPr="007F7F86">
        <w:rPr>
          <w:rFonts w:ascii="Arial" w:hAnsi="Arial" w:cs="Arial"/>
          <w:sz w:val="24"/>
          <w:szCs w:val="24"/>
        </w:rPr>
        <w:t>público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. </w:t>
      </w:r>
    </w:p>
    <w:p w:rsidR="007F7F86" w:rsidRPr="007F7F86" w:rsidRDefault="007F7F86" w:rsidP="007F7F86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El bien inmueble objeto de la presente solicitud de </w:t>
      </w:r>
      <w:proofErr w:type="spellStart"/>
      <w:r w:rsidRPr="007F7F86">
        <w:rPr>
          <w:rFonts w:ascii="Arial" w:hAnsi="Arial" w:cs="Arial"/>
          <w:sz w:val="24"/>
          <w:szCs w:val="24"/>
        </w:rPr>
        <w:t>desincorporación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patrimonio estatal, a la fecha se encuentran desocupado, por lo que al </w:t>
      </w:r>
      <w:r w:rsidRPr="007F7F86">
        <w:rPr>
          <w:rFonts w:ascii="Arial" w:hAnsi="Arial" w:cs="Arial"/>
          <w:sz w:val="24"/>
          <w:szCs w:val="24"/>
        </w:rPr>
        <w:lastRenderedPageBreak/>
        <w:t xml:space="preserve">no estar en </w:t>
      </w:r>
      <w:proofErr w:type="spellStart"/>
      <w:r w:rsidRPr="007F7F86">
        <w:rPr>
          <w:rFonts w:ascii="Arial" w:hAnsi="Arial" w:cs="Arial"/>
          <w:sz w:val="24"/>
          <w:szCs w:val="24"/>
        </w:rPr>
        <w:t>posesión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los mismos, se corre el riesgo de que sean objeto de invasiones o de uso irregular por parte de particulares, lo cual a mediano plazo </w:t>
      </w:r>
      <w:proofErr w:type="spellStart"/>
      <w:r w:rsidRPr="007F7F86">
        <w:rPr>
          <w:rFonts w:ascii="Arial" w:hAnsi="Arial" w:cs="Arial"/>
          <w:sz w:val="24"/>
          <w:szCs w:val="24"/>
        </w:rPr>
        <w:t>acarrearía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un desgaste </w:t>
      </w:r>
      <w:proofErr w:type="spellStart"/>
      <w:r w:rsidRPr="007F7F86">
        <w:rPr>
          <w:rFonts w:ascii="Arial" w:hAnsi="Arial" w:cs="Arial"/>
          <w:sz w:val="24"/>
          <w:szCs w:val="24"/>
        </w:rPr>
        <w:t>económico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7F86">
        <w:rPr>
          <w:rFonts w:ascii="Arial" w:hAnsi="Arial" w:cs="Arial"/>
          <w:sz w:val="24"/>
          <w:szCs w:val="24"/>
        </w:rPr>
        <w:t>jurídico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al Estado. </w:t>
      </w:r>
    </w:p>
    <w:p w:rsidR="00344CC7" w:rsidRDefault="007F7F86" w:rsidP="007F7F86">
      <w:pPr>
        <w:pStyle w:val="NormalWeb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t xml:space="preserve">Se comprueba mediante diversos oficios que existe la </w:t>
      </w:r>
      <w:proofErr w:type="spellStart"/>
      <w:r w:rsidRPr="007F7F86">
        <w:rPr>
          <w:rFonts w:ascii="Arial" w:hAnsi="Arial" w:cs="Arial"/>
          <w:sz w:val="24"/>
          <w:szCs w:val="24"/>
        </w:rPr>
        <w:t>autorización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Consejero </w:t>
      </w:r>
      <w:proofErr w:type="spellStart"/>
      <w:r w:rsidRPr="007F7F86">
        <w:rPr>
          <w:rFonts w:ascii="Arial" w:hAnsi="Arial" w:cs="Arial"/>
          <w:sz w:val="24"/>
          <w:szCs w:val="24"/>
        </w:rPr>
        <w:t>Jurídico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F7F86">
        <w:rPr>
          <w:rFonts w:ascii="Arial" w:hAnsi="Arial" w:cs="Arial"/>
          <w:sz w:val="24"/>
          <w:szCs w:val="24"/>
        </w:rPr>
        <w:t>Secretaría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Finanzas y </w:t>
      </w:r>
      <w:proofErr w:type="spellStart"/>
      <w:r w:rsidRPr="007F7F86">
        <w:rPr>
          <w:rFonts w:ascii="Arial" w:hAnsi="Arial" w:cs="Arial"/>
          <w:sz w:val="24"/>
          <w:szCs w:val="24"/>
        </w:rPr>
        <w:t>Tesorería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General del Estado para someter a la </w:t>
      </w:r>
      <w:proofErr w:type="spellStart"/>
      <w:r w:rsidRPr="007F7F86">
        <w:rPr>
          <w:rFonts w:ascii="Arial" w:hAnsi="Arial" w:cs="Arial"/>
          <w:sz w:val="24"/>
          <w:szCs w:val="24"/>
        </w:rPr>
        <w:t>consideración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</w:t>
      </w:r>
      <w:proofErr w:type="spellStart"/>
      <w:r w:rsidRPr="007F7F86">
        <w:rPr>
          <w:rFonts w:ascii="Arial" w:hAnsi="Arial" w:cs="Arial"/>
          <w:sz w:val="24"/>
          <w:szCs w:val="24"/>
        </w:rPr>
        <w:t>Comite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de Operaciones </w:t>
      </w:r>
      <w:r w:rsidRPr="00344CC7">
        <w:rPr>
          <w:rFonts w:ascii="Arial" w:hAnsi="Arial" w:cs="Arial"/>
          <w:sz w:val="24"/>
          <w:szCs w:val="24"/>
        </w:rPr>
        <w:t xml:space="preserve">Inmobiliarias la solicitud Contrato de Compra, mismo que </w:t>
      </w:r>
      <w:proofErr w:type="spellStart"/>
      <w:r w:rsidRPr="00344CC7">
        <w:rPr>
          <w:rFonts w:ascii="Arial" w:hAnsi="Arial" w:cs="Arial"/>
          <w:sz w:val="24"/>
          <w:szCs w:val="24"/>
        </w:rPr>
        <w:t>resolvio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́ el 21 de junio de 2011, se celebrará Contrato de Compra Venta con </w:t>
      </w:r>
      <w:r w:rsidR="00344CC7">
        <w:rPr>
          <w:rFonts w:ascii="Arial" w:hAnsi="Arial" w:cs="Arial"/>
          <w:sz w:val="24"/>
          <w:szCs w:val="24"/>
        </w:rPr>
        <w:t>la empresa MARIZA S.A. de C.V. a través de su legal representación</w:t>
      </w:r>
      <w:r w:rsidRPr="00344CC7">
        <w:rPr>
          <w:rFonts w:ascii="Arial" w:hAnsi="Arial" w:cs="Arial"/>
          <w:sz w:val="24"/>
          <w:szCs w:val="24"/>
        </w:rPr>
        <w:t xml:space="preserve">, respecto del inmueble propiedad Estatal, ubicado en el Boulevard Antonio L. </w:t>
      </w:r>
      <w:proofErr w:type="spellStart"/>
      <w:r w:rsidRPr="00344CC7">
        <w:rPr>
          <w:rFonts w:ascii="Arial" w:hAnsi="Arial" w:cs="Arial"/>
          <w:sz w:val="24"/>
          <w:szCs w:val="24"/>
        </w:rPr>
        <w:t>Rodríguez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, antes Boulevard </w:t>
      </w:r>
      <w:proofErr w:type="spellStart"/>
      <w:r w:rsidRPr="00344CC7">
        <w:rPr>
          <w:rFonts w:ascii="Arial" w:hAnsi="Arial" w:cs="Arial"/>
          <w:sz w:val="24"/>
          <w:szCs w:val="24"/>
        </w:rPr>
        <w:t>Constitución</w:t>
      </w:r>
      <w:proofErr w:type="spellEnd"/>
      <w:r w:rsidRPr="00344CC7">
        <w:rPr>
          <w:rFonts w:ascii="Arial" w:hAnsi="Arial" w:cs="Arial"/>
          <w:sz w:val="24"/>
          <w:szCs w:val="24"/>
        </w:rPr>
        <w:t>, en el Munic</w:t>
      </w:r>
      <w:r w:rsidR="00344CC7">
        <w:rPr>
          <w:rFonts w:ascii="Arial" w:hAnsi="Arial" w:cs="Arial"/>
          <w:sz w:val="24"/>
          <w:szCs w:val="24"/>
        </w:rPr>
        <w:t xml:space="preserve">ipio de Monterrey, Nuevo </w:t>
      </w:r>
      <w:proofErr w:type="spellStart"/>
      <w:r w:rsidR="00344CC7">
        <w:rPr>
          <w:rFonts w:ascii="Arial" w:hAnsi="Arial" w:cs="Arial"/>
          <w:sz w:val="24"/>
          <w:szCs w:val="24"/>
        </w:rPr>
        <w:t>León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, contando con una superficie de </w:t>
      </w:r>
      <w:r w:rsidR="00344CC7">
        <w:rPr>
          <w:rFonts w:ascii="Arial" w:hAnsi="Arial" w:cs="Arial"/>
          <w:sz w:val="24"/>
          <w:szCs w:val="24"/>
        </w:rPr>
        <w:t>56.214</w:t>
      </w:r>
      <w:r w:rsidRPr="00344CC7">
        <w:rPr>
          <w:rFonts w:ascii="Arial" w:hAnsi="Arial" w:cs="Arial"/>
          <w:sz w:val="24"/>
          <w:szCs w:val="24"/>
        </w:rPr>
        <w:t xml:space="preserve"> M2</w:t>
      </w:r>
      <w:r w:rsidRPr="00344CC7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344CC7">
        <w:rPr>
          <w:rFonts w:ascii="Arial" w:hAnsi="Arial" w:cs="Arial"/>
          <w:sz w:val="24"/>
          <w:szCs w:val="24"/>
        </w:rPr>
        <w:t xml:space="preserve">e identificado con </w:t>
      </w:r>
      <w:proofErr w:type="spellStart"/>
      <w:r w:rsidRPr="00344CC7">
        <w:rPr>
          <w:rFonts w:ascii="Arial" w:hAnsi="Arial" w:cs="Arial"/>
          <w:sz w:val="24"/>
          <w:szCs w:val="24"/>
        </w:rPr>
        <w:t>número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 de Exp</w:t>
      </w:r>
      <w:r w:rsidR="00344CC7">
        <w:rPr>
          <w:rFonts w:ascii="Arial" w:hAnsi="Arial" w:cs="Arial"/>
          <w:sz w:val="24"/>
          <w:szCs w:val="24"/>
        </w:rPr>
        <w:t>ediente Catastral 70) 22 004 021</w:t>
      </w:r>
      <w:r w:rsidRPr="00344CC7">
        <w:rPr>
          <w:rFonts w:ascii="Arial" w:hAnsi="Arial" w:cs="Arial"/>
          <w:sz w:val="24"/>
          <w:szCs w:val="24"/>
        </w:rPr>
        <w:t xml:space="preserve">, el precio total para la venta del citado inmueble </w:t>
      </w:r>
      <w:proofErr w:type="spellStart"/>
      <w:r w:rsidRPr="00344CC7">
        <w:rPr>
          <w:rFonts w:ascii="Arial" w:hAnsi="Arial" w:cs="Arial"/>
          <w:sz w:val="24"/>
          <w:szCs w:val="24"/>
        </w:rPr>
        <w:t>sera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́ de </w:t>
      </w:r>
      <w:r w:rsidR="00344CC7" w:rsidRPr="00344CC7">
        <w:rPr>
          <w:rFonts w:ascii="Arial" w:hAnsi="Arial" w:cs="Arial"/>
          <w:sz w:val="24"/>
          <w:szCs w:val="24"/>
        </w:rPr>
        <w:t>$196,750.00 (Ciento noventa y seis mil setecientos cincuenta pesos 00/100 M.N.)</w:t>
      </w:r>
      <w:r w:rsidRPr="00344CC7">
        <w:rPr>
          <w:rFonts w:ascii="Arial" w:hAnsi="Arial" w:cs="Arial"/>
          <w:sz w:val="24"/>
          <w:szCs w:val="24"/>
        </w:rPr>
        <w:t xml:space="preserve"> de conformidad a lo establecido por el Colegio Mexicano de </w:t>
      </w:r>
      <w:proofErr w:type="spellStart"/>
      <w:r w:rsidRPr="00344CC7">
        <w:rPr>
          <w:rFonts w:ascii="Arial" w:hAnsi="Arial" w:cs="Arial"/>
          <w:sz w:val="24"/>
          <w:szCs w:val="24"/>
        </w:rPr>
        <w:t>Valuación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 de Nuevo </w:t>
      </w:r>
      <w:proofErr w:type="spellStart"/>
      <w:r w:rsidRPr="00344CC7">
        <w:rPr>
          <w:rFonts w:ascii="Arial" w:hAnsi="Arial" w:cs="Arial"/>
          <w:sz w:val="24"/>
          <w:szCs w:val="24"/>
        </w:rPr>
        <w:t>León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, A.C., mediante </w:t>
      </w:r>
      <w:proofErr w:type="spellStart"/>
      <w:r w:rsidRPr="00344CC7">
        <w:rPr>
          <w:rFonts w:ascii="Arial" w:hAnsi="Arial" w:cs="Arial"/>
          <w:sz w:val="24"/>
          <w:szCs w:val="24"/>
        </w:rPr>
        <w:t>avalúo</w:t>
      </w:r>
      <w:proofErr w:type="spellEnd"/>
      <w:r w:rsidRPr="00344C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CC7">
        <w:rPr>
          <w:rFonts w:ascii="Arial" w:hAnsi="Arial" w:cs="Arial"/>
          <w:sz w:val="24"/>
          <w:szCs w:val="24"/>
        </w:rPr>
        <w:t>número</w:t>
      </w:r>
      <w:proofErr w:type="spellEnd"/>
      <w:r w:rsidR="00FA1126">
        <w:rPr>
          <w:rFonts w:ascii="Arial" w:hAnsi="Arial" w:cs="Arial"/>
          <w:sz w:val="24"/>
          <w:szCs w:val="24"/>
        </w:rPr>
        <w:t xml:space="preserve"> 11-0057 de fecha 02</w:t>
      </w:r>
      <w:r w:rsidRPr="00344CC7">
        <w:rPr>
          <w:rFonts w:ascii="Arial" w:hAnsi="Arial" w:cs="Arial"/>
          <w:sz w:val="24"/>
          <w:szCs w:val="24"/>
        </w:rPr>
        <w:t xml:space="preserve"> de </w:t>
      </w:r>
      <w:r w:rsidR="00FA1126">
        <w:rPr>
          <w:rFonts w:ascii="Arial" w:hAnsi="Arial" w:cs="Arial"/>
          <w:sz w:val="24"/>
          <w:szCs w:val="24"/>
        </w:rPr>
        <w:t>Junio del 2011</w:t>
      </w:r>
      <w:r w:rsidRPr="00344CC7">
        <w:rPr>
          <w:rFonts w:ascii="Arial" w:hAnsi="Arial" w:cs="Arial"/>
          <w:sz w:val="24"/>
          <w:szCs w:val="24"/>
        </w:rPr>
        <w:t xml:space="preserve">. </w:t>
      </w:r>
    </w:p>
    <w:p w:rsidR="007F7F86" w:rsidRPr="00344CC7" w:rsidRDefault="00344CC7" w:rsidP="00344CC7">
      <w:pPr>
        <w:pStyle w:val="NormalWeb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F7F86" w:rsidRPr="00344CC7">
        <w:rPr>
          <w:rFonts w:ascii="Arial" w:hAnsi="Arial" w:cs="Arial"/>
          <w:sz w:val="24"/>
          <w:szCs w:val="24"/>
        </w:rPr>
        <w:t xml:space="preserve">Existe constancia de las aprobaciones del citado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Comite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́ en su sesiones de fechas 21 de junio de 2011, mismas que cumplen con lo dispuesto en los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artículos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 75, 106, 107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fracción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 V y 123 de la Ley de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Administración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 Financiera para el Estado de Nuevo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León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asi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́ como el diverso 22 de la Ley de Adquisiciones, Arrendamientos y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Contratación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 de Servicios del Estado de Nuevo </w:t>
      </w:r>
      <w:proofErr w:type="spellStart"/>
      <w:r w:rsidR="007F7F86" w:rsidRPr="00344CC7">
        <w:rPr>
          <w:rFonts w:ascii="Arial" w:hAnsi="Arial" w:cs="Arial"/>
          <w:sz w:val="24"/>
          <w:szCs w:val="24"/>
        </w:rPr>
        <w:t>León</w:t>
      </w:r>
      <w:proofErr w:type="spellEnd"/>
      <w:r w:rsidR="007F7F86" w:rsidRPr="00344CC7">
        <w:rPr>
          <w:rFonts w:ascii="Arial" w:hAnsi="Arial" w:cs="Arial"/>
          <w:sz w:val="24"/>
          <w:szCs w:val="24"/>
        </w:rPr>
        <w:t xml:space="preserve">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sz w:val="24"/>
          <w:szCs w:val="24"/>
        </w:rPr>
        <w:lastRenderedPageBreak/>
        <w:t xml:space="preserve">En virtud de las anteriores consideraciones, al estar debidamente integrado el expediente que nos fue turnado, al cumplir con los requisitos fundamentales establecidos por los </w:t>
      </w:r>
      <w:proofErr w:type="spellStart"/>
      <w:r w:rsidRPr="007F7F86">
        <w:rPr>
          <w:rFonts w:ascii="Arial" w:hAnsi="Arial" w:cs="Arial"/>
          <w:sz w:val="24"/>
          <w:szCs w:val="24"/>
        </w:rPr>
        <w:t>artículos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23 de la </w:t>
      </w:r>
      <w:proofErr w:type="spellStart"/>
      <w:r w:rsidRPr="007F7F86">
        <w:rPr>
          <w:rFonts w:ascii="Arial" w:hAnsi="Arial" w:cs="Arial"/>
          <w:sz w:val="24"/>
          <w:szCs w:val="24"/>
        </w:rPr>
        <w:t>Constitución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Política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para el Estado Libre y Soberano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; 75, 81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I, 106, 107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V, 108 y 123 de la Ley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Financiera para 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; y 22 de la Ley de Adquisiciones, Arrendamientos y </w:t>
      </w:r>
      <w:proofErr w:type="spellStart"/>
      <w:r w:rsidRPr="007F7F86">
        <w:rPr>
          <w:rFonts w:ascii="Arial" w:hAnsi="Arial" w:cs="Arial"/>
          <w:sz w:val="24"/>
          <w:szCs w:val="24"/>
        </w:rPr>
        <w:t>Contratación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Servicios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y al estar suficientemente analizado, los integrantes de la </w:t>
      </w:r>
      <w:proofErr w:type="spellStart"/>
      <w:r w:rsidRPr="007F7F86">
        <w:rPr>
          <w:rFonts w:ascii="Arial" w:hAnsi="Arial" w:cs="Arial"/>
          <w:sz w:val="24"/>
          <w:szCs w:val="24"/>
        </w:rPr>
        <w:t>Comisión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Desarrollo Urbano, sometemos a la </w:t>
      </w:r>
      <w:proofErr w:type="spellStart"/>
      <w:r w:rsidRPr="007F7F86">
        <w:rPr>
          <w:rFonts w:ascii="Arial" w:hAnsi="Arial" w:cs="Arial"/>
          <w:sz w:val="24"/>
          <w:szCs w:val="24"/>
        </w:rPr>
        <w:t>consideración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esta </w:t>
      </w:r>
      <w:proofErr w:type="spellStart"/>
      <w:r w:rsidRPr="007F7F86">
        <w:rPr>
          <w:rFonts w:ascii="Arial" w:hAnsi="Arial" w:cs="Arial"/>
          <w:sz w:val="24"/>
          <w:szCs w:val="24"/>
        </w:rPr>
        <w:t>Soberanía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el siguiente proyecto de: </w:t>
      </w:r>
    </w:p>
    <w:p w:rsidR="007F7F86" w:rsidRPr="007F7F86" w:rsidRDefault="007F7F86" w:rsidP="007F7F86">
      <w:pPr>
        <w:pStyle w:val="NormalWeb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>DECRETO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ARTÍCULO PRIMERO.- </w:t>
      </w:r>
      <w:r w:rsidRPr="007F7F86">
        <w:rPr>
          <w:rFonts w:ascii="Arial" w:hAnsi="Arial" w:cs="Arial"/>
          <w:sz w:val="24"/>
          <w:szCs w:val="24"/>
        </w:rPr>
        <w:t xml:space="preserve">Con fundamento en lo dispuesto en el </w:t>
      </w:r>
      <w:proofErr w:type="spellStart"/>
      <w:r w:rsidRPr="007F7F86">
        <w:rPr>
          <w:rFonts w:ascii="Arial" w:hAnsi="Arial" w:cs="Arial"/>
          <w:sz w:val="24"/>
          <w:szCs w:val="24"/>
        </w:rPr>
        <w:t>artículo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23 de la </w:t>
      </w:r>
      <w:proofErr w:type="spellStart"/>
      <w:r w:rsidRPr="007F7F86">
        <w:rPr>
          <w:rFonts w:ascii="Arial" w:hAnsi="Arial" w:cs="Arial"/>
          <w:sz w:val="24"/>
          <w:szCs w:val="24"/>
        </w:rPr>
        <w:t>Constitución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Política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Estado Libre y Soberano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se desincorpora del dominio </w:t>
      </w:r>
      <w:proofErr w:type="spellStart"/>
      <w:r w:rsidRPr="007F7F86">
        <w:rPr>
          <w:rFonts w:ascii="Arial" w:hAnsi="Arial" w:cs="Arial"/>
          <w:sz w:val="24"/>
          <w:szCs w:val="24"/>
        </w:rPr>
        <w:t>público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el inmueble que se describen a </w:t>
      </w:r>
      <w:proofErr w:type="spellStart"/>
      <w:r w:rsidRPr="007F7F86">
        <w:rPr>
          <w:rFonts w:ascii="Arial" w:hAnsi="Arial" w:cs="Arial"/>
          <w:sz w:val="24"/>
          <w:szCs w:val="24"/>
        </w:rPr>
        <w:t>continuación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: </w:t>
      </w:r>
    </w:p>
    <w:p w:rsidR="007F7F86" w:rsidRDefault="007F7F86" w:rsidP="00FD01A9">
      <w:pPr>
        <w:pStyle w:val="Normal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Expediente catastral </w:t>
      </w:r>
      <w:proofErr w:type="spellStart"/>
      <w:r w:rsidRPr="007F7F86">
        <w:rPr>
          <w:rFonts w:ascii="Arial" w:hAnsi="Arial" w:cs="Arial"/>
          <w:b/>
          <w:bCs/>
          <w:sz w:val="24"/>
          <w:szCs w:val="24"/>
        </w:rPr>
        <w:t>número</w:t>
      </w:r>
      <w:proofErr w:type="spellEnd"/>
      <w:r w:rsidRPr="007F7F86">
        <w:rPr>
          <w:rFonts w:ascii="Arial" w:hAnsi="Arial" w:cs="Arial"/>
          <w:b/>
          <w:bCs/>
          <w:sz w:val="24"/>
          <w:szCs w:val="24"/>
        </w:rPr>
        <w:t xml:space="preserve"> Expediente</w:t>
      </w:r>
      <w:r w:rsidR="00FA1126">
        <w:rPr>
          <w:rFonts w:ascii="Arial" w:hAnsi="Arial" w:cs="Arial"/>
          <w:b/>
          <w:bCs/>
          <w:sz w:val="24"/>
          <w:szCs w:val="24"/>
        </w:rPr>
        <w:t xml:space="preserve"> Catastral numero 70)22-004- 021</w:t>
      </w:r>
      <w:r w:rsidRPr="007F7F86">
        <w:rPr>
          <w:rFonts w:ascii="Arial" w:hAnsi="Arial" w:cs="Arial"/>
          <w:b/>
          <w:bCs/>
          <w:sz w:val="24"/>
          <w:szCs w:val="24"/>
        </w:rPr>
        <w:t xml:space="preserve">.- </w:t>
      </w:r>
      <w:r w:rsidR="00FA1126">
        <w:rPr>
          <w:rFonts w:ascii="Arial" w:hAnsi="Arial" w:cs="Arial"/>
          <w:sz w:val="24"/>
          <w:szCs w:val="24"/>
        </w:rPr>
        <w:t>"</w:t>
      </w:r>
      <w:proofErr w:type="spellStart"/>
      <w:r w:rsidR="00FA1126">
        <w:rPr>
          <w:rFonts w:ascii="Arial" w:hAnsi="Arial" w:cs="Arial"/>
          <w:sz w:val="24"/>
          <w:szCs w:val="24"/>
        </w:rPr>
        <w:t>Polígono</w:t>
      </w:r>
      <w:proofErr w:type="spellEnd"/>
      <w:r w:rsidR="00FA1126">
        <w:rPr>
          <w:rFonts w:ascii="Arial" w:hAnsi="Arial" w:cs="Arial"/>
          <w:sz w:val="24"/>
          <w:szCs w:val="24"/>
        </w:rPr>
        <w:t xml:space="preserve"> Resultante I-B</w:t>
      </w:r>
      <w:r w:rsidRPr="007F7F86">
        <w:rPr>
          <w:rFonts w:ascii="Arial" w:hAnsi="Arial" w:cs="Arial"/>
          <w:sz w:val="24"/>
          <w:szCs w:val="24"/>
        </w:rPr>
        <w:t xml:space="preserve">.- Predio ubicado en el Boulevard Antonio L. </w:t>
      </w:r>
      <w:proofErr w:type="spellStart"/>
      <w:r w:rsidRPr="007F7F86">
        <w:rPr>
          <w:rFonts w:ascii="Arial" w:hAnsi="Arial" w:cs="Arial"/>
          <w:sz w:val="24"/>
          <w:szCs w:val="24"/>
        </w:rPr>
        <w:t>Rodríguez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antes Boulevard </w:t>
      </w:r>
      <w:proofErr w:type="spellStart"/>
      <w:r w:rsidRPr="007F7F86">
        <w:rPr>
          <w:rFonts w:ascii="Arial" w:hAnsi="Arial" w:cs="Arial"/>
          <w:sz w:val="24"/>
          <w:szCs w:val="24"/>
        </w:rPr>
        <w:t>Constitución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Municipio de Monterrey,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con una superficie total de </w:t>
      </w:r>
      <w:r w:rsidR="00FA1126">
        <w:rPr>
          <w:rFonts w:ascii="Arial" w:hAnsi="Arial" w:cs="Arial"/>
          <w:sz w:val="24"/>
          <w:szCs w:val="24"/>
        </w:rPr>
        <w:t>56.214</w:t>
      </w:r>
      <w:r w:rsidRPr="007F7F86">
        <w:rPr>
          <w:rFonts w:ascii="Arial" w:hAnsi="Arial" w:cs="Arial"/>
          <w:sz w:val="24"/>
          <w:szCs w:val="24"/>
        </w:rPr>
        <w:t xml:space="preserve"> M2 (</w:t>
      </w:r>
      <w:r w:rsidR="00FA1126">
        <w:rPr>
          <w:rFonts w:ascii="Arial" w:hAnsi="Arial" w:cs="Arial"/>
          <w:sz w:val="24"/>
          <w:szCs w:val="24"/>
        </w:rPr>
        <w:t>cincuenta y seis punto doscientos catorce</w:t>
      </w:r>
      <w:r w:rsidRPr="007F7F86">
        <w:rPr>
          <w:rFonts w:ascii="Arial" w:hAnsi="Arial" w:cs="Arial"/>
          <w:sz w:val="24"/>
          <w:szCs w:val="24"/>
        </w:rPr>
        <w:t xml:space="preserve"> metros cuadrados), con los siguientes rumbos, medi</w:t>
      </w:r>
      <w:r w:rsidR="00FA1126">
        <w:rPr>
          <w:rFonts w:ascii="Arial" w:hAnsi="Arial" w:cs="Arial"/>
          <w:sz w:val="24"/>
          <w:szCs w:val="24"/>
        </w:rPr>
        <w:t>das y colindancias; del punto 95</w:t>
      </w:r>
      <w:r w:rsidRPr="007F7F86">
        <w:rPr>
          <w:rFonts w:ascii="Arial" w:hAnsi="Arial" w:cs="Arial"/>
          <w:sz w:val="24"/>
          <w:szCs w:val="24"/>
        </w:rPr>
        <w:t xml:space="preserve"> al</w:t>
      </w:r>
      <w:r w:rsidR="00FA1126">
        <w:rPr>
          <w:rFonts w:ascii="Arial" w:hAnsi="Arial" w:cs="Arial"/>
          <w:sz w:val="24"/>
          <w:szCs w:val="24"/>
        </w:rPr>
        <w:t xml:space="preserve"> punto 99</w:t>
      </w:r>
      <w:r w:rsidRPr="007F7F86">
        <w:rPr>
          <w:rFonts w:ascii="Arial" w:hAnsi="Arial" w:cs="Arial"/>
          <w:sz w:val="24"/>
          <w:szCs w:val="24"/>
        </w:rPr>
        <w:t xml:space="preserve"> con rumbo al </w:t>
      </w:r>
      <w:r w:rsidR="00FD01A9">
        <w:rPr>
          <w:rFonts w:ascii="Arial" w:hAnsi="Arial" w:cs="Arial"/>
          <w:sz w:val="24"/>
          <w:szCs w:val="24"/>
        </w:rPr>
        <w:t>N87</w:t>
      </w:r>
      <w:r w:rsidR="00FD01A9" w:rsidRPr="007F7F86">
        <w:rPr>
          <w:rFonts w:ascii="Arial" w:hAnsi="Arial" w:cs="Arial"/>
          <w:sz w:val="24"/>
          <w:szCs w:val="24"/>
        </w:rPr>
        <w:t>°</w:t>
      </w:r>
      <w:r w:rsidR="00FD01A9">
        <w:rPr>
          <w:rFonts w:ascii="Arial" w:hAnsi="Arial" w:cs="Arial"/>
          <w:sz w:val="24"/>
          <w:szCs w:val="24"/>
        </w:rPr>
        <w:t>40’36.86’’</w:t>
      </w:r>
      <w:r w:rsidRPr="007F7F86">
        <w:rPr>
          <w:rFonts w:ascii="Arial" w:hAnsi="Arial" w:cs="Arial"/>
          <w:sz w:val="24"/>
          <w:szCs w:val="24"/>
        </w:rPr>
        <w:t xml:space="preserve"> mide </w:t>
      </w:r>
      <w:r w:rsidR="00FD01A9">
        <w:rPr>
          <w:rFonts w:ascii="Arial" w:hAnsi="Arial" w:cs="Arial"/>
          <w:sz w:val="24"/>
          <w:szCs w:val="24"/>
        </w:rPr>
        <w:t>16.100</w:t>
      </w:r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mts</w:t>
      </w:r>
      <w:proofErr w:type="spellEnd"/>
      <w:r w:rsidRPr="007F7F86">
        <w:rPr>
          <w:rFonts w:ascii="Arial" w:hAnsi="Arial" w:cs="Arial"/>
          <w:sz w:val="24"/>
          <w:szCs w:val="24"/>
        </w:rPr>
        <w:t>. (</w:t>
      </w:r>
      <w:proofErr w:type="spellStart"/>
      <w:r w:rsidR="00FD01A9">
        <w:rPr>
          <w:rFonts w:ascii="Arial" w:hAnsi="Arial" w:cs="Arial"/>
          <w:sz w:val="24"/>
          <w:szCs w:val="24"/>
        </w:rPr>
        <w:t>cieciséis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punto </w:t>
      </w:r>
      <w:r w:rsidR="00FD01A9">
        <w:rPr>
          <w:rFonts w:ascii="Arial" w:hAnsi="Arial" w:cs="Arial"/>
          <w:sz w:val="24"/>
          <w:szCs w:val="24"/>
        </w:rPr>
        <w:t>cien</w:t>
      </w:r>
      <w:r w:rsidRPr="007F7F86">
        <w:rPr>
          <w:rFonts w:ascii="Arial" w:hAnsi="Arial" w:cs="Arial"/>
          <w:sz w:val="24"/>
          <w:szCs w:val="24"/>
        </w:rPr>
        <w:t xml:space="preserve"> metros) y colinda con</w:t>
      </w:r>
      <w:r w:rsidR="00FD01A9">
        <w:rPr>
          <w:rFonts w:ascii="Arial" w:hAnsi="Arial" w:cs="Arial"/>
          <w:sz w:val="24"/>
          <w:szCs w:val="24"/>
        </w:rPr>
        <w:t xml:space="preserve"> propiedad privada; del punto 99</w:t>
      </w:r>
      <w:r w:rsidRPr="007F7F86">
        <w:rPr>
          <w:rFonts w:ascii="Arial" w:hAnsi="Arial" w:cs="Arial"/>
          <w:sz w:val="24"/>
          <w:szCs w:val="24"/>
        </w:rPr>
        <w:t xml:space="preserve"> al punto </w:t>
      </w:r>
      <w:r w:rsidR="00FD01A9">
        <w:rPr>
          <w:rFonts w:ascii="Arial" w:hAnsi="Arial" w:cs="Arial"/>
          <w:sz w:val="24"/>
          <w:szCs w:val="24"/>
        </w:rPr>
        <w:t>100</w:t>
      </w:r>
      <w:r w:rsidRPr="007F7F86">
        <w:rPr>
          <w:rFonts w:ascii="Arial" w:hAnsi="Arial" w:cs="Arial"/>
          <w:sz w:val="24"/>
          <w:szCs w:val="24"/>
        </w:rPr>
        <w:t xml:space="preserve"> con rumbo al S02°1</w:t>
      </w:r>
      <w:r w:rsidR="00FD01A9">
        <w:rPr>
          <w:rFonts w:ascii="Arial" w:hAnsi="Arial" w:cs="Arial"/>
          <w:sz w:val="24"/>
          <w:szCs w:val="24"/>
        </w:rPr>
        <w:t>9'13.46</w:t>
      </w:r>
      <w:r w:rsidRPr="007F7F86">
        <w:rPr>
          <w:rFonts w:ascii="Arial" w:hAnsi="Arial" w:cs="Arial"/>
          <w:sz w:val="24"/>
          <w:szCs w:val="24"/>
        </w:rPr>
        <w:t xml:space="preserve">"E mide </w:t>
      </w:r>
      <w:r w:rsidR="00FD01A9">
        <w:rPr>
          <w:rFonts w:ascii="Arial" w:hAnsi="Arial" w:cs="Arial"/>
          <w:sz w:val="24"/>
          <w:szCs w:val="24"/>
        </w:rPr>
        <w:t>4.758</w:t>
      </w:r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mts</w:t>
      </w:r>
      <w:proofErr w:type="spellEnd"/>
      <w:r w:rsidRPr="007F7F86">
        <w:rPr>
          <w:rFonts w:ascii="Arial" w:hAnsi="Arial" w:cs="Arial"/>
          <w:sz w:val="24"/>
          <w:szCs w:val="24"/>
        </w:rPr>
        <w:t>. (</w:t>
      </w:r>
      <w:r w:rsidR="00FD01A9">
        <w:rPr>
          <w:rFonts w:ascii="Arial" w:hAnsi="Arial" w:cs="Arial"/>
          <w:sz w:val="24"/>
          <w:szCs w:val="24"/>
        </w:rPr>
        <w:t>Cuatro</w:t>
      </w:r>
      <w:r w:rsidRPr="007F7F86">
        <w:rPr>
          <w:rFonts w:ascii="Arial" w:hAnsi="Arial" w:cs="Arial"/>
          <w:sz w:val="24"/>
          <w:szCs w:val="24"/>
        </w:rPr>
        <w:t xml:space="preserve">, punto setecientos </w:t>
      </w:r>
      <w:r w:rsidR="00FD01A9">
        <w:rPr>
          <w:rFonts w:ascii="Arial" w:hAnsi="Arial" w:cs="Arial"/>
          <w:sz w:val="24"/>
          <w:szCs w:val="24"/>
        </w:rPr>
        <w:t>cincuenta y ocho metros</w:t>
      </w:r>
      <w:r w:rsidRPr="007F7F86">
        <w:rPr>
          <w:rFonts w:ascii="Arial" w:hAnsi="Arial" w:cs="Arial"/>
          <w:sz w:val="24"/>
          <w:szCs w:val="24"/>
        </w:rPr>
        <w:t xml:space="preserve">) y colinda con propiedad privada; del punto </w:t>
      </w:r>
      <w:r w:rsidR="00FD01A9">
        <w:rPr>
          <w:rFonts w:ascii="Arial" w:hAnsi="Arial" w:cs="Arial"/>
          <w:sz w:val="24"/>
          <w:szCs w:val="24"/>
        </w:rPr>
        <w:t>100</w:t>
      </w:r>
      <w:r w:rsidRPr="007F7F86">
        <w:rPr>
          <w:rFonts w:ascii="Arial" w:hAnsi="Arial" w:cs="Arial"/>
          <w:sz w:val="24"/>
          <w:szCs w:val="24"/>
        </w:rPr>
        <w:t xml:space="preserve"> al punto 96 </w:t>
      </w:r>
      <w:r w:rsidRPr="007F7F86">
        <w:rPr>
          <w:rFonts w:ascii="Arial" w:hAnsi="Arial" w:cs="Arial"/>
          <w:sz w:val="24"/>
          <w:szCs w:val="24"/>
        </w:rPr>
        <w:lastRenderedPageBreak/>
        <w:t xml:space="preserve">con rumbo al </w:t>
      </w:r>
      <w:r w:rsidR="00FD01A9">
        <w:rPr>
          <w:rFonts w:ascii="Arial" w:hAnsi="Arial" w:cs="Arial"/>
          <w:sz w:val="24"/>
          <w:szCs w:val="24"/>
        </w:rPr>
        <w:t>N83°2</w:t>
      </w:r>
      <w:r w:rsidRPr="007F7F86">
        <w:rPr>
          <w:rFonts w:ascii="Arial" w:hAnsi="Arial" w:cs="Arial"/>
          <w:sz w:val="24"/>
          <w:szCs w:val="24"/>
        </w:rPr>
        <w:t>0' ́</w:t>
      </w:r>
      <w:r w:rsidR="00FD01A9">
        <w:rPr>
          <w:rFonts w:ascii="Arial" w:hAnsi="Arial" w:cs="Arial"/>
          <w:sz w:val="24"/>
          <w:szCs w:val="24"/>
        </w:rPr>
        <w:t>11.41</w:t>
      </w:r>
      <w:r w:rsidRPr="007F7F86">
        <w:rPr>
          <w:rFonts w:ascii="Arial" w:hAnsi="Arial" w:cs="Arial"/>
          <w:sz w:val="24"/>
          <w:szCs w:val="24"/>
        </w:rPr>
        <w:t xml:space="preserve">"E mide </w:t>
      </w:r>
      <w:r w:rsidR="00FD01A9">
        <w:rPr>
          <w:rFonts w:ascii="Arial" w:hAnsi="Arial" w:cs="Arial"/>
          <w:sz w:val="24"/>
          <w:szCs w:val="24"/>
        </w:rPr>
        <w:t xml:space="preserve">16.390 </w:t>
      </w:r>
      <w:proofErr w:type="spellStart"/>
      <w:r w:rsidR="00FD01A9">
        <w:rPr>
          <w:rFonts w:ascii="Arial" w:hAnsi="Arial" w:cs="Arial"/>
          <w:sz w:val="24"/>
          <w:szCs w:val="24"/>
        </w:rPr>
        <w:t>mts</w:t>
      </w:r>
      <w:proofErr w:type="spellEnd"/>
      <w:r w:rsidR="00FD01A9">
        <w:rPr>
          <w:rFonts w:ascii="Arial" w:hAnsi="Arial" w:cs="Arial"/>
          <w:sz w:val="24"/>
          <w:szCs w:val="24"/>
        </w:rPr>
        <w:t>. (Dieciséis</w:t>
      </w:r>
      <w:r w:rsidRPr="007F7F86">
        <w:rPr>
          <w:rFonts w:ascii="Arial" w:hAnsi="Arial" w:cs="Arial"/>
          <w:sz w:val="24"/>
          <w:szCs w:val="24"/>
        </w:rPr>
        <w:t xml:space="preserve">, punto </w:t>
      </w:r>
      <w:r w:rsidR="00FD01A9">
        <w:rPr>
          <w:rFonts w:ascii="Arial" w:hAnsi="Arial" w:cs="Arial"/>
          <w:sz w:val="24"/>
          <w:szCs w:val="24"/>
        </w:rPr>
        <w:t>trescientos noventa</w:t>
      </w:r>
      <w:r w:rsidRPr="007F7F86">
        <w:rPr>
          <w:rFonts w:ascii="Arial" w:hAnsi="Arial" w:cs="Arial"/>
          <w:sz w:val="24"/>
          <w:szCs w:val="24"/>
        </w:rPr>
        <w:t xml:space="preserve"> metros) y colinda con </w:t>
      </w:r>
      <w:r w:rsidR="00FD01A9">
        <w:rPr>
          <w:rFonts w:ascii="Arial" w:hAnsi="Arial" w:cs="Arial"/>
          <w:sz w:val="24"/>
          <w:szCs w:val="24"/>
        </w:rPr>
        <w:t>retorno de Calzada San Pedro; del punto 96 al punto 95</w:t>
      </w:r>
      <w:r w:rsidRPr="007F7F86">
        <w:rPr>
          <w:rFonts w:ascii="Arial" w:hAnsi="Arial" w:cs="Arial"/>
          <w:sz w:val="24"/>
          <w:szCs w:val="24"/>
        </w:rPr>
        <w:t xml:space="preserve"> con rumbo al N</w:t>
      </w:r>
      <w:r w:rsidR="00FD01A9">
        <w:rPr>
          <w:rFonts w:ascii="Arial" w:hAnsi="Arial" w:cs="Arial"/>
          <w:sz w:val="24"/>
          <w:szCs w:val="24"/>
        </w:rPr>
        <w:t>00°00</w:t>
      </w:r>
      <w:r w:rsidRPr="007F7F86">
        <w:rPr>
          <w:rFonts w:ascii="Arial" w:hAnsi="Arial" w:cs="Arial"/>
          <w:sz w:val="24"/>
          <w:szCs w:val="24"/>
        </w:rPr>
        <w:t>'</w:t>
      </w:r>
      <w:r w:rsidR="00FD01A9">
        <w:rPr>
          <w:rFonts w:ascii="Arial" w:hAnsi="Arial" w:cs="Arial"/>
          <w:sz w:val="24"/>
          <w:szCs w:val="24"/>
        </w:rPr>
        <w:t>.00</w:t>
      </w:r>
      <w:r w:rsidRPr="007F7F86">
        <w:rPr>
          <w:rFonts w:ascii="Arial" w:hAnsi="Arial" w:cs="Arial"/>
          <w:sz w:val="24"/>
          <w:szCs w:val="24"/>
        </w:rPr>
        <w:t xml:space="preserve">"W mide </w:t>
      </w:r>
      <w:r w:rsidR="00FD01A9">
        <w:rPr>
          <w:rFonts w:ascii="Arial" w:hAnsi="Arial" w:cs="Arial"/>
          <w:sz w:val="24"/>
          <w:szCs w:val="24"/>
        </w:rPr>
        <w:t>2.200</w:t>
      </w:r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mts</w:t>
      </w:r>
      <w:proofErr w:type="spellEnd"/>
      <w:r w:rsidRPr="007F7F86">
        <w:rPr>
          <w:rFonts w:ascii="Arial" w:hAnsi="Arial" w:cs="Arial"/>
          <w:sz w:val="24"/>
          <w:szCs w:val="24"/>
        </w:rPr>
        <w:t>. (</w:t>
      </w:r>
      <w:r w:rsidR="00FD01A9">
        <w:rPr>
          <w:rFonts w:ascii="Arial" w:hAnsi="Arial" w:cs="Arial"/>
          <w:sz w:val="24"/>
          <w:szCs w:val="24"/>
        </w:rPr>
        <w:t>Dos</w:t>
      </w:r>
      <w:r w:rsidRPr="007F7F86">
        <w:rPr>
          <w:rFonts w:ascii="Arial" w:hAnsi="Arial" w:cs="Arial"/>
          <w:sz w:val="24"/>
          <w:szCs w:val="24"/>
        </w:rPr>
        <w:t xml:space="preserve">, punto </w:t>
      </w:r>
      <w:r w:rsidR="00FD01A9">
        <w:rPr>
          <w:rFonts w:ascii="Arial" w:hAnsi="Arial" w:cs="Arial"/>
          <w:sz w:val="24"/>
          <w:szCs w:val="24"/>
        </w:rPr>
        <w:t>doscientos</w:t>
      </w:r>
      <w:r w:rsidRPr="007F7F86">
        <w:rPr>
          <w:rFonts w:ascii="Arial" w:hAnsi="Arial" w:cs="Arial"/>
          <w:sz w:val="24"/>
          <w:szCs w:val="24"/>
        </w:rPr>
        <w:t xml:space="preserve"> metros) y colinda con </w:t>
      </w:r>
      <w:r w:rsidR="00FD01A9">
        <w:rPr>
          <w:rFonts w:ascii="Arial" w:hAnsi="Arial" w:cs="Arial"/>
          <w:sz w:val="24"/>
          <w:szCs w:val="24"/>
        </w:rPr>
        <w:t xml:space="preserve">Propiedad de Gobierno del Estado de Nuevo León 1-A. </w:t>
      </w:r>
      <w:r w:rsidRPr="007F7F86">
        <w:rPr>
          <w:rFonts w:ascii="Arial" w:hAnsi="Arial" w:cs="Arial"/>
          <w:sz w:val="24"/>
          <w:szCs w:val="24"/>
        </w:rPr>
        <w:t xml:space="preserve">Lo anterior de acuerdo con su plano, en el cual dicho </w:t>
      </w:r>
      <w:proofErr w:type="spellStart"/>
      <w:r w:rsidRPr="007F7F86">
        <w:rPr>
          <w:rFonts w:ascii="Arial" w:hAnsi="Arial" w:cs="Arial"/>
          <w:sz w:val="24"/>
          <w:szCs w:val="24"/>
        </w:rPr>
        <w:t>polígono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presenta la </w:t>
      </w:r>
      <w:proofErr w:type="spellStart"/>
      <w:r w:rsidRPr="007F7F86">
        <w:rPr>
          <w:rFonts w:ascii="Arial" w:hAnsi="Arial" w:cs="Arial"/>
          <w:sz w:val="24"/>
          <w:szCs w:val="24"/>
        </w:rPr>
        <w:t>descripción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siguiente: </w:t>
      </w:r>
    </w:p>
    <w:p w:rsidR="00FD01A9" w:rsidRDefault="00FD01A9" w:rsidP="00FD01A9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01A9" w:rsidRPr="007F7F86" w:rsidRDefault="00FD01A9" w:rsidP="00FD01A9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354955" cy="177990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6-10-17 a la(s) 7.03.52 p.m.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955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ARTÍCULO SEGUNDO.- </w:t>
      </w:r>
      <w:r w:rsidRPr="007F7F86">
        <w:rPr>
          <w:rFonts w:ascii="Arial" w:hAnsi="Arial" w:cs="Arial"/>
          <w:sz w:val="24"/>
          <w:szCs w:val="24"/>
        </w:rPr>
        <w:t xml:space="preserve">De conformidad con los </w:t>
      </w:r>
      <w:proofErr w:type="spellStart"/>
      <w:r w:rsidRPr="007F7F86">
        <w:rPr>
          <w:rFonts w:ascii="Arial" w:hAnsi="Arial" w:cs="Arial"/>
          <w:sz w:val="24"/>
          <w:szCs w:val="24"/>
        </w:rPr>
        <w:t>artículos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II y 21 de la Ley </w:t>
      </w:r>
      <w:proofErr w:type="spellStart"/>
      <w:r w:rsidRPr="007F7F86">
        <w:rPr>
          <w:rFonts w:ascii="Arial" w:hAnsi="Arial" w:cs="Arial"/>
          <w:sz w:val="24"/>
          <w:szCs w:val="24"/>
        </w:rPr>
        <w:t>Orgánica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Pública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para 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; 80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I, 81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I y 106 de la Ley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Financiera para 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se autoriza al Ejecutivo del Estado, para que por conducto de la </w:t>
      </w:r>
      <w:proofErr w:type="spellStart"/>
      <w:r w:rsidRPr="007F7F86">
        <w:rPr>
          <w:rFonts w:ascii="Arial" w:hAnsi="Arial" w:cs="Arial"/>
          <w:sz w:val="24"/>
          <w:szCs w:val="24"/>
        </w:rPr>
        <w:t>Secretaría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Finanzas y </w:t>
      </w:r>
      <w:proofErr w:type="spellStart"/>
      <w:r w:rsidRPr="007F7F86">
        <w:rPr>
          <w:rFonts w:ascii="Arial" w:hAnsi="Arial" w:cs="Arial"/>
          <w:sz w:val="24"/>
          <w:szCs w:val="24"/>
        </w:rPr>
        <w:t>Tesorería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General del Estado, transmita a favor de </w:t>
      </w:r>
      <w:r w:rsidR="00FD01A9">
        <w:rPr>
          <w:rFonts w:ascii="Arial" w:hAnsi="Arial" w:cs="Arial"/>
          <w:sz w:val="24"/>
          <w:szCs w:val="24"/>
        </w:rPr>
        <w:t>MARIZA S.A. de C.V. a través de su legal representación</w:t>
      </w:r>
      <w:r w:rsidRPr="007F7F86">
        <w:rPr>
          <w:rFonts w:ascii="Arial" w:hAnsi="Arial" w:cs="Arial"/>
          <w:sz w:val="24"/>
          <w:szCs w:val="24"/>
        </w:rPr>
        <w:t xml:space="preserve">, mediante contrato de compraventa, el inmueble propiedad del Estado descrito en el </w:t>
      </w:r>
      <w:proofErr w:type="spellStart"/>
      <w:r w:rsidRPr="007F7F86">
        <w:rPr>
          <w:rFonts w:ascii="Arial" w:hAnsi="Arial" w:cs="Arial"/>
          <w:sz w:val="24"/>
          <w:szCs w:val="24"/>
        </w:rPr>
        <w:t>artículo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primero de este Decreto.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lastRenderedPageBreak/>
        <w:t xml:space="preserve">ARTÍCULO TERCERO.- </w:t>
      </w:r>
      <w:r w:rsidRPr="007F7F86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7F7F86">
        <w:rPr>
          <w:rFonts w:ascii="Arial" w:hAnsi="Arial" w:cs="Arial"/>
          <w:sz w:val="24"/>
          <w:szCs w:val="24"/>
        </w:rPr>
        <w:t>operación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a que hace referencia el </w:t>
      </w:r>
      <w:proofErr w:type="spellStart"/>
      <w:r w:rsidRPr="007F7F86">
        <w:rPr>
          <w:rFonts w:ascii="Arial" w:hAnsi="Arial" w:cs="Arial"/>
          <w:sz w:val="24"/>
          <w:szCs w:val="24"/>
        </w:rPr>
        <w:t>artículo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primero del presente decreto, se </w:t>
      </w:r>
      <w:proofErr w:type="spellStart"/>
      <w:r w:rsidRPr="007F7F86">
        <w:rPr>
          <w:rFonts w:ascii="Arial" w:hAnsi="Arial" w:cs="Arial"/>
          <w:sz w:val="24"/>
          <w:szCs w:val="24"/>
        </w:rPr>
        <w:t>realizarán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en los </w:t>
      </w:r>
      <w:proofErr w:type="spellStart"/>
      <w:r w:rsidRPr="007F7F86">
        <w:rPr>
          <w:rFonts w:ascii="Arial" w:hAnsi="Arial" w:cs="Arial"/>
          <w:sz w:val="24"/>
          <w:szCs w:val="24"/>
        </w:rPr>
        <w:t>términos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establecidos por los </w:t>
      </w:r>
      <w:proofErr w:type="spellStart"/>
      <w:r w:rsidRPr="007F7F86">
        <w:rPr>
          <w:rFonts w:ascii="Arial" w:hAnsi="Arial" w:cs="Arial"/>
          <w:sz w:val="24"/>
          <w:szCs w:val="24"/>
        </w:rPr>
        <w:t>artículos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106, 107 </w:t>
      </w:r>
      <w:proofErr w:type="spellStart"/>
      <w:r w:rsidRPr="007F7F86">
        <w:rPr>
          <w:rFonts w:ascii="Arial" w:hAnsi="Arial" w:cs="Arial"/>
          <w:sz w:val="24"/>
          <w:szCs w:val="24"/>
        </w:rPr>
        <w:t>fracción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V, 108 y 123 y </w:t>
      </w:r>
      <w:proofErr w:type="spellStart"/>
      <w:r w:rsidRPr="007F7F86">
        <w:rPr>
          <w:rFonts w:ascii="Arial" w:hAnsi="Arial" w:cs="Arial"/>
          <w:sz w:val="24"/>
          <w:szCs w:val="24"/>
        </w:rPr>
        <w:t>demás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disposiciones de la Ley de </w:t>
      </w:r>
      <w:proofErr w:type="spellStart"/>
      <w:r w:rsidRPr="007F7F86">
        <w:rPr>
          <w:rFonts w:ascii="Arial" w:hAnsi="Arial" w:cs="Arial"/>
          <w:sz w:val="24"/>
          <w:szCs w:val="24"/>
        </w:rPr>
        <w:t>Administración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Financiera para 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u otros ordenamientos legales aplicables.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ARTÍCULO CUARTO.- </w:t>
      </w:r>
      <w:r w:rsidRPr="007F7F86">
        <w:rPr>
          <w:rFonts w:ascii="Arial" w:hAnsi="Arial" w:cs="Arial"/>
          <w:sz w:val="24"/>
          <w:szCs w:val="24"/>
        </w:rPr>
        <w:t xml:space="preserve">Para el caso de que dentro del plazo de dos </w:t>
      </w:r>
      <w:proofErr w:type="spellStart"/>
      <w:r w:rsidRPr="007F7F86">
        <w:rPr>
          <w:rFonts w:ascii="Arial" w:hAnsi="Arial" w:cs="Arial"/>
          <w:sz w:val="24"/>
          <w:szCs w:val="24"/>
        </w:rPr>
        <w:t>años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contados a partir de la fecha en que entre en vigor el presente decreto, no se formalice el contrato de Compra Venta, la </w:t>
      </w:r>
      <w:proofErr w:type="spellStart"/>
      <w:r w:rsidRPr="007F7F86">
        <w:rPr>
          <w:rFonts w:ascii="Arial" w:hAnsi="Arial" w:cs="Arial"/>
          <w:sz w:val="24"/>
          <w:szCs w:val="24"/>
        </w:rPr>
        <w:t>autorización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emitida conforme a este decreto, quedará sin efectos. </w:t>
      </w:r>
    </w:p>
    <w:p w:rsidR="007F7F86" w:rsidRDefault="007F7F86" w:rsidP="007F7F86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>TRANSITORIOS</w:t>
      </w:r>
    </w:p>
    <w:p w:rsidR="007F7F86" w:rsidRPr="007F7F86" w:rsidRDefault="007F7F86" w:rsidP="00FD01A9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PRIMERO.- </w:t>
      </w:r>
      <w:r w:rsidRPr="007F7F86">
        <w:rPr>
          <w:rFonts w:ascii="Arial" w:hAnsi="Arial" w:cs="Arial"/>
          <w:sz w:val="24"/>
          <w:szCs w:val="24"/>
        </w:rPr>
        <w:t xml:space="preserve">El presente Decreto entrará en vigor el </w:t>
      </w:r>
      <w:proofErr w:type="spellStart"/>
      <w:r w:rsidRPr="007F7F86">
        <w:rPr>
          <w:rFonts w:ascii="Arial" w:hAnsi="Arial" w:cs="Arial"/>
          <w:sz w:val="24"/>
          <w:szCs w:val="24"/>
        </w:rPr>
        <w:t>día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siguiente al de su</w:t>
      </w:r>
      <w:r w:rsidR="00FD01A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7F86">
        <w:rPr>
          <w:rFonts w:ascii="Arial" w:hAnsi="Arial" w:cs="Arial"/>
          <w:sz w:val="24"/>
          <w:szCs w:val="24"/>
        </w:rPr>
        <w:t>publicación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en el </w:t>
      </w:r>
      <w:proofErr w:type="spellStart"/>
      <w:r w:rsidRPr="007F7F86">
        <w:rPr>
          <w:rFonts w:ascii="Arial" w:hAnsi="Arial" w:cs="Arial"/>
          <w:sz w:val="24"/>
          <w:szCs w:val="24"/>
        </w:rPr>
        <w:t>Periódico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Oficial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SEGUNDO.- </w:t>
      </w:r>
      <w:r w:rsidRPr="007F7F86">
        <w:rPr>
          <w:rFonts w:ascii="Arial" w:hAnsi="Arial" w:cs="Arial"/>
          <w:sz w:val="24"/>
          <w:szCs w:val="24"/>
        </w:rPr>
        <w:t xml:space="preserve">A fin de dar cumplimiento a lo establecido en el </w:t>
      </w:r>
      <w:proofErr w:type="spellStart"/>
      <w:r w:rsidRPr="007F7F86">
        <w:rPr>
          <w:rFonts w:ascii="Arial" w:hAnsi="Arial" w:cs="Arial"/>
          <w:sz w:val="24"/>
          <w:szCs w:val="24"/>
        </w:rPr>
        <w:t>artículo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19, fracciones I, inciso a), y IV, ambos de la Ley de </w:t>
      </w:r>
      <w:proofErr w:type="spellStart"/>
      <w:r w:rsidRPr="007F7F86">
        <w:rPr>
          <w:rFonts w:ascii="Arial" w:hAnsi="Arial" w:cs="Arial"/>
          <w:sz w:val="24"/>
          <w:szCs w:val="24"/>
        </w:rPr>
        <w:t>Fiscalización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Superior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la </w:t>
      </w:r>
      <w:proofErr w:type="spellStart"/>
      <w:r w:rsidRPr="007F7F86">
        <w:rPr>
          <w:rFonts w:ascii="Arial" w:hAnsi="Arial" w:cs="Arial"/>
          <w:sz w:val="24"/>
          <w:szCs w:val="24"/>
        </w:rPr>
        <w:t>Secretaría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Finanzas y </w:t>
      </w:r>
      <w:proofErr w:type="spellStart"/>
      <w:r w:rsidRPr="007F7F86">
        <w:rPr>
          <w:rFonts w:ascii="Arial" w:hAnsi="Arial" w:cs="Arial"/>
          <w:sz w:val="24"/>
          <w:szCs w:val="24"/>
        </w:rPr>
        <w:t>Tesorería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General del Estado </w:t>
      </w:r>
      <w:proofErr w:type="spellStart"/>
      <w:r w:rsidRPr="007F7F86">
        <w:rPr>
          <w:rFonts w:ascii="Arial" w:hAnsi="Arial" w:cs="Arial"/>
          <w:sz w:val="24"/>
          <w:szCs w:val="24"/>
        </w:rPr>
        <w:t>debera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informar a la </w:t>
      </w:r>
      <w:proofErr w:type="spellStart"/>
      <w:r w:rsidRPr="007F7F86">
        <w:rPr>
          <w:rFonts w:ascii="Arial" w:hAnsi="Arial" w:cs="Arial"/>
          <w:sz w:val="24"/>
          <w:szCs w:val="24"/>
        </w:rPr>
        <w:t>Auditoría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Superior del Estado, al momento de rendir la cuenta </w:t>
      </w:r>
      <w:proofErr w:type="spellStart"/>
      <w:r w:rsidRPr="007F7F86">
        <w:rPr>
          <w:rFonts w:ascii="Arial" w:hAnsi="Arial" w:cs="Arial"/>
          <w:sz w:val="24"/>
          <w:szCs w:val="24"/>
        </w:rPr>
        <w:t>pública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del ejercicio fiscal correspondiente del Gobierno del Estado, los procedimientos realizados para la </w:t>
      </w:r>
      <w:proofErr w:type="spellStart"/>
      <w:r w:rsidRPr="007F7F86">
        <w:rPr>
          <w:rFonts w:ascii="Arial" w:hAnsi="Arial" w:cs="Arial"/>
          <w:sz w:val="24"/>
          <w:szCs w:val="24"/>
        </w:rPr>
        <w:t>enajenación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los inmuebles objeto del presente Decreto, </w:t>
      </w:r>
      <w:proofErr w:type="spellStart"/>
      <w:r w:rsidRPr="007F7F86">
        <w:rPr>
          <w:rFonts w:ascii="Arial" w:hAnsi="Arial" w:cs="Arial"/>
          <w:sz w:val="24"/>
          <w:szCs w:val="24"/>
        </w:rPr>
        <w:t>asi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́ como el destino de los recursos obtenidos por la </w:t>
      </w:r>
      <w:proofErr w:type="spellStart"/>
      <w:r w:rsidRPr="007F7F86">
        <w:rPr>
          <w:rFonts w:ascii="Arial" w:hAnsi="Arial" w:cs="Arial"/>
          <w:sz w:val="24"/>
          <w:szCs w:val="24"/>
        </w:rPr>
        <w:t>enajenación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de los mismos. </w:t>
      </w:r>
    </w:p>
    <w:p w:rsidR="007F7F86" w:rsidRPr="007F7F86" w:rsidRDefault="007F7F86" w:rsidP="007F7F86">
      <w:pPr>
        <w:pStyle w:val="NormalWeb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F7F86">
        <w:rPr>
          <w:rFonts w:ascii="Arial" w:hAnsi="Arial" w:cs="Arial"/>
          <w:b/>
          <w:bCs/>
          <w:sz w:val="24"/>
          <w:szCs w:val="24"/>
        </w:rPr>
        <w:t xml:space="preserve">TERCERO.- </w:t>
      </w:r>
      <w:proofErr w:type="spellStart"/>
      <w:r w:rsidRPr="007F7F86">
        <w:rPr>
          <w:rFonts w:ascii="Arial" w:hAnsi="Arial" w:cs="Arial"/>
          <w:sz w:val="24"/>
          <w:szCs w:val="24"/>
        </w:rPr>
        <w:t>Analícese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7F7F86">
        <w:rPr>
          <w:rFonts w:ascii="Arial" w:hAnsi="Arial" w:cs="Arial"/>
          <w:sz w:val="24"/>
          <w:szCs w:val="24"/>
        </w:rPr>
        <w:t>resuélvase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 en otra oportunidad por el Poder Legislativo del Estado de Nuevo </w:t>
      </w:r>
      <w:proofErr w:type="spellStart"/>
      <w:r w:rsidRPr="007F7F86">
        <w:rPr>
          <w:rFonts w:ascii="Arial" w:hAnsi="Arial" w:cs="Arial"/>
          <w:sz w:val="24"/>
          <w:szCs w:val="24"/>
        </w:rPr>
        <w:t>León</w:t>
      </w:r>
      <w:proofErr w:type="spellEnd"/>
      <w:r w:rsidRPr="007F7F86">
        <w:rPr>
          <w:rFonts w:ascii="Arial" w:hAnsi="Arial" w:cs="Arial"/>
          <w:sz w:val="24"/>
          <w:szCs w:val="24"/>
        </w:rPr>
        <w:t xml:space="preserve">, la parte restante de la solicitud del Titular </w:t>
      </w:r>
      <w:r w:rsidRPr="007F7F86">
        <w:rPr>
          <w:rFonts w:ascii="Arial" w:hAnsi="Arial" w:cs="Arial"/>
          <w:sz w:val="24"/>
          <w:szCs w:val="24"/>
        </w:rPr>
        <w:lastRenderedPageBreak/>
        <w:t xml:space="preserve">del Ejecutivo del Estado para desincorporar los bienes inmuebles identificados con los expedientes catastrales: 45) 61-000-361, </w:t>
      </w:r>
      <w:r>
        <w:rPr>
          <w:rFonts w:ascii="Arial" w:hAnsi="Arial" w:cs="Arial"/>
          <w:sz w:val="24"/>
          <w:szCs w:val="24"/>
        </w:rPr>
        <w:t xml:space="preserve">45) 61-000-597, 44) 15-000-075 </w:t>
      </w:r>
      <w:r w:rsidRPr="007F7F86">
        <w:rPr>
          <w:rFonts w:ascii="Arial" w:hAnsi="Arial" w:cs="Arial"/>
          <w:sz w:val="24"/>
          <w:szCs w:val="24"/>
        </w:rPr>
        <w:t xml:space="preserve">y 70) 11-145-005. </w:t>
      </w:r>
    </w:p>
    <w:p w:rsidR="00FD01A9" w:rsidRDefault="00FD01A9" w:rsidP="00FD01A9">
      <w:pPr>
        <w:spacing w:line="360" w:lineRule="auto"/>
        <w:jc w:val="center"/>
        <w:rPr>
          <w:rFonts w:ascii="Arial" w:hAnsi="Arial" w:cs="Arial"/>
        </w:rPr>
      </w:pPr>
      <w:r w:rsidRPr="00A8137D">
        <w:rPr>
          <w:rFonts w:ascii="Arial" w:hAnsi="Arial" w:cs="Arial"/>
        </w:rPr>
        <w:t>Monterrey, Nuevo León</w:t>
      </w:r>
    </w:p>
    <w:p w:rsidR="00FD01A9" w:rsidRDefault="00FD01A9" w:rsidP="00FD01A9">
      <w:pPr>
        <w:spacing w:line="360" w:lineRule="auto"/>
        <w:rPr>
          <w:rFonts w:ascii="Arial" w:hAnsi="Arial" w:cs="Arial"/>
        </w:rPr>
      </w:pPr>
    </w:p>
    <w:p w:rsidR="00FD01A9" w:rsidRPr="00A8137D" w:rsidRDefault="00FD01A9" w:rsidP="00FD01A9">
      <w:pPr>
        <w:pStyle w:val="Ttulo1"/>
      </w:pPr>
      <w:r w:rsidRPr="00A8137D">
        <w:t>COMISIÓN DE DESARROLLO URBANO</w:t>
      </w:r>
    </w:p>
    <w:p w:rsidR="00FD01A9" w:rsidRPr="00A8137D" w:rsidRDefault="00FD01A9" w:rsidP="00FD01A9">
      <w:pPr>
        <w:spacing w:line="360" w:lineRule="auto"/>
        <w:jc w:val="center"/>
        <w:rPr>
          <w:rFonts w:ascii="Arial" w:hAnsi="Arial" w:cs="Arial"/>
        </w:rPr>
      </w:pPr>
    </w:p>
    <w:p w:rsidR="00FD01A9" w:rsidRDefault="00FD01A9" w:rsidP="00FD01A9">
      <w:pPr>
        <w:pStyle w:val="Ttulo2"/>
        <w:spacing w:line="360" w:lineRule="auto"/>
        <w:rPr>
          <w:rFonts w:ascii="Arial" w:hAnsi="Arial" w:cs="Arial"/>
          <w:b/>
          <w:bCs/>
          <w:szCs w:val="24"/>
        </w:rPr>
      </w:pPr>
      <w:r w:rsidRPr="00A8137D">
        <w:rPr>
          <w:rFonts w:ascii="Arial" w:hAnsi="Arial" w:cs="Arial"/>
          <w:b/>
          <w:bCs/>
          <w:szCs w:val="24"/>
        </w:rPr>
        <w:t>PRESIDENTE:</w:t>
      </w:r>
    </w:p>
    <w:p w:rsidR="00FD01A9" w:rsidRDefault="00FD01A9" w:rsidP="00FD01A9">
      <w:pPr>
        <w:rPr>
          <w:lang w:val="es-MX"/>
        </w:rPr>
      </w:pPr>
    </w:p>
    <w:p w:rsidR="00FD01A9" w:rsidRPr="00152B76" w:rsidRDefault="00FD01A9" w:rsidP="00FD01A9">
      <w:pPr>
        <w:rPr>
          <w:lang w:val="es-MX"/>
        </w:rPr>
      </w:pPr>
    </w:p>
    <w:p w:rsidR="00FD01A9" w:rsidRPr="00A8137D" w:rsidRDefault="00FD01A9" w:rsidP="00FD01A9">
      <w:pPr>
        <w:spacing w:line="360" w:lineRule="auto"/>
        <w:jc w:val="center"/>
        <w:rPr>
          <w:rFonts w:ascii="Arial" w:hAnsi="Arial" w:cs="Arial"/>
          <w:lang w:val="es-MX"/>
        </w:rPr>
      </w:pPr>
    </w:p>
    <w:p w:rsidR="00FD01A9" w:rsidRPr="00A8137D" w:rsidRDefault="00FD01A9" w:rsidP="00FD01A9">
      <w:pPr>
        <w:spacing w:line="360" w:lineRule="auto"/>
        <w:jc w:val="center"/>
        <w:rPr>
          <w:rFonts w:ascii="Arial" w:hAnsi="Arial" w:cs="Arial"/>
          <w:lang w:val="es-MX"/>
        </w:rPr>
      </w:pPr>
      <w:r w:rsidRPr="00A8137D">
        <w:rPr>
          <w:rFonts w:ascii="Arial" w:hAnsi="Arial" w:cs="Arial"/>
          <w:lang w:val="es-MX"/>
        </w:rPr>
        <w:t xml:space="preserve">DIP. </w:t>
      </w:r>
      <w:r>
        <w:rPr>
          <w:rFonts w:ascii="Arial" w:hAnsi="Arial" w:cs="Arial"/>
          <w:lang w:val="es-MX"/>
        </w:rPr>
        <w:t>JESÚS ÁNGEL NAVA RIVERA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5"/>
        <w:gridCol w:w="3995"/>
      </w:tblGrid>
      <w:tr w:rsidR="00FD01A9" w:rsidRPr="00E777C2" w:rsidTr="00FD01A9">
        <w:trPr>
          <w:jc w:val="center"/>
        </w:trPr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  <w:t>VICEPRESIDENTE</w:t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pt-BR"/>
              </w:rPr>
            </w:pPr>
            <w:r w:rsidRPr="00E777C2">
              <w:rPr>
                <w:rFonts w:ascii="Arial" w:hAnsi="Arial" w:cs="Arial"/>
                <w:sz w:val="22"/>
                <w:szCs w:val="22"/>
                <w:lang w:val="pt-BR"/>
              </w:rPr>
              <w:t xml:space="preserve">DIP. ROSALVA LLANES RIVERA </w:t>
            </w:r>
          </w:p>
        </w:tc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  <w:lang w:val="it-IT"/>
              </w:rPr>
              <w:t>SECRETARIO</w:t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it-IT"/>
              </w:rPr>
            </w:pPr>
            <w:r w:rsidRPr="00E777C2">
              <w:rPr>
                <w:rFonts w:ascii="Arial" w:hAnsi="Arial" w:cs="Arial"/>
                <w:sz w:val="22"/>
                <w:szCs w:val="22"/>
                <w:lang w:val="it-IT"/>
              </w:rPr>
              <w:t>DIP.</w:t>
            </w:r>
            <w:r w:rsidRPr="00E77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777C2">
              <w:rPr>
                <w:rFonts w:ascii="Arial" w:hAnsi="Arial" w:cs="Arial"/>
                <w:sz w:val="22"/>
                <w:szCs w:val="22"/>
                <w:lang w:val="it-IT"/>
              </w:rPr>
              <w:t xml:space="preserve">MARÍA CONCEPCIÓN LANDA GARCÍA TÉLLEZ </w:t>
            </w:r>
          </w:p>
        </w:tc>
      </w:tr>
      <w:tr w:rsidR="00FD01A9" w:rsidRPr="00E777C2" w:rsidTr="00FD01A9">
        <w:trPr>
          <w:trHeight w:val="2308"/>
          <w:jc w:val="center"/>
        </w:trPr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</w:rPr>
              <w:t>VOCAL</w:t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77C2">
              <w:rPr>
                <w:rFonts w:ascii="Arial" w:hAnsi="Arial" w:cs="Arial"/>
                <w:sz w:val="22"/>
                <w:szCs w:val="22"/>
              </w:rPr>
              <w:t>DIP. JOSÉ LUÍS GARZA OCHOA</w:t>
            </w:r>
          </w:p>
        </w:tc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  <w:t>VOCAL</w:t>
            </w:r>
          </w:p>
          <w:p w:rsidR="00FD01A9" w:rsidRPr="00E777C2" w:rsidRDefault="00FD01A9" w:rsidP="00FD01A9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pt-BR"/>
              </w:rPr>
            </w:pPr>
          </w:p>
          <w:p w:rsidR="00E777C2" w:rsidRDefault="00E777C2" w:rsidP="00FD01A9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  <w:lang w:val="pt-BR"/>
              </w:rPr>
            </w:pPr>
          </w:p>
          <w:p w:rsidR="00E777C2" w:rsidRDefault="00E777C2" w:rsidP="00FD01A9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  <w:lang w:val="pt-BR"/>
              </w:rPr>
            </w:pPr>
          </w:p>
          <w:p w:rsidR="00FD01A9" w:rsidRPr="00E777C2" w:rsidRDefault="00FD01A9" w:rsidP="00FD01A9">
            <w:pPr>
              <w:pStyle w:val="Textoindependiente"/>
              <w:spacing w:line="360" w:lineRule="auto"/>
              <w:ind w:left="60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</w:pPr>
            <w:r w:rsidRPr="00E777C2">
              <w:rPr>
                <w:rFonts w:ascii="Arial" w:hAnsi="Arial" w:cs="Arial"/>
                <w:b w:val="0"/>
                <w:bCs/>
                <w:sz w:val="22"/>
                <w:szCs w:val="22"/>
                <w:lang w:val="pt-BR"/>
              </w:rPr>
              <w:t>DIP. ADRIÁN DE LA GARZA TIJERINA</w:t>
            </w:r>
          </w:p>
        </w:tc>
      </w:tr>
      <w:tr w:rsidR="00FD01A9" w:rsidRPr="00E777C2" w:rsidTr="00FD01A9">
        <w:trPr>
          <w:jc w:val="center"/>
        </w:trPr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777C2">
              <w:rPr>
                <w:rFonts w:ascii="Arial" w:hAnsi="Arial" w:cs="Arial"/>
                <w:sz w:val="22"/>
                <w:szCs w:val="22"/>
                <w:lang w:val="pt-BR"/>
              </w:rPr>
              <w:lastRenderedPageBreak/>
              <w:br w:type="page"/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</w:rPr>
              <w:t>VOCAL</w:t>
            </w:r>
          </w:p>
          <w:p w:rsidR="00FD01A9" w:rsidRPr="00E777C2" w:rsidRDefault="00FD01A9" w:rsidP="00FD01A9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Textoindependiente"/>
              <w:spacing w:line="360" w:lineRule="auto"/>
              <w:ind w:hanging="16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E777C2">
              <w:rPr>
                <w:rFonts w:ascii="Arial" w:hAnsi="Arial" w:cs="Arial"/>
                <w:b w:val="0"/>
                <w:bCs/>
                <w:sz w:val="22"/>
                <w:szCs w:val="22"/>
              </w:rPr>
              <w:t>DIP. ANDRÉS MAURICIO CANTÚ RAMÍREZ</w:t>
            </w:r>
          </w:p>
        </w:tc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</w:rPr>
              <w:t>VOCAL</w:t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77C2">
              <w:rPr>
                <w:rFonts w:ascii="Arial" w:eastAsia="Times New Roman" w:hAnsi="Arial" w:cs="Arial"/>
                <w:sz w:val="22"/>
                <w:szCs w:val="22"/>
              </w:rPr>
              <w:t>DIP. GUILLERMO ALFREDO RODRÍGUEZ PÁEZ</w:t>
            </w:r>
          </w:p>
        </w:tc>
      </w:tr>
      <w:tr w:rsidR="00FD01A9" w:rsidRPr="00E777C2" w:rsidTr="00FD01A9">
        <w:trPr>
          <w:jc w:val="center"/>
        </w:trPr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</w:rPr>
              <w:t>VOCAL</w:t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val="es-MX"/>
              </w:rPr>
            </w:pPr>
            <w:r w:rsidRPr="00E777C2">
              <w:rPr>
                <w:rFonts w:ascii="Arial" w:hAnsi="Arial" w:cs="Arial"/>
                <w:sz w:val="22"/>
                <w:szCs w:val="22"/>
                <w:lang w:val="es-MX"/>
              </w:rPr>
              <w:t>DIP. MYRNA ISELA GRIMALDO IRACHETA</w:t>
            </w:r>
          </w:p>
        </w:tc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</w:rPr>
              <w:t>VOCAL</w:t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77C2">
              <w:rPr>
                <w:rFonts w:ascii="Arial" w:hAnsi="Arial" w:cs="Arial"/>
                <w:sz w:val="22"/>
                <w:szCs w:val="22"/>
              </w:rPr>
              <w:t>DIP. HERNÁN SALINAS WOLBERG</w:t>
            </w:r>
          </w:p>
        </w:tc>
      </w:tr>
      <w:tr w:rsidR="00FD01A9" w:rsidRPr="00E777C2" w:rsidTr="00FD01A9">
        <w:trPr>
          <w:jc w:val="center"/>
        </w:trPr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</w:rPr>
              <w:t>VOCAL</w:t>
            </w: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77C2">
              <w:rPr>
                <w:rFonts w:ascii="Arial" w:hAnsi="Arial" w:cs="Arial"/>
                <w:sz w:val="22"/>
                <w:szCs w:val="22"/>
              </w:rPr>
              <w:t>DIP. FELIPE DE JESÚS HERNÁNDEZ MARROQUÍN</w:t>
            </w:r>
          </w:p>
        </w:tc>
        <w:tc>
          <w:tcPr>
            <w:tcW w:w="3995" w:type="dxa"/>
          </w:tcPr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</w:pPr>
            <w:r w:rsidRPr="00E777C2">
              <w:rPr>
                <w:rFonts w:ascii="Arial" w:eastAsia="Times New Roman" w:hAnsi="Arial" w:cs="Arial"/>
                <w:b/>
                <w:sz w:val="22"/>
                <w:szCs w:val="22"/>
                <w:lang w:val="pt-BR"/>
              </w:rPr>
              <w:t>VOCAL</w:t>
            </w:r>
          </w:p>
          <w:p w:rsidR="00FD01A9" w:rsidRPr="00E777C2" w:rsidRDefault="00FD01A9" w:rsidP="00FD01A9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pt-BR"/>
              </w:rPr>
            </w:pPr>
          </w:p>
          <w:p w:rsidR="00FD01A9" w:rsidRPr="00E777C2" w:rsidRDefault="00FD01A9" w:rsidP="00FD01A9">
            <w:pPr>
              <w:pStyle w:val="Textoindependiente"/>
              <w:spacing w:line="360" w:lineRule="auto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  <w:lang w:val="pt-BR"/>
              </w:rPr>
            </w:pPr>
            <w:r w:rsidRPr="00E777C2">
              <w:rPr>
                <w:rFonts w:ascii="Arial" w:hAnsi="Arial" w:cs="Arial"/>
                <w:b w:val="0"/>
                <w:bCs/>
                <w:sz w:val="22"/>
                <w:szCs w:val="22"/>
                <w:lang w:val="pt-BR"/>
              </w:rPr>
              <w:t>DIP. MARCO ANTONIO MARTÍNEZ DÍAZ</w:t>
            </w:r>
          </w:p>
        </w:tc>
      </w:tr>
    </w:tbl>
    <w:p w:rsidR="00FD01A9" w:rsidRPr="00E777C2" w:rsidRDefault="00FD01A9" w:rsidP="00FD01A9">
      <w:pPr>
        <w:rPr>
          <w:rFonts w:ascii="Arial" w:hAnsi="Arial" w:cs="Arial"/>
          <w:sz w:val="22"/>
          <w:szCs w:val="22"/>
        </w:rPr>
      </w:pPr>
    </w:p>
    <w:p w:rsidR="00FD01A9" w:rsidRPr="00824615" w:rsidRDefault="00FD01A9" w:rsidP="00FD01A9">
      <w:pPr>
        <w:spacing w:line="360" w:lineRule="auto"/>
        <w:jc w:val="both"/>
        <w:rPr>
          <w:rFonts w:ascii="Arial" w:hAnsi="Arial" w:cs="Arial"/>
        </w:rPr>
      </w:pPr>
    </w:p>
    <w:p w:rsidR="00F70428" w:rsidRPr="007F7F86" w:rsidRDefault="00F70428" w:rsidP="007F7F86">
      <w:pPr>
        <w:spacing w:line="360" w:lineRule="auto"/>
        <w:jc w:val="both"/>
        <w:rPr>
          <w:rFonts w:ascii="Arial" w:hAnsi="Arial" w:cs="Arial"/>
        </w:rPr>
      </w:pPr>
    </w:p>
    <w:sectPr w:rsidR="00F70428" w:rsidRPr="007F7F86" w:rsidSect="00E777C2">
      <w:footerReference w:type="even" r:id="rId9"/>
      <w:footerReference w:type="default" r:id="rId10"/>
      <w:pgSz w:w="12240" w:h="15840" w:code="1"/>
      <w:pgMar w:top="3799" w:right="851" w:bottom="1418" w:left="30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6C4" w:rsidRDefault="005E46C4" w:rsidP="00FD01A9">
      <w:r>
        <w:separator/>
      </w:r>
    </w:p>
  </w:endnote>
  <w:endnote w:type="continuationSeparator" w:id="0">
    <w:p w:rsidR="005E46C4" w:rsidRDefault="005E46C4" w:rsidP="00FD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C2" w:rsidRDefault="006A40C2">
    <w:pPr>
      <w:pStyle w:val="Piedepgina"/>
      <w:rPr>
        <w:rFonts w:ascii="Century Gothic" w:hAnsi="Century Gothic"/>
        <w:b/>
        <w:smallCaps/>
        <w:sz w:val="20"/>
        <w:szCs w:val="20"/>
      </w:rPr>
    </w:pPr>
    <w:r>
      <w:ptab w:relativeTo="margin" w:alignment="center" w:leader="none"/>
    </w:r>
    <w:r>
      <w:rPr>
        <w:rFonts w:ascii="Century Gothic" w:hAnsi="Century Gothic"/>
        <w:b/>
        <w:smallCaps/>
        <w:sz w:val="20"/>
        <w:szCs w:val="20"/>
      </w:rPr>
      <w:t>Expediente 7424/</w:t>
    </w:r>
    <w:proofErr w:type="spellStart"/>
    <w:r>
      <w:rPr>
        <w:rFonts w:ascii="Century Gothic" w:hAnsi="Century Gothic"/>
        <w:b/>
        <w:smallCaps/>
        <w:sz w:val="20"/>
        <w:szCs w:val="20"/>
      </w:rPr>
      <w:t>Lxxii</w:t>
    </w:r>
    <w:proofErr w:type="spellEnd"/>
  </w:p>
  <w:p w:rsidR="00FD01A9" w:rsidRDefault="006A40C2">
    <w:pPr>
      <w:pStyle w:val="Piedepgina"/>
    </w:pPr>
    <w:r>
      <w:rPr>
        <w:rFonts w:ascii="Century Gothic" w:hAnsi="Century Gothic"/>
        <w:b/>
        <w:smallCaps/>
        <w:sz w:val="20"/>
        <w:szCs w:val="20"/>
      </w:rPr>
      <w:tab/>
      <w:t xml:space="preserve">Comisión de Desarrollo Urbano 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C2" w:rsidRDefault="006A40C2">
    <w:pPr>
      <w:pStyle w:val="Piedepgina"/>
      <w:rPr>
        <w:rFonts w:ascii="Century Gothic" w:hAnsi="Century Gothic"/>
        <w:b/>
        <w:smallCaps/>
        <w:sz w:val="20"/>
        <w:szCs w:val="20"/>
      </w:rPr>
    </w:pPr>
    <w:r>
      <w:ptab w:relativeTo="margin" w:alignment="center" w:leader="none"/>
    </w:r>
    <w:r>
      <w:rPr>
        <w:rFonts w:ascii="Century Gothic" w:hAnsi="Century Gothic"/>
        <w:b/>
        <w:smallCaps/>
        <w:sz w:val="20"/>
        <w:szCs w:val="20"/>
      </w:rPr>
      <w:t>Expediente 7424/</w:t>
    </w:r>
    <w:proofErr w:type="spellStart"/>
    <w:r>
      <w:rPr>
        <w:rFonts w:ascii="Century Gothic" w:hAnsi="Century Gothic"/>
        <w:b/>
        <w:smallCaps/>
        <w:sz w:val="20"/>
        <w:szCs w:val="20"/>
      </w:rPr>
      <w:t>Lxxii</w:t>
    </w:r>
    <w:proofErr w:type="spellEnd"/>
  </w:p>
  <w:p w:rsidR="00FD01A9" w:rsidRDefault="006A40C2">
    <w:pPr>
      <w:pStyle w:val="Piedepgina"/>
    </w:pPr>
    <w:r>
      <w:rPr>
        <w:rFonts w:ascii="Century Gothic" w:hAnsi="Century Gothic"/>
        <w:b/>
        <w:smallCaps/>
        <w:sz w:val="20"/>
        <w:szCs w:val="20"/>
      </w:rPr>
      <w:tab/>
      <w:t xml:space="preserve"> Comisión de Desarrollo Urbano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6C4" w:rsidRDefault="005E46C4" w:rsidP="00FD01A9">
      <w:r>
        <w:separator/>
      </w:r>
    </w:p>
  </w:footnote>
  <w:footnote w:type="continuationSeparator" w:id="0">
    <w:p w:rsidR="005E46C4" w:rsidRDefault="005E46C4" w:rsidP="00FD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C3B"/>
    <w:multiLevelType w:val="hybridMultilevel"/>
    <w:tmpl w:val="DB1C5272"/>
    <w:lvl w:ilvl="0" w:tplc="83783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6B8"/>
    <w:multiLevelType w:val="multilevel"/>
    <w:tmpl w:val="E220A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CC7C0B"/>
    <w:multiLevelType w:val="multilevel"/>
    <w:tmpl w:val="EF42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BF7EC6"/>
    <w:multiLevelType w:val="multilevel"/>
    <w:tmpl w:val="6F06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86"/>
    <w:rsid w:val="000B4B7B"/>
    <w:rsid w:val="00344CC7"/>
    <w:rsid w:val="005E46C4"/>
    <w:rsid w:val="006A40C2"/>
    <w:rsid w:val="007F7F86"/>
    <w:rsid w:val="009A6A76"/>
    <w:rsid w:val="00CE017D"/>
    <w:rsid w:val="00E777C2"/>
    <w:rsid w:val="00F70428"/>
    <w:rsid w:val="00FA1126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65D273D-119A-4AF5-8A21-BFA8909A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D01A9"/>
    <w:pPr>
      <w:keepNext/>
      <w:spacing w:line="360" w:lineRule="auto"/>
      <w:jc w:val="center"/>
      <w:outlineLvl w:val="0"/>
    </w:pPr>
    <w:rPr>
      <w:rFonts w:ascii="Arial" w:eastAsia="Times New Roman" w:hAnsi="Arial" w:cs="Arial"/>
      <w:b/>
      <w:lang w:val="es-ES"/>
    </w:rPr>
  </w:style>
  <w:style w:type="paragraph" w:styleId="Ttulo2">
    <w:name w:val="heading 2"/>
    <w:basedOn w:val="Normal"/>
    <w:next w:val="Normal"/>
    <w:link w:val="Ttulo2Car"/>
    <w:qFormat/>
    <w:rsid w:val="00FD01A9"/>
    <w:pPr>
      <w:keepNext/>
      <w:widowControl w:val="0"/>
      <w:jc w:val="center"/>
      <w:outlineLvl w:val="1"/>
    </w:pPr>
    <w:rPr>
      <w:rFonts w:ascii="Times New Roman" w:eastAsia="Times New Roman" w:hAnsi="Times New Roman" w:cs="Times New Roman"/>
      <w:snapToGrid w:val="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F7F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1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1A9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FD01A9"/>
    <w:rPr>
      <w:rFonts w:ascii="Arial" w:eastAsia="Times New Roman" w:hAnsi="Arial" w:cs="Arial"/>
      <w:b/>
      <w:lang w:val="es-ES"/>
    </w:rPr>
  </w:style>
  <w:style w:type="character" w:customStyle="1" w:styleId="Ttulo2Car">
    <w:name w:val="Título 2 Car"/>
    <w:basedOn w:val="Fuentedeprrafopredeter"/>
    <w:link w:val="Ttulo2"/>
    <w:rsid w:val="00FD01A9"/>
    <w:rPr>
      <w:rFonts w:ascii="Times New Roman" w:eastAsia="Times New Roman" w:hAnsi="Times New Roman" w:cs="Times New Roman"/>
      <w:snapToGrid w:val="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D01A9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D01A9"/>
    <w:rPr>
      <w:rFonts w:ascii="Times New Roman" w:eastAsia="Times New Roman" w:hAnsi="Times New Roman" w:cs="Times New Roman"/>
      <w:b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D01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01A9"/>
  </w:style>
  <w:style w:type="paragraph" w:styleId="Piedepgina">
    <w:name w:val="footer"/>
    <w:basedOn w:val="Normal"/>
    <w:link w:val="PiedepginaCar"/>
    <w:unhideWhenUsed/>
    <w:rsid w:val="00FD01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D01A9"/>
  </w:style>
  <w:style w:type="table" w:styleId="Sombreadoclaro-nfasis1">
    <w:name w:val="Light Shading Accent 1"/>
    <w:basedOn w:val="Tablanormal"/>
    <w:uiPriority w:val="60"/>
    <w:rsid w:val="00FD01A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9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E50C7-B52C-4F18-A0F0-BD0E35DC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2637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Congreso del Estado de Nuevo León</Company>
  <LinksUpToDate>false</LinksUpToDate>
  <CharactersWithSpaces>17110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Hernandez Morales</dc:creator>
  <cp:keywords/>
  <dc:description/>
  <cp:lastModifiedBy>operador_pc</cp:lastModifiedBy>
  <cp:revision>3</cp:revision>
  <cp:lastPrinted>2016-10-20T20:17:00Z</cp:lastPrinted>
  <dcterms:created xsi:type="dcterms:W3CDTF">2016-10-20T20:17:00Z</dcterms:created>
  <dcterms:modified xsi:type="dcterms:W3CDTF">2016-11-01T16:46:00Z</dcterms:modified>
</cp:coreProperties>
</file>