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6D7CB3" w:rsidRDefault="00B66FBF" w:rsidP="00A8377E">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7E788F">
        <w:rPr>
          <w:rFonts w:cs="Arial"/>
          <w:b/>
          <w:lang w:val="es-MX"/>
        </w:rPr>
        <w:t>18</w:t>
      </w:r>
      <w:r w:rsidR="000C645C" w:rsidRPr="000C645C">
        <w:rPr>
          <w:rFonts w:cs="Arial"/>
          <w:b/>
          <w:lang w:val="es-MX"/>
        </w:rPr>
        <w:t xml:space="preserve"> de Mayo</w:t>
      </w:r>
      <w:r w:rsidR="006D7CB3" w:rsidRPr="000C645C">
        <w:rPr>
          <w:rFonts w:cs="Arial"/>
          <w:b/>
          <w:lang w:val="es-MX"/>
        </w:rPr>
        <w:t xml:space="preserve"> </w:t>
      </w:r>
      <w:r w:rsidR="008B4D78" w:rsidRPr="000C645C">
        <w:rPr>
          <w:rFonts w:cs="Arial"/>
          <w:b/>
          <w:lang w:val="es-MX"/>
        </w:rPr>
        <w:t>del 2</w:t>
      </w:r>
      <w:r w:rsidR="003D126E" w:rsidRPr="000C645C">
        <w:rPr>
          <w:rFonts w:cs="Arial"/>
          <w:b/>
          <w:lang w:val="es-MX"/>
        </w:rPr>
        <w:t>0</w:t>
      </w:r>
      <w:r w:rsidR="006D7CB3" w:rsidRPr="000C645C">
        <w:rPr>
          <w:rFonts w:cs="Arial"/>
          <w:b/>
          <w:lang w:val="es-MX"/>
        </w:rPr>
        <w:t>16</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4C3AFC">
        <w:rPr>
          <w:rFonts w:cs="Arial"/>
          <w:b/>
          <w:lang w:val="es-MX"/>
        </w:rPr>
        <w:t>10094</w:t>
      </w:r>
      <w:r w:rsidR="006D7CB3">
        <w:rPr>
          <w:rFonts w:cs="Arial"/>
          <w:b/>
          <w:lang w:val="es-MX"/>
        </w:rPr>
        <w:t>/LXXlV</w:t>
      </w:r>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3D126E">
        <w:rPr>
          <w:rFonts w:cs="Arial"/>
          <w:lang w:val="es-MX"/>
        </w:rPr>
        <w:t>l</w:t>
      </w:r>
      <w:r w:rsidR="00DD7B41">
        <w:rPr>
          <w:rFonts w:cs="Arial"/>
          <w:lang w:val="es-MX"/>
        </w:rPr>
        <w:t>a</w:t>
      </w:r>
      <w:r w:rsidR="003D126E" w:rsidRPr="003D126E">
        <w:t xml:space="preserve"> </w:t>
      </w:r>
      <w:r w:rsidR="003D126E" w:rsidRPr="003D126E">
        <w:rPr>
          <w:rFonts w:cs="Arial"/>
          <w:b/>
          <w:lang w:val="es-MX"/>
        </w:rPr>
        <w:t>C.</w:t>
      </w:r>
      <w:r w:rsidR="00DD7B41">
        <w:rPr>
          <w:rFonts w:cs="Arial"/>
          <w:b/>
          <w:lang w:val="es-MX"/>
        </w:rPr>
        <w:t xml:space="preserve"> </w:t>
      </w:r>
      <w:r w:rsidR="00EB08A2">
        <w:rPr>
          <w:b/>
        </w:rPr>
        <w:t>Dip. Alicia Maribel Villalón González</w:t>
      </w:r>
      <w:r w:rsidR="0049189F">
        <w:rPr>
          <w:rFonts w:cs="Arial"/>
          <w:b/>
          <w:lang w:val="es-MX"/>
        </w:rPr>
        <w:t>,</w:t>
      </w:r>
      <w:r w:rsidR="000C645C">
        <w:rPr>
          <w:rFonts w:cs="Arial"/>
          <w:b/>
          <w:lang w:val="es-MX"/>
        </w:rPr>
        <w:t xml:space="preserve"> integrante del Grupo Legislativo del Partido Revolucionario Institucional</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presenta</w:t>
      </w:r>
      <w:r w:rsidR="006D7CB3">
        <w:rPr>
          <w:rFonts w:cs="Arial"/>
          <w:lang w:val="es-MX"/>
        </w:rPr>
        <w:t xml:space="preserve"> </w:t>
      </w:r>
      <w:r w:rsidR="000C645C">
        <w:rPr>
          <w:rFonts w:cs="Arial"/>
          <w:b/>
          <w:lang w:val="es-MX"/>
        </w:rPr>
        <w:t xml:space="preserve">iniciativa de reforma </w:t>
      </w:r>
      <w:r w:rsidR="007E788F">
        <w:rPr>
          <w:rFonts w:cs="Arial"/>
          <w:b/>
          <w:lang w:val="es-MX"/>
        </w:rPr>
        <w:t>por adición de un artículo 336 Bis 1 del Código Penal Para el Estado de Nuevo León, en relación al abandono de adultos mayores.</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50DE6" w:rsidRDefault="00813E42" w:rsidP="00F50DE6">
      <w:pPr>
        <w:spacing w:line="360" w:lineRule="auto"/>
        <w:ind w:firstLine="708"/>
        <w:jc w:val="both"/>
        <w:rPr>
          <w:rFonts w:cs="Arial"/>
        </w:rPr>
      </w:pPr>
      <w:r>
        <w:rPr>
          <w:rFonts w:cs="Arial"/>
        </w:rPr>
        <w:t>La</w:t>
      </w:r>
      <w:r w:rsidR="000C645C">
        <w:rPr>
          <w:rFonts w:cs="Arial"/>
        </w:rPr>
        <w:t xml:space="preserve"> Promovente e</w:t>
      </w:r>
      <w:r w:rsidR="00A8377E">
        <w:rPr>
          <w:rFonts w:cs="Arial"/>
        </w:rPr>
        <w:t xml:space="preserve">xpone </w:t>
      </w:r>
      <w:r w:rsidR="006D7CB3">
        <w:rPr>
          <w:rFonts w:cs="Arial"/>
        </w:rPr>
        <w:t xml:space="preserve">que </w:t>
      </w:r>
      <w:r w:rsidR="003C7435">
        <w:rPr>
          <w:rFonts w:cs="Arial"/>
        </w:rPr>
        <w:t xml:space="preserve">los adultos mayores, al igual que las niñas y los niños, son propensos a sufrir pérdidas en sus derechos humanos, por la acción u omisión de autoridades de los tres niveles de Gobierno, que llegan a incumplir con lo preceptuado en la Constitución Política de los Estados Unidos Mexicanos, la Constitución Política del Estado y la legislación federal y estatal en la materia. </w:t>
      </w:r>
    </w:p>
    <w:p w:rsidR="00F50DE6" w:rsidRPr="008B4D78" w:rsidRDefault="00F50DE6" w:rsidP="00F50DE6">
      <w:pPr>
        <w:spacing w:line="360" w:lineRule="auto"/>
        <w:ind w:firstLine="708"/>
        <w:jc w:val="both"/>
        <w:rPr>
          <w:rFonts w:cs="Arial"/>
        </w:rPr>
      </w:pPr>
    </w:p>
    <w:p w:rsidR="00363044" w:rsidRPr="006D5CA2" w:rsidRDefault="00886188" w:rsidP="006D5CA2">
      <w:pPr>
        <w:spacing w:line="360" w:lineRule="auto"/>
        <w:ind w:firstLine="708"/>
        <w:jc w:val="both"/>
        <w:rPr>
          <w:rFonts w:cs="Arial"/>
          <w:lang w:val="es-MX"/>
        </w:rPr>
      </w:pPr>
      <w:r>
        <w:rPr>
          <w:rFonts w:cs="Arial"/>
        </w:rPr>
        <w:lastRenderedPageBreak/>
        <w:t xml:space="preserve">Señala </w:t>
      </w:r>
      <w:r w:rsidR="00706B64">
        <w:rPr>
          <w:rFonts w:cs="Arial"/>
          <w:lang w:val="es-MX"/>
        </w:rPr>
        <w:t>que</w:t>
      </w:r>
      <w:r w:rsidR="003C7435">
        <w:rPr>
          <w:rFonts w:cs="Arial"/>
          <w:lang w:val="es-MX"/>
        </w:rPr>
        <w:t xml:space="preserve"> la Legislatura pasada tuvo a bien aprobar la Ley de Instituciones Asistenciales Públicas y Privadas para las Personas Adultas Mayores en el Estado de Nuevo León, sin embargo dicha ley es para regular los asilos, pero hoy en día nos seguimos topando con la problemática del abandono de los adultos mayores y no necesariamente en los asilos. </w:t>
      </w:r>
    </w:p>
    <w:p w:rsidR="00DD7B41" w:rsidRDefault="00DD7B41" w:rsidP="003C7435">
      <w:pPr>
        <w:spacing w:line="360" w:lineRule="auto"/>
        <w:jc w:val="both"/>
        <w:rPr>
          <w:rFonts w:cs="Arial"/>
        </w:rPr>
      </w:pPr>
    </w:p>
    <w:p w:rsidR="00706B64" w:rsidRDefault="00DD7B41" w:rsidP="00FF0070">
      <w:pPr>
        <w:spacing w:line="360" w:lineRule="auto"/>
        <w:ind w:firstLine="708"/>
        <w:jc w:val="both"/>
        <w:rPr>
          <w:rFonts w:cs="Arial"/>
        </w:rPr>
      </w:pPr>
      <w:r>
        <w:rPr>
          <w:rFonts w:cs="Arial"/>
        </w:rPr>
        <w:t>Concluye</w:t>
      </w:r>
      <w:r w:rsidR="00706B64">
        <w:rPr>
          <w:rFonts w:cs="Arial"/>
        </w:rPr>
        <w:t xml:space="preserve"> que </w:t>
      </w:r>
      <w:r w:rsidR="003C7435">
        <w:rPr>
          <w:rFonts w:cs="Arial"/>
        </w:rPr>
        <w:t>presenta esta reforma con el fin de que el abandono de los adultos mayores sea perseguido de oficio y no esperar a que sea denunciado por ellos o por otras personas, para que con ello, quienes están a cargo de los adultos mayores, tomen mayor conciencia y cuiden a estas personas que en su momento dieron todo por nosotros.</w:t>
      </w:r>
    </w:p>
    <w:p w:rsidR="003D126E" w:rsidRPr="001E65E6" w:rsidRDefault="003D126E" w:rsidP="00771960">
      <w:pPr>
        <w:spacing w:line="360" w:lineRule="auto"/>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sidR="005A5081">
        <w:rPr>
          <w:rFonts w:cs="Arial"/>
          <w:lang w:val="es-MX"/>
        </w:rPr>
        <w:t>ón, y 39, fracción III, inciso A</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813E42" w:rsidRDefault="007161E4" w:rsidP="007161E4">
      <w:pPr>
        <w:spacing w:line="360" w:lineRule="auto"/>
        <w:ind w:firstLine="708"/>
        <w:jc w:val="both"/>
      </w:pPr>
      <w:r>
        <w:t>Esta Comisión comparte el sentir y preocupación de</w:t>
      </w:r>
      <w:r w:rsidR="00813E42">
        <w:t xml:space="preserve"> </w:t>
      </w:r>
      <w:r>
        <w:t>l</w:t>
      </w:r>
      <w:r w:rsidR="00813E42">
        <w:t xml:space="preserve">a </w:t>
      </w:r>
      <w:r>
        <w:t>iniciante en relación a ese tipo de conducta ya que muestra una actitud de franca indiferencia y de irrespeto para con la salud y la vida, sin embargo, m</w:t>
      </w:r>
      <w:r w:rsidR="00813E42">
        <w:t>ás allá de configurar un delito</w:t>
      </w:r>
      <w:r>
        <w:t xml:space="preserve"> </w:t>
      </w:r>
      <w:r w:rsidR="00813E42">
        <w:t xml:space="preserve">es una </w:t>
      </w:r>
      <w:r>
        <w:t>obligación no sólo legal sino moral, que debe motorizar la acción positiva concreta de auxilio hacia un ser desvalido.</w:t>
      </w:r>
    </w:p>
    <w:p w:rsidR="00813E42" w:rsidRDefault="00813E42" w:rsidP="007161E4">
      <w:pPr>
        <w:spacing w:line="360" w:lineRule="auto"/>
        <w:ind w:firstLine="708"/>
        <w:jc w:val="both"/>
      </w:pPr>
    </w:p>
    <w:p w:rsidR="007161E4" w:rsidRDefault="007161E4" w:rsidP="007161E4">
      <w:pPr>
        <w:spacing w:line="360" w:lineRule="auto"/>
        <w:ind w:firstLine="708"/>
        <w:jc w:val="both"/>
      </w:pPr>
      <w:r>
        <w:t xml:space="preserve">Para el caso de ministrar alimentos </w:t>
      </w:r>
      <w:r w:rsidR="00813E42">
        <w:t>y</w:t>
      </w:r>
      <w:r>
        <w:t xml:space="preserve">a </w:t>
      </w:r>
      <w:r w:rsidR="00813E42">
        <w:t>sea a</w:t>
      </w:r>
      <w:r>
        <w:t xml:space="preserve"> cónyuges, ascendientes, o enfermos, es necesario referir que la materia ya está cubierta en la Legislación Civil Estatal, en el Título Sexto denominado del “DEL PARENTESCO Y DE LOS ALIMENTOS”, específicamente en el Capítulo II de los Alimentos, el cual en esencia señala que la obligación de dar alimentos es recíproca, es decir el que los da tiene a su vez el derecho de pedirlos, tomando en cuenta si fueren varios los que deben dar los alimentos y todos tuvieren posibilidad para hacerlo, el juez repartirá el importe entre ellos, en proporción a sus haberes. Ahora bien en relación a la propuesta de tipificar el abandono, o dejar en estado de indefensión en que se encuentra una persona como presupuesto básico que nos permite accionar los alcances de la respuesta que la Ley Penal ofrece a quien la infringe, tomándose en particular consideración el especial estado de vulnerabilidad en que deja a la persona en estado de víctima, toda vez que la acción típica no consiste en abandonar (verbo que significa desentenderse, dejar de lado un objeto, un interés o una obligación, desamparar o resignar), pues para que se consume el delito esta acción debe poner en peligro la vida o la salud de otro al colocarlo en situación de desamparo o abandonar a su suerte.</w:t>
      </w:r>
    </w:p>
    <w:p w:rsidR="007161E4" w:rsidRDefault="007161E4" w:rsidP="007161E4">
      <w:pPr>
        <w:spacing w:line="360" w:lineRule="auto"/>
        <w:ind w:firstLine="708"/>
        <w:jc w:val="both"/>
      </w:pPr>
      <w:r>
        <w:lastRenderedPageBreak/>
        <w:t xml:space="preserve">En este sentido es de referir que la acción penal se activa con la situación de peligro producto del desamparo o el abandono, que no fue cubierto por la acción civil y produzca el riesgo efectivo, ya que el simple hecho de apartarse del sujeto pasivo no constituye delito, si existen terceros que asumen el cuidado, haciendo así que la vida o la salud no hayan estado comprometidas. Esta Comisión considera lamentablemente el abandono que sufren muchas personas que padecen situaciones de salud críticas en instituciones públicas como hospitales, asilos y clínicas es un fenómeno social real. Estos casos son particularmente graves cuando los sujetos que lo llevan a cabo son familiares de la víctima, ya que este tipo de acciones no solo dañan a la familia, sino a la sociedad en general. Siendo la familia el núcleo de la sociedad, el abandono de familiares en estado vulnerable constituye una lesión a la colectividad, sin embargo es necesario referir, que el delito de abandono de persona desvalida, ya </w:t>
      </w:r>
      <w:r w:rsidR="00A32CAF">
        <w:t xml:space="preserve">se encuentra regulada por crear bajo un </w:t>
      </w:r>
      <w:r>
        <w:t xml:space="preserve">incumplimiento </w:t>
      </w:r>
      <w:r w:rsidR="00A32CAF">
        <w:t>una</w:t>
      </w:r>
      <w:r>
        <w:t xml:space="preserve"> situación de peligro, y es entonces donde genera la responsabilidad penal propia de este delito. En tal sentido resulta conveniente trascribir el contenido del delito de abandono de personas desvalidas, mismo que se encuentra tipificado en el Capítulo II del título Décimo Sexto de los denominados Delitos de Peligro que a la letra dice los siguientes: </w:t>
      </w:r>
    </w:p>
    <w:p w:rsidR="009F09DF" w:rsidRDefault="009F09DF" w:rsidP="007161E4">
      <w:pPr>
        <w:spacing w:line="360" w:lineRule="auto"/>
        <w:ind w:firstLine="708"/>
        <w:jc w:val="both"/>
      </w:pPr>
    </w:p>
    <w:p w:rsidR="009F09DF" w:rsidRDefault="009F09DF" w:rsidP="007161E4">
      <w:pPr>
        <w:spacing w:line="360" w:lineRule="auto"/>
        <w:ind w:firstLine="708"/>
        <w:jc w:val="both"/>
      </w:pPr>
    </w:p>
    <w:p w:rsidR="009F09DF" w:rsidRDefault="009F09DF" w:rsidP="007161E4">
      <w:pPr>
        <w:spacing w:line="360" w:lineRule="auto"/>
        <w:ind w:firstLine="708"/>
        <w:jc w:val="both"/>
      </w:pPr>
    </w:p>
    <w:p w:rsidR="009F09DF" w:rsidRDefault="009F09DF" w:rsidP="007161E4">
      <w:pPr>
        <w:spacing w:line="360" w:lineRule="auto"/>
        <w:ind w:firstLine="708"/>
        <w:jc w:val="both"/>
      </w:pPr>
    </w:p>
    <w:p w:rsidR="009F09DF" w:rsidRDefault="009F09DF" w:rsidP="007161E4">
      <w:pPr>
        <w:spacing w:line="360" w:lineRule="auto"/>
        <w:ind w:firstLine="708"/>
        <w:jc w:val="both"/>
      </w:pPr>
    </w:p>
    <w:p w:rsidR="00813E42" w:rsidRDefault="00813E42" w:rsidP="007161E4">
      <w:pPr>
        <w:spacing w:line="360" w:lineRule="auto"/>
        <w:ind w:firstLine="708"/>
        <w:jc w:val="center"/>
      </w:pPr>
    </w:p>
    <w:p w:rsidR="007161E4" w:rsidRDefault="007161E4" w:rsidP="007161E4">
      <w:pPr>
        <w:spacing w:line="360" w:lineRule="auto"/>
        <w:ind w:firstLine="708"/>
        <w:jc w:val="center"/>
      </w:pPr>
      <w:r>
        <w:lastRenderedPageBreak/>
        <w:t>“CAPITULO II</w:t>
      </w:r>
    </w:p>
    <w:p w:rsidR="007161E4" w:rsidRDefault="007161E4" w:rsidP="007161E4">
      <w:pPr>
        <w:spacing w:line="360" w:lineRule="auto"/>
        <w:ind w:firstLine="708"/>
        <w:jc w:val="center"/>
      </w:pPr>
      <w:r>
        <w:t>ABANDONO DE PERSONAS (REFORMADO, P.O. 10 DE SEPTIEMBRE DE 2006)</w:t>
      </w:r>
    </w:p>
    <w:p w:rsidR="00813E42" w:rsidRDefault="00813E42" w:rsidP="007161E4">
      <w:pPr>
        <w:spacing w:line="360" w:lineRule="auto"/>
        <w:ind w:firstLine="708"/>
        <w:jc w:val="center"/>
      </w:pPr>
    </w:p>
    <w:p w:rsidR="00B66FBF" w:rsidRDefault="007161E4" w:rsidP="00B66FBF">
      <w:pPr>
        <w:spacing w:line="360" w:lineRule="auto"/>
        <w:ind w:firstLine="708"/>
        <w:jc w:val="both"/>
      </w:pPr>
      <w:r>
        <w:t xml:space="preserve"> ARTÍCULO 335.- AL QUE TENIENDO OBLIGACIÓN DE CUIDARLO ABANDONE A UNO O MÁS MENORES, A UNA O MÁS PERSONAS ENFERMAS, </w:t>
      </w:r>
      <w:r w:rsidRPr="00813E42">
        <w:rPr>
          <w:b/>
        </w:rPr>
        <w:t>O UNA O MÁS PERSONAS ADULTAS MAYORES,</w:t>
      </w:r>
      <w:r>
        <w:t xml:space="preserve"> INCAPACES DE CUIDARSE A SÍ MISMOS, SE LE APLICARÁ DE UN MES A CUATRO AÑOS DE PRISIÓN, Y MULTA DE VEINTE A CIEN CUOTAS SI NO RESULTARE LESIONADO. PARA EL CASO DE QUE RESULTARA ALGUNA LESIÓN GRAVE A LA PERSONA O PERSONAS ABANDONADAS, SE LE APLICARÁN DE CINCO MESES A CINCO AÑOS DE PRISIÓN Y MULTA DE CUARENTA A DOSCIENTAS CUOTAS. 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 (ADICIONADO P.O. 10 DE SEPTIEMBRE DE 2006) ARTÍCULO 336 BIS.- AL QUE TENIENDO LA OBLIGACIÓN DE CUIDAR A UN MENOR O A OTRA PERSONA QUE NO PUEDA CUIDARSE A SÍ MISMA, EN VIRTUD DE SU ESTADO DE SALUD O FÍSICO, LO ABANDONE EN FORMA EN LA QUE SE VEA EXPUESTO A UN PELIGRO CUALQUIERA, SE LE APLICARÁ DE UNO A SIETE AÑOS DE PRISIÓN Y UNA MULTA DE </w:t>
      </w:r>
      <w:r>
        <w:lastRenderedPageBreak/>
        <w:t xml:space="preserve">TREINTA A TRESCIENTAS CUOTAS, CUANDO NO RESULTARE LESIONADO. PARA EL CASO DE QUE RESULTARA ALGUNA LESIÓN GRAVE A LA PERSONA O PERSONAS ABANDONADAS, SE LE APLICARÁN DE DOS A NUEVE AÑOS DE PRISIÓN Y MULTA DE SESENTA A CUATROCIENTAS CUOTAS. ARTICULO 337.- EL AUTOMOVILISTA, MOTOCICLISTA, CONDUCTOR DE UN VEHICULO CUALQUIERA, CICLISTA O JINETE, QUE DEJE EN ESTADO DE ABANDONO, SIN PRESTARLE O FACILITARLE ASISTENCIA A PERSONA A QUIEN ATROPELLO, POR IMPRUDENCIA O ACCIDENTE, SERA CASTIGADO CON SEIS MESES A DOS AÑOS DE PRISION”. </w:t>
      </w:r>
    </w:p>
    <w:p w:rsidR="001709A6" w:rsidRDefault="001709A6" w:rsidP="001709A6">
      <w:pPr>
        <w:spacing w:line="360" w:lineRule="auto"/>
        <w:jc w:val="both"/>
        <w:rPr>
          <w:rFonts w:cs="Arial"/>
          <w:lang w:val="es-MX"/>
        </w:rPr>
      </w:pPr>
    </w:p>
    <w:p w:rsidR="001709A6" w:rsidRDefault="001709A6" w:rsidP="001709A6">
      <w:pPr>
        <w:spacing w:line="360" w:lineRule="auto"/>
        <w:ind w:firstLine="708"/>
        <w:jc w:val="both"/>
        <w:rPr>
          <w:rFonts w:cs="Arial"/>
          <w:lang w:val="es-MX"/>
        </w:rPr>
      </w:pPr>
      <w:r>
        <w:rPr>
          <w:rFonts w:cs="Arial"/>
          <w:lang w:val="es-MX"/>
        </w:rPr>
        <w:t>Ahora bien, abordando la otra propuesta de la promovente, es de referir que l</w:t>
      </w:r>
      <w:r w:rsidRPr="001709A6">
        <w:rPr>
          <w:rFonts w:cs="Arial"/>
          <w:lang w:val="es-MX"/>
        </w:rPr>
        <w:t xml:space="preserve">a oficiosidad consiste en que la administración de justicia es función del estado, al cual corresponde </w:t>
      </w:r>
      <w:r>
        <w:rPr>
          <w:rFonts w:cs="Arial"/>
          <w:lang w:val="es-MX"/>
        </w:rPr>
        <w:t>a</w:t>
      </w:r>
      <w:r w:rsidRPr="001709A6">
        <w:rPr>
          <w:rFonts w:cs="Arial"/>
          <w:lang w:val="es-MX"/>
        </w:rPr>
        <w:t>l poder</w:t>
      </w:r>
      <w:r>
        <w:rPr>
          <w:rFonts w:cs="Arial"/>
          <w:lang w:val="es-MX"/>
        </w:rPr>
        <w:t xml:space="preserve">-deber de ejercerla, sin embargo el </w:t>
      </w:r>
      <w:r w:rsidRPr="001709A6">
        <w:rPr>
          <w:rFonts w:cs="Arial"/>
          <w:lang w:val="es-MX"/>
        </w:rPr>
        <w:t>campo penal, implica represión contra el infractor de la norma</w:t>
      </w:r>
      <w:r>
        <w:rPr>
          <w:rFonts w:cs="Arial"/>
          <w:lang w:val="es-MX"/>
        </w:rPr>
        <w:t>.</w:t>
      </w:r>
    </w:p>
    <w:p w:rsidR="001709A6" w:rsidRDefault="001709A6" w:rsidP="001709A6">
      <w:pPr>
        <w:spacing w:line="360" w:lineRule="auto"/>
        <w:ind w:firstLine="708"/>
        <w:jc w:val="both"/>
        <w:rPr>
          <w:rFonts w:cs="Arial"/>
          <w:lang w:val="es-MX"/>
        </w:rPr>
      </w:pPr>
    </w:p>
    <w:p w:rsidR="00F276B0" w:rsidRPr="00A46EBB" w:rsidRDefault="001709A6" w:rsidP="001709A6">
      <w:pPr>
        <w:spacing w:line="360" w:lineRule="auto"/>
        <w:ind w:firstLine="708"/>
        <w:jc w:val="both"/>
        <w:rPr>
          <w:rFonts w:cs="Arial"/>
          <w:lang w:val="es-MX"/>
        </w:rPr>
      </w:pPr>
      <w:r>
        <w:rPr>
          <w:rFonts w:cs="Arial"/>
          <w:lang w:val="es-MX"/>
        </w:rPr>
        <w:t>Ahora bien, e</w:t>
      </w:r>
      <w:r w:rsidRPr="001709A6">
        <w:rPr>
          <w:rFonts w:cs="Arial"/>
          <w:lang w:val="es-MX"/>
        </w:rPr>
        <w:t>l derecho penal y el procesal penal, tienen el carácter público, sin perjuicio del enjuiciamiento que requiere previa acción privada o instancia particular</w:t>
      </w:r>
      <w:r>
        <w:rPr>
          <w:rFonts w:cs="Arial"/>
          <w:lang w:val="es-MX"/>
        </w:rPr>
        <w:t xml:space="preserve">, en relación a las Instituciones de cuidado del adulto mayor, </w:t>
      </w:r>
      <w:r w:rsidRPr="001709A6">
        <w:rPr>
          <w:rFonts w:cs="Arial"/>
          <w:lang w:val="es-MX"/>
        </w:rPr>
        <w:t>consideramos que la solicitud de</w:t>
      </w:r>
      <w:r>
        <w:rPr>
          <w:rFonts w:cs="Arial"/>
          <w:lang w:val="es-MX"/>
        </w:rPr>
        <w:t xml:space="preserve"> </w:t>
      </w:r>
      <w:r w:rsidRPr="001709A6">
        <w:rPr>
          <w:rFonts w:cs="Arial"/>
          <w:lang w:val="es-MX"/>
        </w:rPr>
        <w:t>l</w:t>
      </w:r>
      <w:r>
        <w:rPr>
          <w:rFonts w:cs="Arial"/>
          <w:lang w:val="es-MX"/>
        </w:rPr>
        <w:t>a</w:t>
      </w:r>
      <w:r w:rsidRPr="001709A6">
        <w:rPr>
          <w:rFonts w:cs="Arial"/>
          <w:lang w:val="es-MX"/>
        </w:rPr>
        <w:t xml:space="preserve"> promovente se encuentra cubierta por la legislación de nuestro estado, pues cabe hacer mención que la </w:t>
      </w:r>
      <w:r>
        <w:rPr>
          <w:rFonts w:cs="Arial"/>
          <w:lang w:val="es-MX"/>
        </w:rPr>
        <w:t>L</w:t>
      </w:r>
      <w:r w:rsidRPr="001709A6">
        <w:rPr>
          <w:rFonts w:cs="Arial"/>
          <w:lang w:val="es-MX"/>
        </w:rPr>
        <w:t xml:space="preserve">ey de </w:t>
      </w:r>
      <w:r>
        <w:rPr>
          <w:rFonts w:cs="Arial"/>
          <w:lang w:val="es-MX"/>
        </w:rPr>
        <w:t>I</w:t>
      </w:r>
      <w:r w:rsidRPr="001709A6">
        <w:rPr>
          <w:rFonts w:cs="Arial"/>
          <w:lang w:val="es-MX"/>
        </w:rPr>
        <w:t xml:space="preserve">nstituciones </w:t>
      </w:r>
      <w:r>
        <w:rPr>
          <w:rFonts w:cs="Arial"/>
          <w:lang w:val="es-MX"/>
        </w:rPr>
        <w:t>A</w:t>
      </w:r>
      <w:r w:rsidRPr="001709A6">
        <w:rPr>
          <w:rFonts w:cs="Arial"/>
          <w:lang w:val="es-MX"/>
        </w:rPr>
        <w:t xml:space="preserve">sistenciales </w:t>
      </w:r>
      <w:r>
        <w:rPr>
          <w:rFonts w:cs="Arial"/>
          <w:lang w:val="es-MX"/>
        </w:rPr>
        <w:t>P</w:t>
      </w:r>
      <w:r w:rsidRPr="001709A6">
        <w:rPr>
          <w:rFonts w:cs="Arial"/>
          <w:lang w:val="es-MX"/>
        </w:rPr>
        <w:t xml:space="preserve">úblicas y </w:t>
      </w:r>
      <w:r>
        <w:rPr>
          <w:rFonts w:cs="Arial"/>
          <w:lang w:val="es-MX"/>
        </w:rPr>
        <w:t>P</w:t>
      </w:r>
      <w:r w:rsidRPr="001709A6">
        <w:rPr>
          <w:rFonts w:cs="Arial"/>
          <w:lang w:val="es-MX"/>
        </w:rPr>
        <w:t xml:space="preserve">rivadas para las personas adultas mayores en el </w:t>
      </w:r>
      <w:r>
        <w:rPr>
          <w:rFonts w:cs="Arial"/>
          <w:lang w:val="es-MX"/>
        </w:rPr>
        <w:t>E</w:t>
      </w:r>
      <w:r w:rsidRPr="001709A6">
        <w:rPr>
          <w:rFonts w:cs="Arial"/>
          <w:lang w:val="es-MX"/>
        </w:rPr>
        <w:t xml:space="preserve">stado de </w:t>
      </w:r>
      <w:r>
        <w:rPr>
          <w:rFonts w:cs="Arial"/>
          <w:lang w:val="es-MX"/>
        </w:rPr>
        <w:t>N</w:t>
      </w:r>
      <w:r w:rsidRPr="001709A6">
        <w:rPr>
          <w:rFonts w:cs="Arial"/>
          <w:lang w:val="es-MX"/>
        </w:rPr>
        <w:t xml:space="preserve">uevo </w:t>
      </w:r>
      <w:r>
        <w:rPr>
          <w:rFonts w:cs="Arial"/>
          <w:lang w:val="es-MX"/>
        </w:rPr>
        <w:t>L</w:t>
      </w:r>
      <w:r w:rsidRPr="001709A6">
        <w:rPr>
          <w:rFonts w:cs="Arial"/>
          <w:lang w:val="es-MX"/>
        </w:rPr>
        <w:t xml:space="preserve">eón, establece obligaciones para las </w:t>
      </w:r>
      <w:r>
        <w:rPr>
          <w:rFonts w:cs="Arial"/>
          <w:lang w:val="es-MX"/>
        </w:rPr>
        <w:t>I</w:t>
      </w:r>
      <w:r w:rsidRPr="001709A6">
        <w:rPr>
          <w:rFonts w:cs="Arial"/>
          <w:lang w:val="es-MX"/>
        </w:rPr>
        <w:t xml:space="preserve">nstituciones de asistencia a adultos mayores, entre ellas, el artículo 10 en su fracción x, establece la obligación de informar inmediatamente a la autoridad </w:t>
      </w:r>
      <w:r w:rsidRPr="001709A6">
        <w:rPr>
          <w:rFonts w:cs="Arial"/>
          <w:lang w:val="es-MX"/>
        </w:rPr>
        <w:lastRenderedPageBreak/>
        <w:t>correspondiente, cuando tengan conocimiento de que peligre la integridad física, psicológica o la seguridad jurídica de alguna persona adulta mayor; y por su parte el diverso artículo 36, establece que cuando los familiares del residente, incumplan con las obligaciones y atenciones, que requiere la persona adulta mayor, dejándolo en estado de abandono y omisión de atención por más de noventa días el representante legal de la institución de asistencia, deberá denunciar los hechos ante el ministerio público, dando vista de inmediato a la procuraduría.</w:t>
      </w:r>
    </w:p>
    <w:p w:rsidR="001709A6" w:rsidRDefault="001709A6" w:rsidP="00F276B0">
      <w:pPr>
        <w:spacing w:line="360" w:lineRule="auto"/>
        <w:ind w:firstLine="708"/>
        <w:jc w:val="both"/>
        <w:rPr>
          <w:rFonts w:cs="Arial"/>
          <w:bCs/>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813E42" w:rsidRDefault="00813E42" w:rsidP="00813E42">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813E42" w:rsidRDefault="00813E42" w:rsidP="00813E42">
      <w:pPr>
        <w:autoSpaceDE w:val="0"/>
        <w:autoSpaceDN w:val="0"/>
        <w:adjustRightInd w:val="0"/>
        <w:spacing w:line="360" w:lineRule="auto"/>
        <w:jc w:val="center"/>
        <w:rPr>
          <w:rFonts w:cs="Arial"/>
          <w:b/>
          <w:bCs/>
          <w:color w:val="000000"/>
          <w:sz w:val="14"/>
          <w:lang w:eastAsia="es-MX"/>
        </w:rPr>
      </w:pPr>
    </w:p>
    <w:p w:rsidR="00813E42" w:rsidRPr="00A9738F" w:rsidRDefault="00813E42" w:rsidP="00813E42">
      <w:pPr>
        <w:autoSpaceDE w:val="0"/>
        <w:autoSpaceDN w:val="0"/>
        <w:adjustRightInd w:val="0"/>
        <w:spacing w:line="360" w:lineRule="auto"/>
        <w:ind w:firstLine="708"/>
        <w:jc w:val="both"/>
        <w:rPr>
          <w:rFonts w:cs="Arial"/>
          <w:bCs/>
          <w:lang w:val="es-MX"/>
        </w:rPr>
      </w:pPr>
      <w:r w:rsidRPr="00A9738F">
        <w:rPr>
          <w:rFonts w:cs="Arial"/>
          <w:b/>
          <w:bCs/>
          <w:lang w:val="es-MX"/>
        </w:rPr>
        <w:t>PRIMERO.-</w:t>
      </w:r>
      <w:r w:rsidRPr="00A9738F">
        <w:rPr>
          <w:rFonts w:cs="Arial"/>
          <w:bCs/>
          <w:lang w:val="es-MX"/>
        </w:rPr>
        <w:t xml:space="preserve"> Se da por atendida la Iniciativa de reforma </w:t>
      </w:r>
      <w:r>
        <w:rPr>
          <w:rFonts w:cs="Arial"/>
          <w:bCs/>
          <w:lang w:val="es-MX"/>
        </w:rPr>
        <w:t>al Código Penal</w:t>
      </w:r>
      <w:r w:rsidRPr="00A9738F">
        <w:rPr>
          <w:rFonts w:cs="Arial"/>
          <w:bCs/>
          <w:lang w:val="es-MX"/>
        </w:rPr>
        <w:t>,  por las razones contenidas en el presente dictamen.</w:t>
      </w:r>
    </w:p>
    <w:p w:rsidR="00813E42" w:rsidRDefault="00813E42" w:rsidP="00813E42">
      <w:pPr>
        <w:autoSpaceDE w:val="0"/>
        <w:autoSpaceDN w:val="0"/>
        <w:adjustRightInd w:val="0"/>
        <w:spacing w:line="360" w:lineRule="auto"/>
        <w:jc w:val="center"/>
        <w:rPr>
          <w:rFonts w:ascii="Arial-BoldMT" w:eastAsia="Calibri" w:hAnsi="Arial-BoldMT" w:cs="Arial-BoldMT"/>
          <w:b/>
          <w:bCs/>
          <w:lang w:val="es-MX" w:eastAsia="en-US"/>
        </w:rPr>
      </w:pPr>
    </w:p>
    <w:p w:rsidR="00813E42" w:rsidRDefault="00813E42" w:rsidP="00813E42">
      <w:pPr>
        <w:autoSpaceDE w:val="0"/>
        <w:autoSpaceDN w:val="0"/>
        <w:adjustRightInd w:val="0"/>
        <w:spacing w:line="360" w:lineRule="auto"/>
        <w:jc w:val="center"/>
        <w:rPr>
          <w:rFonts w:cs="Arial"/>
          <w:b/>
          <w:bCs/>
          <w:color w:val="000000"/>
          <w:sz w:val="14"/>
          <w:lang w:eastAsia="es-MX"/>
        </w:rPr>
      </w:pPr>
      <w:r>
        <w:rPr>
          <w:rFonts w:ascii="Arial-BoldMT" w:eastAsia="Calibri" w:hAnsi="Arial-BoldMT" w:cs="Arial-BoldMT"/>
          <w:b/>
          <w:bCs/>
          <w:lang w:val="es-MX" w:eastAsia="en-US"/>
        </w:rPr>
        <w:t xml:space="preserve">SEGUNDO. </w:t>
      </w:r>
      <w:r>
        <w:rPr>
          <w:rFonts w:ascii="ArialMT" w:eastAsia="Calibri" w:hAnsi="ArialMT" w:cs="ArialMT"/>
          <w:lang w:val="es-MX" w:eastAsia="en-US"/>
        </w:rPr>
        <w:t>Archívese y téngase por concluido el presente asunto.</w:t>
      </w:r>
    </w:p>
    <w:p w:rsidR="00813E42" w:rsidRPr="0083193E" w:rsidRDefault="00813E42" w:rsidP="00813E42">
      <w:pPr>
        <w:autoSpaceDE w:val="0"/>
        <w:autoSpaceDN w:val="0"/>
        <w:adjustRightInd w:val="0"/>
        <w:spacing w:line="360" w:lineRule="auto"/>
        <w:jc w:val="center"/>
        <w:rPr>
          <w:rFonts w:cs="Arial"/>
          <w:b/>
          <w:bCs/>
          <w:color w:val="000000"/>
          <w:sz w:val="14"/>
          <w:lang w:eastAsia="es-MX"/>
        </w:rPr>
      </w:pPr>
    </w:p>
    <w:p w:rsidR="00FF0070" w:rsidRPr="00076F21" w:rsidRDefault="00FF0070" w:rsidP="00FF0070">
      <w:pPr>
        <w:spacing w:line="360" w:lineRule="auto"/>
        <w:jc w:val="both"/>
        <w:rPr>
          <w:rFonts w:cs="Arial"/>
          <w:b/>
          <w:sz w:val="8"/>
        </w:rPr>
      </w:pPr>
    </w:p>
    <w:p w:rsidR="00FF0070" w:rsidRPr="00866B7A" w:rsidRDefault="00FF0070"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9F09DF" w:rsidRDefault="009F09DF" w:rsidP="00FF0070">
      <w:pPr>
        <w:spacing w:line="360" w:lineRule="auto"/>
        <w:jc w:val="center"/>
        <w:rPr>
          <w:rFonts w:cs="Arial"/>
          <w:b/>
        </w:rPr>
      </w:pPr>
    </w:p>
    <w:p w:rsidR="00FF0070" w:rsidRDefault="00FF0070" w:rsidP="00FF0070">
      <w:pPr>
        <w:jc w:val="center"/>
        <w:rPr>
          <w:rFonts w:cs="Arial"/>
          <w:b/>
          <w:bCs/>
        </w:rPr>
      </w:pPr>
      <w:r w:rsidRPr="003B7662">
        <w:rPr>
          <w:rFonts w:cs="Arial"/>
          <w:b/>
          <w:bCs/>
        </w:rPr>
        <w:lastRenderedPageBreak/>
        <w:t>Comisión de Justicia y Seguridad Pública</w:t>
      </w: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9F09DF" w:rsidP="009A4C92">
            <w:pPr>
              <w:jc w:val="center"/>
              <w:rPr>
                <w:rFonts w:cs="Arial"/>
              </w:rPr>
            </w:pPr>
            <w:r>
              <w:rPr>
                <w:rFonts w:cs="Arial"/>
              </w:rPr>
              <w:t>Eva Patricia Salazar Marroquín</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9F09DF"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 Barrón Perales</w:t>
            </w: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9F09DF" w:rsidP="009A4C92">
            <w:pPr>
              <w:jc w:val="center"/>
              <w:rPr>
                <w:rFonts w:cs="Arial"/>
              </w:rPr>
            </w:pPr>
            <w:r>
              <w:rPr>
                <w:rFonts w:cs="Arial"/>
              </w:rPr>
              <w:t>Rubén González Cabrie</w:t>
            </w:r>
            <w:bookmarkStart w:id="0" w:name="_GoBack"/>
            <w:bookmarkEnd w:id="0"/>
            <w:r w:rsidR="00FF0070">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9F09DF">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6" w:rsidRDefault="008619C6" w:rsidP="007D6689">
      <w:r>
        <w:separator/>
      </w:r>
    </w:p>
  </w:endnote>
  <w:endnote w:type="continuationSeparator" w:id="0">
    <w:p w:rsidR="008619C6" w:rsidRDefault="008619C6"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771960" w:rsidRPr="00771960" w:rsidRDefault="00771960" w:rsidP="00771960">
    <w:pPr>
      <w:pStyle w:val="Piedepgina"/>
      <w:jc w:val="center"/>
      <w:rPr>
        <w:rFonts w:cs="Arial"/>
        <w:b/>
        <w:sz w:val="16"/>
        <w:szCs w:val="16"/>
      </w:rPr>
    </w:pPr>
    <w:r w:rsidRPr="00022507">
      <w:rPr>
        <w:rFonts w:cs="Arial"/>
        <w:b/>
        <w:sz w:val="16"/>
        <w:szCs w:val="16"/>
      </w:rPr>
      <w:t>Expediente</w:t>
    </w:r>
    <w:r>
      <w:rPr>
        <w:rFonts w:cs="Arial"/>
        <w:b/>
        <w:sz w:val="16"/>
        <w:szCs w:val="16"/>
      </w:rPr>
      <w:t xml:space="preserve"> </w:t>
    </w:r>
    <w:r w:rsidR="006277A0">
      <w:rPr>
        <w:rFonts w:cs="Arial"/>
        <w:b/>
        <w:sz w:val="16"/>
        <w:szCs w:val="16"/>
      </w:rPr>
      <w:t>10094</w:t>
    </w:r>
    <w:r>
      <w:rPr>
        <w:rFonts w:cs="Arial"/>
        <w:b/>
        <w:sz w:val="16"/>
        <w:szCs w:val="16"/>
      </w:rPr>
      <w:t>/LXXIV</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9F09DF">
      <w:rPr>
        <w:noProof/>
        <w:sz w:val="16"/>
        <w:szCs w:val="16"/>
      </w:rPr>
      <w:t>9</w:t>
    </w:r>
    <w:r w:rsidRPr="0044215A">
      <w:rPr>
        <w:sz w:val="16"/>
        <w:szCs w:val="16"/>
      </w:rPr>
      <w:fldChar w:fldCharType="end"/>
    </w:r>
    <w:r w:rsidRPr="0044215A">
      <w:rPr>
        <w:sz w:val="16"/>
        <w:szCs w:val="16"/>
      </w:rPr>
      <w:t xml:space="preserve"> </w:t>
    </w:r>
    <w:r w:rsidR="009F09DF">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6" w:rsidRDefault="008619C6" w:rsidP="007D6689">
      <w:r>
        <w:separator/>
      </w:r>
    </w:p>
  </w:footnote>
  <w:footnote w:type="continuationSeparator" w:id="0">
    <w:p w:rsidR="008619C6" w:rsidRDefault="008619C6"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C645C"/>
    <w:rsid w:val="001169EA"/>
    <w:rsid w:val="001346E9"/>
    <w:rsid w:val="00165DC7"/>
    <w:rsid w:val="001709A6"/>
    <w:rsid w:val="0017382F"/>
    <w:rsid w:val="001E65E6"/>
    <w:rsid w:val="001F5298"/>
    <w:rsid w:val="00217FF9"/>
    <w:rsid w:val="00223B8E"/>
    <w:rsid w:val="0022457F"/>
    <w:rsid w:val="00242EEF"/>
    <w:rsid w:val="0025524B"/>
    <w:rsid w:val="002B2CF4"/>
    <w:rsid w:val="002E4291"/>
    <w:rsid w:val="002E606F"/>
    <w:rsid w:val="002F1809"/>
    <w:rsid w:val="00310961"/>
    <w:rsid w:val="00311321"/>
    <w:rsid w:val="00347FFD"/>
    <w:rsid w:val="00363044"/>
    <w:rsid w:val="003633C7"/>
    <w:rsid w:val="00387633"/>
    <w:rsid w:val="003C2217"/>
    <w:rsid w:val="003C7435"/>
    <w:rsid w:val="003D126E"/>
    <w:rsid w:val="003E3D98"/>
    <w:rsid w:val="00422C55"/>
    <w:rsid w:val="0049189F"/>
    <w:rsid w:val="004A55E3"/>
    <w:rsid w:val="004C3AFC"/>
    <w:rsid w:val="004F40BB"/>
    <w:rsid w:val="0052373C"/>
    <w:rsid w:val="00545AED"/>
    <w:rsid w:val="005A5081"/>
    <w:rsid w:val="006016E3"/>
    <w:rsid w:val="0061133C"/>
    <w:rsid w:val="006277A0"/>
    <w:rsid w:val="006367EF"/>
    <w:rsid w:val="00683E91"/>
    <w:rsid w:val="0068509D"/>
    <w:rsid w:val="006D5CA2"/>
    <w:rsid w:val="006D7CB3"/>
    <w:rsid w:val="00700ECE"/>
    <w:rsid w:val="00706B64"/>
    <w:rsid w:val="00715713"/>
    <w:rsid w:val="007161E4"/>
    <w:rsid w:val="00771960"/>
    <w:rsid w:val="007740B0"/>
    <w:rsid w:val="007A2321"/>
    <w:rsid w:val="007C3B15"/>
    <w:rsid w:val="007D6689"/>
    <w:rsid w:val="007E788F"/>
    <w:rsid w:val="00806726"/>
    <w:rsid w:val="00813E42"/>
    <w:rsid w:val="00817CD9"/>
    <w:rsid w:val="00830032"/>
    <w:rsid w:val="008619C6"/>
    <w:rsid w:val="00886188"/>
    <w:rsid w:val="008B4D78"/>
    <w:rsid w:val="008D02B1"/>
    <w:rsid w:val="00950B0B"/>
    <w:rsid w:val="009F09DF"/>
    <w:rsid w:val="00A32CAF"/>
    <w:rsid w:val="00A8377E"/>
    <w:rsid w:val="00B225C8"/>
    <w:rsid w:val="00B27F40"/>
    <w:rsid w:val="00B66FBF"/>
    <w:rsid w:val="00B705F5"/>
    <w:rsid w:val="00BD28D7"/>
    <w:rsid w:val="00C0100A"/>
    <w:rsid w:val="00C14B2C"/>
    <w:rsid w:val="00C34AFD"/>
    <w:rsid w:val="00C406FB"/>
    <w:rsid w:val="00CC6AE1"/>
    <w:rsid w:val="00CD7C41"/>
    <w:rsid w:val="00D64A7C"/>
    <w:rsid w:val="00D73C14"/>
    <w:rsid w:val="00DD7B41"/>
    <w:rsid w:val="00DF4409"/>
    <w:rsid w:val="00E014D9"/>
    <w:rsid w:val="00E01C42"/>
    <w:rsid w:val="00E079A4"/>
    <w:rsid w:val="00EB08A2"/>
    <w:rsid w:val="00EC6F7F"/>
    <w:rsid w:val="00ED5A45"/>
    <w:rsid w:val="00ED79E4"/>
    <w:rsid w:val="00EF5373"/>
    <w:rsid w:val="00F10B35"/>
    <w:rsid w:val="00F276B0"/>
    <w:rsid w:val="00F50DE6"/>
    <w:rsid w:val="00F66F40"/>
    <w:rsid w:val="00F812AF"/>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2D97-D13F-4530-BCAE-46E9C7F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Maria Concepcion Sarmiento Salinas</cp:lastModifiedBy>
  <cp:revision>2</cp:revision>
  <cp:lastPrinted>2016-10-03T18:57:00Z</cp:lastPrinted>
  <dcterms:created xsi:type="dcterms:W3CDTF">2016-10-03T18:57:00Z</dcterms:created>
  <dcterms:modified xsi:type="dcterms:W3CDTF">2016-10-03T18:57:00Z</dcterms:modified>
</cp:coreProperties>
</file>