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D45B13" w:rsidRPr="00D45B13" w:rsidRDefault="00B66FBF" w:rsidP="00D45B13">
      <w:pPr>
        <w:spacing w:line="360" w:lineRule="auto"/>
        <w:ind w:firstLine="708"/>
        <w:jc w:val="both"/>
        <w:rPr>
          <w:rFonts w:cs="Arial"/>
          <w:b/>
          <w:lang w:val="es-MX"/>
        </w:rPr>
      </w:pPr>
      <w:r w:rsidRPr="00D45B13">
        <w:rPr>
          <w:rFonts w:cs="Arial"/>
          <w:lang w:val="es-MX"/>
        </w:rPr>
        <w:t xml:space="preserve">A la </w:t>
      </w:r>
      <w:r w:rsidRPr="00D45B13">
        <w:rPr>
          <w:rFonts w:cs="Arial"/>
          <w:b/>
          <w:lang w:val="es-MX"/>
        </w:rPr>
        <w:t>Comisión de Justicia y Seguridad Pública</w:t>
      </w:r>
      <w:r w:rsidRPr="00D45B13">
        <w:rPr>
          <w:rFonts w:cs="Arial"/>
          <w:lang w:val="es-MX"/>
        </w:rPr>
        <w:t>, e</w:t>
      </w:r>
      <w:r w:rsidR="008B4D78" w:rsidRPr="00D45B13">
        <w:rPr>
          <w:rFonts w:cs="Arial"/>
          <w:lang w:val="es-MX"/>
        </w:rPr>
        <w:t xml:space="preserve">n fecha </w:t>
      </w:r>
      <w:r w:rsidR="00D45B13" w:rsidRPr="00D45B13">
        <w:rPr>
          <w:rFonts w:cs="Arial"/>
          <w:b/>
          <w:lang w:val="es-MX"/>
        </w:rPr>
        <w:t>11</w:t>
      </w:r>
      <w:r w:rsidR="00143AB0" w:rsidRPr="00D45B13">
        <w:rPr>
          <w:rFonts w:cs="Arial"/>
          <w:b/>
          <w:lang w:val="es-MX"/>
        </w:rPr>
        <w:t xml:space="preserve"> </w:t>
      </w:r>
      <w:r w:rsidR="004E13D4" w:rsidRPr="00D45B13">
        <w:rPr>
          <w:rFonts w:cs="Arial"/>
          <w:b/>
          <w:lang w:val="es-MX"/>
        </w:rPr>
        <w:t xml:space="preserve">de </w:t>
      </w:r>
      <w:r w:rsidR="00D45B13" w:rsidRPr="00D45B13">
        <w:rPr>
          <w:rFonts w:cs="Arial"/>
          <w:b/>
          <w:lang w:val="es-MX"/>
        </w:rPr>
        <w:t>septiembre</w:t>
      </w:r>
      <w:r w:rsidR="004E13D4" w:rsidRPr="00D45B13">
        <w:rPr>
          <w:rFonts w:cs="Arial"/>
          <w:b/>
          <w:lang w:val="es-MX"/>
        </w:rPr>
        <w:t xml:space="preserve"> de 2017</w:t>
      </w:r>
      <w:r w:rsidR="00A8377E" w:rsidRPr="00D45B13">
        <w:rPr>
          <w:rFonts w:cs="Arial"/>
          <w:lang w:val="es-MX"/>
        </w:rPr>
        <w:t xml:space="preserve"> </w:t>
      </w:r>
      <w:r w:rsidR="00B705F5" w:rsidRPr="00D45B13">
        <w:rPr>
          <w:rFonts w:cs="Arial"/>
          <w:bCs/>
          <w:lang w:val="es-MX"/>
        </w:rPr>
        <w:t xml:space="preserve">se </w:t>
      </w:r>
      <w:r w:rsidR="00B705F5" w:rsidRPr="00D45B13">
        <w:rPr>
          <w:rFonts w:cs="Arial"/>
          <w:lang w:val="es-MX"/>
        </w:rPr>
        <w:t xml:space="preserve">turnó, para su estudio y dictamen, el expediente legislativo </w:t>
      </w:r>
      <w:r w:rsidR="008B4D78" w:rsidRPr="00D45B13">
        <w:rPr>
          <w:rFonts w:cs="Arial"/>
          <w:lang w:val="es-MX"/>
        </w:rPr>
        <w:t xml:space="preserve">número </w:t>
      </w:r>
      <w:r w:rsidR="00545E68" w:rsidRPr="00D45B13">
        <w:rPr>
          <w:rFonts w:cs="Arial"/>
          <w:b/>
          <w:lang w:val="es-MX"/>
        </w:rPr>
        <w:t>1</w:t>
      </w:r>
      <w:r w:rsidR="00143AB0" w:rsidRPr="00D45B13">
        <w:rPr>
          <w:rFonts w:cs="Arial"/>
          <w:b/>
          <w:lang w:val="es-MX"/>
        </w:rPr>
        <w:t>1059</w:t>
      </w:r>
      <w:r w:rsidR="006D7CB3" w:rsidRPr="00D45B13">
        <w:rPr>
          <w:rFonts w:cs="Arial"/>
          <w:b/>
          <w:lang w:val="es-MX"/>
        </w:rPr>
        <w:t>/LXXlV</w:t>
      </w:r>
      <w:r w:rsidR="00A8377E" w:rsidRPr="00D45B13">
        <w:rPr>
          <w:rFonts w:cs="Arial"/>
          <w:b/>
          <w:lang w:val="es-MX"/>
        </w:rPr>
        <w:t xml:space="preserve"> </w:t>
      </w:r>
      <w:r w:rsidR="00B705F5" w:rsidRPr="00D45B13">
        <w:rPr>
          <w:rFonts w:cs="Arial"/>
          <w:lang w:val="es-MX"/>
        </w:rPr>
        <w:t>el cual contiene un escrito signado por</w:t>
      </w:r>
      <w:r w:rsidR="002E4291" w:rsidRPr="00D45B13">
        <w:rPr>
          <w:rFonts w:cs="Arial"/>
          <w:lang w:val="es-MX"/>
        </w:rPr>
        <w:t xml:space="preserve"> </w:t>
      </w:r>
      <w:r w:rsidR="00D45B13" w:rsidRPr="00D45B13">
        <w:rPr>
          <w:rFonts w:cs="Arial"/>
          <w:lang w:val="es-MX"/>
        </w:rPr>
        <w:t xml:space="preserve">el </w:t>
      </w:r>
      <w:r w:rsidR="003D126E" w:rsidRPr="00D45B13">
        <w:rPr>
          <w:rFonts w:cs="Arial"/>
          <w:b/>
          <w:lang w:val="es-MX"/>
        </w:rPr>
        <w:t>C</w:t>
      </w:r>
      <w:r w:rsidR="00545E68" w:rsidRPr="00D45B13">
        <w:rPr>
          <w:rFonts w:cs="Arial"/>
          <w:b/>
          <w:lang w:val="es-MX"/>
        </w:rPr>
        <w:t>.</w:t>
      </w:r>
      <w:r w:rsidR="00DD7B41" w:rsidRPr="00D45B13">
        <w:rPr>
          <w:rFonts w:cs="Arial"/>
          <w:b/>
          <w:lang w:val="es-MX"/>
        </w:rPr>
        <w:t xml:space="preserve"> </w:t>
      </w:r>
      <w:r w:rsidR="00D45B13" w:rsidRPr="00D45B13">
        <w:rPr>
          <w:rFonts w:cs="Arial"/>
          <w:b/>
          <w:lang w:val="es-MX"/>
        </w:rPr>
        <w:t>LIC. JOSE ROLANDO NAVARRO CRUZ</w:t>
      </w:r>
      <w:r w:rsidR="00545E68" w:rsidRPr="00D45B13">
        <w:rPr>
          <w:rFonts w:cs="Arial"/>
          <w:b/>
          <w:lang w:val="es-MX"/>
        </w:rPr>
        <w:t>,</w:t>
      </w:r>
      <w:r w:rsidR="008B4D78" w:rsidRPr="00D45B13">
        <w:rPr>
          <w:rFonts w:cs="Arial"/>
          <w:b/>
          <w:lang w:val="es-MX"/>
        </w:rPr>
        <w:t xml:space="preserve"> </w:t>
      </w:r>
      <w:r w:rsidR="0068509D" w:rsidRPr="00D45B13">
        <w:rPr>
          <w:rFonts w:cs="Arial"/>
          <w:lang w:val="es-MX"/>
        </w:rPr>
        <w:t xml:space="preserve">mediante el cual </w:t>
      </w:r>
      <w:r w:rsidR="008B4D78" w:rsidRPr="00D45B13">
        <w:rPr>
          <w:rFonts w:cs="Arial"/>
          <w:lang w:val="es-MX"/>
        </w:rPr>
        <w:t>presenta</w:t>
      </w:r>
      <w:r w:rsidR="00545E68" w:rsidRPr="00D45B13">
        <w:rPr>
          <w:rFonts w:cs="Arial"/>
          <w:lang w:val="es-MX"/>
        </w:rPr>
        <w:t>n</w:t>
      </w:r>
      <w:r w:rsidR="006D7CB3" w:rsidRPr="00D45B13">
        <w:rPr>
          <w:rFonts w:cs="Arial"/>
          <w:lang w:val="es-MX"/>
        </w:rPr>
        <w:t xml:space="preserve"> </w:t>
      </w:r>
      <w:r w:rsidR="000C645C" w:rsidRPr="00D45B13">
        <w:rPr>
          <w:rFonts w:cs="Arial"/>
          <w:b/>
          <w:lang w:val="es-MX"/>
        </w:rPr>
        <w:t xml:space="preserve">iniciativa </w:t>
      </w:r>
      <w:r w:rsidR="00545E68" w:rsidRPr="00D45B13">
        <w:rPr>
          <w:rFonts w:cs="Arial"/>
          <w:b/>
          <w:lang w:val="es-MX"/>
        </w:rPr>
        <w:t>de</w:t>
      </w:r>
      <w:r w:rsidR="00F9464B" w:rsidRPr="00D45B13">
        <w:rPr>
          <w:rFonts w:cs="Arial"/>
          <w:b/>
          <w:lang w:val="es-MX"/>
        </w:rPr>
        <w:t xml:space="preserve"> reforma </w:t>
      </w:r>
      <w:r w:rsidR="00D45B13" w:rsidRPr="00D45B13">
        <w:t>al artículo 217 del Código de Procedimientos Penales del Estado de Nuevo León, en relación a que el ministerio público pueda desahogar los nuevos datos de prueba ante el juez de la causa.</w:t>
      </w:r>
    </w:p>
    <w:p w:rsidR="00D45B13" w:rsidRPr="00D45B13" w:rsidRDefault="00D45B13" w:rsidP="00A8377E">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 xml:space="preserve">Con el fin de ver </w:t>
      </w:r>
      <w:r w:rsidR="00D45B13" w:rsidRPr="00A46EBB">
        <w:rPr>
          <w:rFonts w:cs="Arial"/>
          <w:lang w:val="es-MX"/>
        </w:rPr>
        <w:t>proveído el</w:t>
      </w:r>
      <w:r w:rsidRPr="00A46EBB">
        <w:rPr>
          <w:rFonts w:cs="Arial"/>
          <w:lang w:val="es-MX"/>
        </w:rPr>
        <w:t xml:space="preserve">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D45B13" w:rsidRDefault="00D45B13" w:rsidP="00D45B13">
      <w:pPr>
        <w:spacing w:line="360" w:lineRule="auto"/>
        <w:ind w:firstLine="708"/>
        <w:jc w:val="both"/>
        <w:rPr>
          <w:rFonts w:cs="Arial"/>
        </w:rPr>
      </w:pPr>
      <w:r>
        <w:rPr>
          <w:rFonts w:cs="Arial"/>
        </w:rPr>
        <w:t xml:space="preserve">El </w:t>
      </w:r>
      <w:r w:rsidR="000C645C">
        <w:rPr>
          <w:rFonts w:cs="Arial"/>
        </w:rPr>
        <w:t xml:space="preserve">Promovente </w:t>
      </w:r>
      <w:r w:rsidR="00757799">
        <w:rPr>
          <w:rFonts w:cs="Arial"/>
        </w:rPr>
        <w:t>s</w:t>
      </w:r>
      <w:r w:rsidR="00886188">
        <w:rPr>
          <w:rFonts w:cs="Arial"/>
        </w:rPr>
        <w:t xml:space="preserve">eñala </w:t>
      </w:r>
      <w:r>
        <w:rPr>
          <w:rFonts w:cs="Arial"/>
        </w:rPr>
        <w:t xml:space="preserve">que en el </w:t>
      </w:r>
      <w:r w:rsidRPr="00D45B13">
        <w:rPr>
          <w:rFonts w:cs="Arial"/>
        </w:rPr>
        <w:t xml:space="preserve">ejercicio de </w:t>
      </w:r>
      <w:r>
        <w:rPr>
          <w:rFonts w:cs="Arial"/>
        </w:rPr>
        <w:t xml:space="preserve">su </w:t>
      </w:r>
      <w:r w:rsidRPr="00D45B13">
        <w:rPr>
          <w:rFonts w:cs="Arial"/>
        </w:rPr>
        <w:t xml:space="preserve">profesión, </w:t>
      </w:r>
      <w:r>
        <w:rPr>
          <w:rFonts w:cs="Arial"/>
        </w:rPr>
        <w:t xml:space="preserve">se </w:t>
      </w:r>
      <w:r w:rsidRPr="00D45B13">
        <w:rPr>
          <w:rFonts w:cs="Arial"/>
        </w:rPr>
        <w:t>percat</w:t>
      </w:r>
      <w:r>
        <w:rPr>
          <w:rFonts w:cs="Arial"/>
        </w:rPr>
        <w:t>ó</w:t>
      </w:r>
      <w:r w:rsidRPr="00D45B13">
        <w:rPr>
          <w:rFonts w:cs="Arial"/>
        </w:rPr>
        <w:t xml:space="preserve"> de contravención </w:t>
      </w:r>
      <w:r>
        <w:rPr>
          <w:rFonts w:cs="Arial"/>
        </w:rPr>
        <w:t xml:space="preserve">ente el </w:t>
      </w:r>
      <w:r w:rsidRPr="00D45B13">
        <w:rPr>
          <w:rFonts w:cs="Arial"/>
        </w:rPr>
        <w:t>artículo 217 del código de</w:t>
      </w:r>
      <w:r>
        <w:rPr>
          <w:rFonts w:cs="Arial"/>
        </w:rPr>
        <w:t xml:space="preserve"> </w:t>
      </w:r>
      <w:r w:rsidRPr="00D45B13">
        <w:rPr>
          <w:rFonts w:cs="Arial"/>
        </w:rPr>
        <w:t>procedimientos penales en vigor en el Estado, con el artículo 1 de la Constitución Política</w:t>
      </w:r>
      <w:r>
        <w:rPr>
          <w:rFonts w:cs="Arial"/>
        </w:rPr>
        <w:t xml:space="preserve"> </w:t>
      </w:r>
      <w:r w:rsidRPr="00D45B13">
        <w:rPr>
          <w:rFonts w:cs="Arial"/>
        </w:rPr>
        <w:t>de los Estados Unidos Mexicanos, lo cual, a decir verdad, no</w:t>
      </w:r>
      <w:r>
        <w:rPr>
          <w:rFonts w:cs="Arial"/>
        </w:rPr>
        <w:t xml:space="preserve"> </w:t>
      </w:r>
      <w:r w:rsidRPr="00D45B13">
        <w:rPr>
          <w:rFonts w:cs="Arial"/>
        </w:rPr>
        <w:t>concuerda con los nuevos</w:t>
      </w:r>
      <w:r>
        <w:rPr>
          <w:rFonts w:cs="Arial"/>
        </w:rPr>
        <w:t xml:space="preserve"> </w:t>
      </w:r>
      <w:r w:rsidRPr="00D45B13">
        <w:rPr>
          <w:rFonts w:cs="Arial"/>
        </w:rPr>
        <w:t xml:space="preserve">paradigmas del sistema de derecho </w:t>
      </w:r>
      <w:r>
        <w:rPr>
          <w:rFonts w:cs="Arial"/>
        </w:rPr>
        <w:t>Me</w:t>
      </w:r>
      <w:r w:rsidRPr="00D45B13">
        <w:rPr>
          <w:rFonts w:cs="Arial"/>
        </w:rPr>
        <w:t>xic</w:t>
      </w:r>
      <w:r>
        <w:rPr>
          <w:rFonts w:cs="Arial"/>
        </w:rPr>
        <w:t>ano</w:t>
      </w:r>
      <w:r w:rsidRPr="00D45B13">
        <w:rPr>
          <w:rFonts w:cs="Arial"/>
        </w:rPr>
        <w:t xml:space="preserve">, ni mucho </w:t>
      </w:r>
      <w:r>
        <w:rPr>
          <w:rFonts w:cs="Arial"/>
        </w:rPr>
        <w:t>m</w:t>
      </w:r>
      <w:r w:rsidRPr="00D45B13">
        <w:rPr>
          <w:rFonts w:cs="Arial"/>
        </w:rPr>
        <w:t>enos con el respeto a los</w:t>
      </w:r>
      <w:r>
        <w:rPr>
          <w:rFonts w:cs="Arial"/>
        </w:rPr>
        <w:t xml:space="preserve"> </w:t>
      </w:r>
      <w:r w:rsidRPr="00D45B13">
        <w:rPr>
          <w:rFonts w:cs="Arial"/>
        </w:rPr>
        <w:t>derechos humanos establecidos en los tratados internación les e inclusive en la Corte</w:t>
      </w:r>
      <w:r>
        <w:rPr>
          <w:rFonts w:cs="Arial"/>
        </w:rPr>
        <w:t xml:space="preserve"> </w:t>
      </w:r>
      <w:r w:rsidRPr="00D45B13">
        <w:rPr>
          <w:rFonts w:cs="Arial"/>
        </w:rPr>
        <w:t>lnteramericana de derechos Humanos</w:t>
      </w:r>
      <w:r>
        <w:rPr>
          <w:rFonts w:cs="Arial"/>
        </w:rPr>
        <w:t xml:space="preserve">, con base en esto es que </w:t>
      </w:r>
      <w:r>
        <w:rPr>
          <w:rFonts w:cs="Arial"/>
        </w:rPr>
        <w:lastRenderedPageBreak/>
        <w:t>presenta la Iniciativa de cuenta</w:t>
      </w:r>
      <w:r w:rsidRPr="00D45B13">
        <w:rPr>
          <w:rFonts w:cs="Arial"/>
        </w:rPr>
        <w:t xml:space="preserve">. </w:t>
      </w:r>
      <w:r w:rsidRPr="00D45B13">
        <w:rPr>
          <w:rFonts w:cs="Arial"/>
        </w:rPr>
        <w:cr/>
      </w:r>
    </w:p>
    <w:p w:rsidR="00B705F5" w:rsidRPr="00B66FBF" w:rsidRDefault="00B705F5" w:rsidP="009308B8">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w:t>
      </w:r>
      <w:r w:rsidR="00D45B13">
        <w:rPr>
          <w:rFonts w:cs="Arial"/>
          <w:lang w:val="es-MX"/>
        </w:rPr>
        <w:t>V</w:t>
      </w:r>
      <w:r w:rsidRPr="00B66FBF">
        <w:rPr>
          <w:rFonts w:cs="Arial"/>
          <w:lang w:val="es-MX"/>
        </w:rPr>
        <w:t>, de la Ley Orgánica del Poder Legislativo del Estado de Nuevo Le</w:t>
      </w:r>
      <w:r w:rsidR="002427CE">
        <w:rPr>
          <w:rFonts w:cs="Arial"/>
          <w:lang w:val="es-MX"/>
        </w:rPr>
        <w:t>ón, y 39, fracción I</w:t>
      </w:r>
      <w:r w:rsidR="00D45B13">
        <w:rPr>
          <w:rFonts w:cs="Arial"/>
          <w:lang w:val="es-MX"/>
        </w:rPr>
        <w:t>V</w:t>
      </w:r>
      <w:r w:rsidR="002427CE">
        <w:rPr>
          <w:rFonts w:cs="Arial"/>
          <w:lang w:val="es-MX"/>
        </w:rPr>
        <w:t>, inciso A</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BC7A35" w:rsidRPr="003010B3" w:rsidRDefault="00BC7A35" w:rsidP="00BC7A35">
      <w:pPr>
        <w:autoSpaceDE w:val="0"/>
        <w:autoSpaceDN w:val="0"/>
        <w:adjustRightInd w:val="0"/>
        <w:spacing w:line="360" w:lineRule="auto"/>
        <w:ind w:firstLine="709"/>
        <w:jc w:val="both"/>
        <w:rPr>
          <w:rFonts w:cs="Arial"/>
        </w:rPr>
      </w:pPr>
      <w:r w:rsidRPr="003010B3">
        <w:rPr>
          <w:rFonts w:cs="Arial"/>
        </w:rPr>
        <w:t xml:space="preserve">En junio de 2008 entró en vigor la Reforma Constitucional de Seguridad y Justicia, que implicó cambios profundos de un modelo inquisitivo a uno acusatorio de justicia penal democrático en México, </w:t>
      </w:r>
      <w:r>
        <w:rPr>
          <w:rFonts w:cs="Arial"/>
        </w:rPr>
        <w:t xml:space="preserve">buscando cumplir con los </w:t>
      </w:r>
      <w:r w:rsidRPr="003010B3">
        <w:rPr>
          <w:rFonts w:cs="Arial"/>
        </w:rPr>
        <w:t>estándares de derechos humanos constitucionalmente reconocidos</w:t>
      </w:r>
      <w:r>
        <w:rPr>
          <w:rFonts w:cs="Arial"/>
        </w:rPr>
        <w:t xml:space="preserve">, estableciéndose </w:t>
      </w:r>
      <w:r w:rsidRPr="003010B3">
        <w:rPr>
          <w:rFonts w:cs="Arial"/>
        </w:rPr>
        <w:t>un plazo de ocho años para su implementación por parte de las instituciones relacionadas con el sistema, por lo cual la meta se fijó para junio de 2016.</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lastRenderedPageBreak/>
        <w:t>En este sentido, y a fin de dar cauce al S</w:t>
      </w:r>
      <w:r w:rsidRPr="003010B3">
        <w:rPr>
          <w:rFonts w:cs="Arial"/>
        </w:rPr>
        <w:t xml:space="preserve">istema </w:t>
      </w:r>
      <w:r>
        <w:rPr>
          <w:rFonts w:cs="Arial"/>
        </w:rPr>
        <w:t xml:space="preserve">Nacional </w:t>
      </w:r>
      <w:r w:rsidRPr="003010B3">
        <w:rPr>
          <w:rFonts w:cs="Arial"/>
        </w:rPr>
        <w:t xml:space="preserve">de </w:t>
      </w:r>
      <w:r>
        <w:rPr>
          <w:rFonts w:cs="Arial"/>
        </w:rPr>
        <w:t>J</w:t>
      </w:r>
      <w:r w:rsidRPr="003010B3">
        <w:rPr>
          <w:rFonts w:cs="Arial"/>
        </w:rPr>
        <w:t xml:space="preserve">usticia </w:t>
      </w:r>
      <w:r>
        <w:rPr>
          <w:rFonts w:cs="Arial"/>
        </w:rPr>
        <w:t>P</w:t>
      </w:r>
      <w:r w:rsidRPr="003010B3">
        <w:rPr>
          <w:rFonts w:cs="Arial"/>
        </w:rPr>
        <w:t>enal</w:t>
      </w:r>
      <w:r>
        <w:rPr>
          <w:rFonts w:cs="Arial"/>
        </w:rPr>
        <w:t xml:space="preserve">,-ahora de corte </w:t>
      </w:r>
      <w:r w:rsidRPr="003010B3">
        <w:rPr>
          <w:rFonts w:cs="Arial"/>
        </w:rPr>
        <w:t>acusatorio</w:t>
      </w:r>
      <w:r>
        <w:rPr>
          <w:rFonts w:cs="Arial"/>
        </w:rPr>
        <w:t xml:space="preserve"> y los procesos </w:t>
      </w:r>
      <w:r w:rsidRPr="003010B3">
        <w:rPr>
          <w:rFonts w:cs="Arial"/>
        </w:rPr>
        <w:t>procesales</w:t>
      </w:r>
      <w:r>
        <w:rPr>
          <w:rFonts w:cs="Arial"/>
        </w:rPr>
        <w:t>-, la federación decidimos que esta facultad sea exclusiva del Congreso federal tal como lo establece el inciso c) de la fracción XXI del artículo 73, el cual a la letra dice:</w:t>
      </w:r>
    </w:p>
    <w:p w:rsidR="00BC7A35"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Pr>
          <w:rFonts w:cs="Arial"/>
        </w:rPr>
        <w:t>“</w:t>
      </w:r>
      <w:r w:rsidRPr="00F21F40">
        <w:rPr>
          <w:rFonts w:cs="Arial"/>
        </w:rPr>
        <w:t>Art. 73.- El Congreso tiene facultad:</w:t>
      </w: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XXI.- Para expedir:</w:t>
      </w:r>
    </w:p>
    <w:p w:rsidR="00BC7A35" w:rsidRPr="00F21F40"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 xml:space="preserve">c) </w:t>
      </w:r>
      <w:r w:rsidRPr="00F21F40">
        <w:rPr>
          <w:rFonts w:cs="Arial"/>
          <w:b/>
        </w:rPr>
        <w:t>La legislación única en materia procedimental penal</w:t>
      </w:r>
      <w:r w:rsidRPr="00F21F40">
        <w:rPr>
          <w:rFonts w:cs="Arial"/>
        </w:rPr>
        <w:t>, de mecanismos alternativos de solución de controversias, de ejecución de penas y de justicia penal para adolescentes, que regirá en la República en el orden federal y en el fuero común</w:t>
      </w:r>
      <w:r>
        <w:rPr>
          <w:rFonts w:cs="Arial"/>
        </w:rPr>
        <w:t>”</w:t>
      </w:r>
      <w:r w:rsidRPr="00F21F40">
        <w:rPr>
          <w:rFonts w:cs="Arial"/>
        </w:rPr>
        <w:t>.</w:t>
      </w:r>
    </w:p>
    <w:p w:rsidR="00BC7A35" w:rsidRPr="003010B3"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En este marco, se emitió el Código Nacional de Procedimientos Penales, publicado el 5 de marzo del 2014 en el Diario Oficial de la Federación, recoge esta encomienda nacional y en su artículo segundo transitorio, párrafo segundo, establece que:</w:t>
      </w:r>
    </w:p>
    <w:p w:rsidR="00BC7A35" w:rsidRDefault="00BC7A35" w:rsidP="00BC7A35">
      <w:pPr>
        <w:autoSpaceDE w:val="0"/>
        <w:autoSpaceDN w:val="0"/>
        <w:adjustRightInd w:val="0"/>
        <w:spacing w:line="360" w:lineRule="auto"/>
        <w:ind w:firstLine="709"/>
        <w:jc w:val="both"/>
        <w:rPr>
          <w:rFonts w:cs="Arial"/>
        </w:rPr>
      </w:pPr>
      <w:r>
        <w:rPr>
          <w:rFonts w:cs="Arial"/>
        </w:rPr>
        <w:t xml:space="preserve"> </w:t>
      </w:r>
    </w:p>
    <w:p w:rsidR="00BC7A35" w:rsidRPr="00DC572E" w:rsidRDefault="00BC7A35" w:rsidP="00BC7A35">
      <w:pPr>
        <w:autoSpaceDE w:val="0"/>
        <w:autoSpaceDN w:val="0"/>
        <w:adjustRightInd w:val="0"/>
        <w:spacing w:line="360" w:lineRule="auto"/>
        <w:ind w:left="708"/>
        <w:jc w:val="both"/>
        <w:rPr>
          <w:rFonts w:cs="Arial"/>
        </w:rPr>
      </w:pPr>
      <w:r>
        <w:rPr>
          <w:rFonts w:cs="Arial"/>
        </w:rPr>
        <w:t>“</w:t>
      </w:r>
      <w:r w:rsidRPr="00DC572E">
        <w:rPr>
          <w:rFonts w:cs="Arial"/>
          <w:b/>
        </w:rPr>
        <w:t>ARTÍCULO SEGUNDO. Vigencia</w:t>
      </w:r>
    </w:p>
    <w:p w:rsidR="00BC7A35" w:rsidRPr="00DC572E" w:rsidRDefault="00BC7A35" w:rsidP="00BC7A35">
      <w:pPr>
        <w:autoSpaceDE w:val="0"/>
        <w:autoSpaceDN w:val="0"/>
        <w:adjustRightInd w:val="0"/>
        <w:spacing w:line="360" w:lineRule="auto"/>
        <w:ind w:left="708"/>
        <w:jc w:val="both"/>
        <w:rPr>
          <w:rFonts w:cs="Arial"/>
        </w:rPr>
      </w:pPr>
      <w:r w:rsidRPr="00DC572E">
        <w:rPr>
          <w:rFonts w:cs="Arial"/>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BC7A35" w:rsidRPr="00DC572E" w:rsidRDefault="00BC7A35" w:rsidP="00BC7A35">
      <w:pPr>
        <w:autoSpaceDE w:val="0"/>
        <w:autoSpaceDN w:val="0"/>
        <w:adjustRightInd w:val="0"/>
        <w:spacing w:line="360" w:lineRule="auto"/>
        <w:ind w:left="708"/>
        <w:jc w:val="both"/>
        <w:rPr>
          <w:rFonts w:cs="Arial"/>
          <w:b/>
        </w:rPr>
      </w:pPr>
      <w:r w:rsidRPr="00DC572E">
        <w:rPr>
          <w:rFonts w:cs="Arial"/>
          <w:b/>
        </w:rPr>
        <w:lastRenderedPageBreak/>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left="708"/>
        <w:jc w:val="both"/>
        <w:rPr>
          <w:rFonts w:cs="Arial"/>
        </w:rPr>
      </w:pPr>
      <w:r w:rsidRPr="00DC572E">
        <w:rPr>
          <w:rFonts w:cs="Arial"/>
        </w:rPr>
        <w:t>En todos los casos, entre la Declaratoria a que se hace referencia en los párrafos anteriores y la entrada en vigor del presente Código deberán mediar sesenta días naturales.</w:t>
      </w:r>
      <w:r>
        <w:rPr>
          <w:rFonts w:cs="Arial"/>
        </w:rPr>
        <w:t>”</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 xml:space="preserve">En referencia a la Declaratoria mencionada en este artículo, el H. Congreso del Estado de Nuevo León aprobó la Declaratoria de inicio de la vigencia del Código Nacional de Procedimientos Penales,  donde se establece que a partir del 1 de enero de 2016 entra en vigencia en el Estado. La Declaratoria también incluye la abrogación del Código Procesal Penal para el Estado de Nuevo León. </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Mientras que el Congreso de la Unión emitió la Declaratoria de inicio de vigencia del Código Nacional para el Estado para el 29 de febrero de 2016</w:t>
      </w:r>
      <w:r w:rsidR="00FE0EB9">
        <w:rPr>
          <w:rFonts w:cs="Arial"/>
        </w:rPr>
        <w:t xml:space="preserve">, plazo que da pie al termino de 60 días naturales para la entrada en vigor, es de referir que al llegar el 29 de abril se </w:t>
      </w:r>
      <w:r w:rsidR="00E44FA3">
        <w:rPr>
          <w:rFonts w:cs="Arial"/>
        </w:rPr>
        <w:t>cumplió</w:t>
      </w:r>
      <w:r w:rsidR="00FE0EB9">
        <w:rPr>
          <w:rFonts w:cs="Arial"/>
        </w:rPr>
        <w:t xml:space="preserve"> este término, p</w:t>
      </w:r>
      <w:r>
        <w:rPr>
          <w:rFonts w:cs="Arial"/>
        </w:rPr>
        <w:t xml:space="preserve">or lo tanto, al abrogarse los Códigos adjetivos Penales que contiene el artículo que se busca reformar, la propuesta queda sin materia. </w:t>
      </w:r>
    </w:p>
    <w:p w:rsidR="00BC7A35" w:rsidRDefault="00BC7A35" w:rsidP="00BC7A35">
      <w:pPr>
        <w:spacing w:line="360" w:lineRule="auto"/>
        <w:ind w:firstLine="708"/>
        <w:jc w:val="both"/>
        <w:rPr>
          <w:rFonts w:cs="Arial"/>
        </w:rPr>
      </w:pPr>
    </w:p>
    <w:p w:rsidR="00BC7A35" w:rsidRPr="00A46EBB" w:rsidRDefault="00BC7A35" w:rsidP="00BC7A35">
      <w:pPr>
        <w:spacing w:line="360" w:lineRule="auto"/>
        <w:ind w:firstLine="708"/>
        <w:jc w:val="both"/>
        <w:rPr>
          <w:rFonts w:cs="Arial"/>
          <w:bCs/>
          <w:lang w:val="es-MX"/>
        </w:rPr>
      </w:pPr>
      <w:r w:rsidRPr="00A46EBB">
        <w:rPr>
          <w:rFonts w:cs="Arial"/>
          <w:bCs/>
          <w:lang w:val="es-MX"/>
        </w:rPr>
        <w:lastRenderedPageBreak/>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BC7A35" w:rsidRPr="005650F5" w:rsidRDefault="00BC7A35" w:rsidP="00BC7A35">
      <w:pPr>
        <w:autoSpaceDE w:val="0"/>
        <w:autoSpaceDN w:val="0"/>
        <w:adjustRightInd w:val="0"/>
        <w:spacing w:line="360" w:lineRule="auto"/>
        <w:ind w:firstLine="360"/>
        <w:jc w:val="both"/>
        <w:rPr>
          <w:rFonts w:cs="Arial"/>
          <w:color w:val="000000"/>
          <w:lang w:eastAsia="es-MX"/>
        </w:rPr>
      </w:pPr>
    </w:p>
    <w:p w:rsidR="00BC7A35" w:rsidRPr="00076F21" w:rsidRDefault="00BC7A35" w:rsidP="00BC7A35">
      <w:pPr>
        <w:autoSpaceDE w:val="0"/>
        <w:autoSpaceDN w:val="0"/>
        <w:adjustRightInd w:val="0"/>
        <w:spacing w:line="360" w:lineRule="auto"/>
        <w:jc w:val="center"/>
        <w:rPr>
          <w:rFonts w:cs="Arial"/>
          <w:b/>
          <w:bCs/>
          <w:color w:val="000000"/>
          <w:sz w:val="4"/>
          <w:lang w:eastAsia="es-MX"/>
        </w:rPr>
      </w:pPr>
    </w:p>
    <w:p w:rsidR="00BC7A35" w:rsidRDefault="00BC7A35" w:rsidP="00BC7A35">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BC7A35" w:rsidRPr="0083193E" w:rsidRDefault="00BC7A35" w:rsidP="00BC7A35">
      <w:pPr>
        <w:autoSpaceDE w:val="0"/>
        <w:autoSpaceDN w:val="0"/>
        <w:adjustRightInd w:val="0"/>
        <w:spacing w:line="360" w:lineRule="auto"/>
        <w:jc w:val="center"/>
        <w:rPr>
          <w:rFonts w:cs="Arial"/>
          <w:b/>
          <w:bCs/>
          <w:color w:val="000000"/>
          <w:sz w:val="14"/>
          <w:lang w:eastAsia="es-MX"/>
        </w:rPr>
      </w:pPr>
    </w:p>
    <w:p w:rsidR="00BC7A35" w:rsidRDefault="00CF2B0A" w:rsidP="00BC7A35">
      <w:pPr>
        <w:spacing w:line="360" w:lineRule="auto"/>
        <w:jc w:val="both"/>
        <w:rPr>
          <w:rFonts w:cs="Arial"/>
        </w:rPr>
      </w:pPr>
      <w:r>
        <w:rPr>
          <w:rFonts w:cs="Arial"/>
          <w:b/>
        </w:rPr>
        <w:t>Primero</w:t>
      </w:r>
      <w:r w:rsidR="00BC7A35" w:rsidRPr="005650F5">
        <w:rPr>
          <w:rFonts w:cs="Arial"/>
          <w:b/>
        </w:rPr>
        <w:t>.-</w:t>
      </w:r>
      <w:r w:rsidR="00BC7A35" w:rsidRPr="005650F5">
        <w:rPr>
          <w:rFonts w:cs="Arial"/>
        </w:rPr>
        <w:t xml:space="preserve"> Se consideran sin materia la propuesta de reforma, en virtud de las consideraciones vertidas.</w:t>
      </w:r>
    </w:p>
    <w:p w:rsidR="00CF2B0A" w:rsidRDefault="00CF2B0A" w:rsidP="00BC7A35">
      <w:pPr>
        <w:spacing w:line="360" w:lineRule="auto"/>
        <w:jc w:val="both"/>
        <w:rPr>
          <w:rFonts w:cs="Arial"/>
        </w:rPr>
      </w:pPr>
    </w:p>
    <w:p w:rsidR="00CF2B0A" w:rsidRDefault="00CF2B0A" w:rsidP="00CF2B0A">
      <w:pPr>
        <w:spacing w:line="360" w:lineRule="auto"/>
        <w:jc w:val="both"/>
        <w:rPr>
          <w:rFonts w:cs="Arial"/>
          <w:bCs/>
        </w:rPr>
      </w:pPr>
      <w:r w:rsidRPr="00A46EBB">
        <w:rPr>
          <w:rFonts w:cs="Arial"/>
          <w:b/>
          <w:lang w:val="es-MX"/>
        </w:rPr>
        <w:t>Segundo.</w:t>
      </w:r>
      <w:r w:rsidRPr="00A46EBB">
        <w:rPr>
          <w:rFonts w:cs="Arial"/>
          <w:lang w:val="es-MX"/>
        </w:rPr>
        <w:t>-</w:t>
      </w:r>
      <w:r>
        <w:rPr>
          <w:rFonts w:cs="Arial"/>
          <w:lang w:val="es-MX"/>
        </w:rPr>
        <w:t>De conformidad con el artículo 124 del Reglamento Interior del Congreso del Estado de Nuevo León, infórmese a los promoventes</w:t>
      </w:r>
      <w:r>
        <w:rPr>
          <w:rFonts w:cs="Arial"/>
          <w:bCs/>
        </w:rPr>
        <w:t>.</w:t>
      </w:r>
    </w:p>
    <w:p w:rsidR="00BF458F" w:rsidRDefault="00BF458F" w:rsidP="00CF2B0A">
      <w:pPr>
        <w:spacing w:line="360" w:lineRule="auto"/>
        <w:jc w:val="both"/>
        <w:rPr>
          <w:rFonts w:cs="Arial"/>
          <w:bCs/>
        </w:rPr>
      </w:pPr>
    </w:p>
    <w:p w:rsidR="00BF458F" w:rsidRPr="00943242" w:rsidRDefault="00BF458F" w:rsidP="00BF458F">
      <w:pPr>
        <w:spacing w:line="360" w:lineRule="auto"/>
        <w:jc w:val="both"/>
        <w:rPr>
          <w:rFonts w:cs="Arial"/>
          <w:lang w:val="es-MX"/>
        </w:rPr>
      </w:pPr>
      <w:r w:rsidRPr="00846B90">
        <w:rPr>
          <w:rFonts w:cs="Arial"/>
          <w:b/>
          <w:lang w:val="es-MX"/>
        </w:rPr>
        <w:t>Tercero.-</w:t>
      </w:r>
      <w:r>
        <w:rPr>
          <w:rFonts w:cs="Arial"/>
        </w:rPr>
        <w:t xml:space="preserve"> A</w:t>
      </w:r>
      <w:r w:rsidRPr="00943242">
        <w:rPr>
          <w:rFonts w:cs="Arial"/>
        </w:rPr>
        <w:t>rchívese y téngase por concluido el presente asunto.</w:t>
      </w:r>
    </w:p>
    <w:p w:rsidR="00BC7A35" w:rsidRPr="0037500C" w:rsidRDefault="00BC7A35" w:rsidP="00BC7A35">
      <w:pPr>
        <w:spacing w:line="360" w:lineRule="auto"/>
        <w:jc w:val="both"/>
        <w:rPr>
          <w:rFonts w:cs="Arial"/>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D45B13" w:rsidRDefault="00D45B13" w:rsidP="00D45B13">
      <w:pPr>
        <w:jc w:val="center"/>
        <w:rPr>
          <w:rFonts w:cs="Arial"/>
        </w:rPr>
      </w:pPr>
      <w:r>
        <w:rPr>
          <w:rFonts w:cs="Arial"/>
        </w:rPr>
        <w:t>Marcelo Martínez Villarreal</w:t>
      </w:r>
    </w:p>
    <w:p w:rsidR="00406032" w:rsidRDefault="00406032" w:rsidP="00D45B13">
      <w:pPr>
        <w:jc w:val="center"/>
        <w:rPr>
          <w:rFonts w:cs="Arial"/>
        </w:rPr>
      </w:pPr>
    </w:p>
    <w:p w:rsidR="00406032" w:rsidRDefault="00406032" w:rsidP="00D45B13">
      <w:pPr>
        <w:jc w:val="center"/>
        <w:rPr>
          <w:rFonts w:cs="Arial"/>
        </w:rPr>
      </w:pPr>
    </w:p>
    <w:p w:rsidR="00406032" w:rsidRDefault="00406032" w:rsidP="00D45B13">
      <w:pPr>
        <w:jc w:val="center"/>
        <w:rPr>
          <w:rFonts w:cs="Arial"/>
        </w:rPr>
      </w:pPr>
    </w:p>
    <w:p w:rsidR="00406032" w:rsidRDefault="00406032" w:rsidP="00D45B13">
      <w:pPr>
        <w:jc w:val="center"/>
        <w:rPr>
          <w:rFonts w:cs="Arial"/>
        </w:rPr>
      </w:pPr>
    </w:p>
    <w:p w:rsidR="00FF0070" w:rsidRPr="003B7662" w:rsidRDefault="00FF0070" w:rsidP="00406032">
      <w:pPr>
        <w:jc w:val="center"/>
        <w:rPr>
          <w:rFonts w:cs="Arial"/>
        </w:rPr>
      </w:pPr>
      <w:r w:rsidRPr="003B7662">
        <w:rPr>
          <w:rFonts w:cs="Aria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D45B13" w:rsidP="00D45B13">
            <w:pPr>
              <w:jc w:val="center"/>
              <w:rPr>
                <w:rFonts w:cs="Arial"/>
              </w:rPr>
            </w:pPr>
            <w:r>
              <w:rPr>
                <w:rFonts w:cs="Arial"/>
              </w:rPr>
              <w:t xml:space="preserve">Marco Antonio González Valdez </w:t>
            </w:r>
          </w:p>
        </w:tc>
        <w:tc>
          <w:tcPr>
            <w:tcW w:w="4394" w:type="dxa"/>
          </w:tcPr>
          <w:p w:rsidR="00FF0070" w:rsidRPr="003B7662" w:rsidRDefault="00FF0070" w:rsidP="009A4C92">
            <w:pPr>
              <w:jc w:val="center"/>
              <w:rPr>
                <w:rFonts w:cs="Arial"/>
              </w:rPr>
            </w:pPr>
          </w:p>
          <w:p w:rsidR="00FF0070" w:rsidRDefault="00FF0070" w:rsidP="00847936">
            <w:pPr>
              <w:jc w:val="center"/>
              <w:rPr>
                <w:rFonts w:cs="Arial"/>
              </w:rPr>
            </w:pPr>
            <w:r>
              <w:rPr>
                <w:rFonts w:cs="Arial"/>
              </w:rPr>
              <w:t>Laura Paula López Sánchez</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A81971" w:rsidRPr="003B7662" w:rsidRDefault="00A81971"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D45B13" w:rsidP="009A4C92">
            <w:pPr>
              <w:jc w:val="center"/>
              <w:rPr>
                <w:rFonts w:cs="Arial"/>
              </w:rPr>
            </w:pPr>
            <w:r>
              <w:rPr>
                <w:rFonts w:cs="Arial"/>
              </w:rPr>
              <w:t>José Arturo Salinas Garza</w:t>
            </w:r>
          </w:p>
        </w:tc>
        <w:tc>
          <w:tcPr>
            <w:tcW w:w="4394" w:type="dxa"/>
          </w:tcPr>
          <w:p w:rsidR="00D45B13" w:rsidRDefault="00D45B13" w:rsidP="00847936">
            <w:pPr>
              <w:jc w:val="center"/>
              <w:rPr>
                <w:rFonts w:cs="Arial"/>
                <w:b/>
                <w:bCs/>
              </w:rPr>
            </w:pPr>
            <w:r>
              <w:rPr>
                <w:rFonts w:cs="Arial"/>
              </w:rPr>
              <w:t>Eva Patricia Salazar Marroquín</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D45B13" w:rsidP="009A4C92">
            <w:pPr>
              <w:jc w:val="center"/>
              <w:rPr>
                <w:rFonts w:cs="Arial"/>
              </w:rPr>
            </w:pPr>
            <w:r>
              <w:rPr>
                <w:rFonts w:cs="Arial"/>
              </w:rPr>
              <w:t xml:space="preserve">Jorge Alán Blanco Durán </w:t>
            </w:r>
          </w:p>
          <w:p w:rsidR="00FF0070" w:rsidRPr="003B7662" w:rsidRDefault="00FF0070" w:rsidP="009A4C92">
            <w:pPr>
              <w:jc w:val="center"/>
              <w:rPr>
                <w:rFonts w:cs="Arial"/>
              </w:rPr>
            </w:pPr>
          </w:p>
        </w:tc>
        <w:tc>
          <w:tcPr>
            <w:tcW w:w="4394" w:type="dxa"/>
          </w:tcPr>
          <w:p w:rsidR="00FF0070" w:rsidRPr="003B7662" w:rsidRDefault="00D45B13" w:rsidP="00D45B13">
            <w:pPr>
              <w:jc w:val="center"/>
              <w:rPr>
                <w:rFonts w:cs="Arial"/>
              </w:rPr>
            </w:pPr>
            <w:r>
              <w:rPr>
                <w:rFonts w:cs="Arial"/>
              </w:rPr>
              <w:t>Adrián Tijerina de la Garza</w:t>
            </w: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A81971">
            <w:pPr>
              <w:jc w:val="center"/>
              <w:rPr>
                <w:rFonts w:cs="Arial"/>
              </w:rPr>
            </w:pPr>
            <w:r>
              <w:rPr>
                <w:rFonts w:cs="Arial"/>
              </w:rPr>
              <w:t>Rubén González Cabri</w:t>
            </w:r>
            <w:r w:rsidR="00A81971">
              <w:rPr>
                <w:rFonts w:cs="Arial"/>
              </w:rPr>
              <w:t>e</w:t>
            </w:r>
            <w:r>
              <w:rPr>
                <w:rFonts w:cs="Arial"/>
              </w:rPr>
              <w:t>les</w:t>
            </w:r>
          </w:p>
        </w:tc>
        <w:tc>
          <w:tcPr>
            <w:tcW w:w="4394" w:type="dxa"/>
          </w:tcPr>
          <w:p w:rsidR="00FF0070" w:rsidRPr="003B7662" w:rsidRDefault="00D45B13" w:rsidP="009A4C92">
            <w:pPr>
              <w:jc w:val="center"/>
              <w:rPr>
                <w:rFonts w:cs="Arial"/>
              </w:rPr>
            </w:pPr>
            <w:r>
              <w:rPr>
                <w:rFonts w:cs="Arial"/>
              </w:rPr>
              <w:t>Gabriel Tláloc Cantú Cantú</w:t>
            </w:r>
          </w:p>
        </w:tc>
      </w:tr>
    </w:tbl>
    <w:p w:rsidR="007A2321" w:rsidRDefault="007A2321" w:rsidP="00FF0070">
      <w:pPr>
        <w:spacing w:line="360" w:lineRule="auto"/>
        <w:jc w:val="both"/>
      </w:pPr>
      <w:bookmarkStart w:id="0" w:name="_GoBack"/>
      <w:bookmarkEnd w:id="0"/>
    </w:p>
    <w:sectPr w:rsidR="007A2321" w:rsidSect="00406032">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0E" w:rsidRDefault="00C7580E" w:rsidP="007D6689">
      <w:r>
        <w:separator/>
      </w:r>
    </w:p>
  </w:endnote>
  <w:endnote w:type="continuationSeparator" w:id="0">
    <w:p w:rsidR="00C7580E" w:rsidRDefault="00C7580E"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406032">
      <w:rPr>
        <w:noProof/>
        <w:sz w:val="16"/>
        <w:szCs w:val="16"/>
      </w:rPr>
      <w:t>6</w:t>
    </w:r>
    <w:r w:rsidRPr="0044215A">
      <w:rPr>
        <w:sz w:val="16"/>
        <w:szCs w:val="16"/>
      </w:rPr>
      <w:fldChar w:fldCharType="end"/>
    </w:r>
    <w:r w:rsidRPr="0044215A">
      <w:rPr>
        <w:sz w:val="16"/>
        <w:szCs w:val="16"/>
      </w:rPr>
      <w:t xml:space="preserve"> </w:t>
    </w:r>
    <w:r w:rsidR="00406032">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0E" w:rsidRDefault="00C7580E" w:rsidP="007D6689">
      <w:r>
        <w:separator/>
      </w:r>
    </w:p>
  </w:footnote>
  <w:footnote w:type="continuationSeparator" w:id="0">
    <w:p w:rsidR="00C7580E" w:rsidRDefault="00C7580E"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C645C"/>
    <w:rsid w:val="001169EA"/>
    <w:rsid w:val="001346E9"/>
    <w:rsid w:val="00143AB0"/>
    <w:rsid w:val="00165DC7"/>
    <w:rsid w:val="0017382F"/>
    <w:rsid w:val="001E65E6"/>
    <w:rsid w:val="001F5298"/>
    <w:rsid w:val="00215FA9"/>
    <w:rsid w:val="00217FF9"/>
    <w:rsid w:val="00223B8E"/>
    <w:rsid w:val="0022457F"/>
    <w:rsid w:val="002427CE"/>
    <w:rsid w:val="00242EEF"/>
    <w:rsid w:val="0025524B"/>
    <w:rsid w:val="002B2CF4"/>
    <w:rsid w:val="002E4291"/>
    <w:rsid w:val="002E606F"/>
    <w:rsid w:val="00310961"/>
    <w:rsid w:val="00311321"/>
    <w:rsid w:val="00347FFD"/>
    <w:rsid w:val="00363044"/>
    <w:rsid w:val="003633C7"/>
    <w:rsid w:val="00387633"/>
    <w:rsid w:val="003A4C97"/>
    <w:rsid w:val="003C2217"/>
    <w:rsid w:val="003C7435"/>
    <w:rsid w:val="003D126E"/>
    <w:rsid w:val="003E3D98"/>
    <w:rsid w:val="00406032"/>
    <w:rsid w:val="00422C55"/>
    <w:rsid w:val="0049189F"/>
    <w:rsid w:val="004A55E3"/>
    <w:rsid w:val="004C3AFC"/>
    <w:rsid w:val="004E13D4"/>
    <w:rsid w:val="004F40BB"/>
    <w:rsid w:val="0052373C"/>
    <w:rsid w:val="00545AED"/>
    <w:rsid w:val="00545E68"/>
    <w:rsid w:val="00570CFE"/>
    <w:rsid w:val="005A009A"/>
    <w:rsid w:val="005A5081"/>
    <w:rsid w:val="006016E3"/>
    <w:rsid w:val="0061133C"/>
    <w:rsid w:val="006277A0"/>
    <w:rsid w:val="006367EF"/>
    <w:rsid w:val="00643988"/>
    <w:rsid w:val="00683E91"/>
    <w:rsid w:val="0068509D"/>
    <w:rsid w:val="006D5CA2"/>
    <w:rsid w:val="006D7CB3"/>
    <w:rsid w:val="006F04C4"/>
    <w:rsid w:val="00700ECE"/>
    <w:rsid w:val="00706B64"/>
    <w:rsid w:val="00715713"/>
    <w:rsid w:val="00723E3B"/>
    <w:rsid w:val="00757799"/>
    <w:rsid w:val="00771960"/>
    <w:rsid w:val="007740B0"/>
    <w:rsid w:val="007A2321"/>
    <w:rsid w:val="007C3B15"/>
    <w:rsid w:val="007D6689"/>
    <w:rsid w:val="007E788F"/>
    <w:rsid w:val="007F1088"/>
    <w:rsid w:val="00806726"/>
    <w:rsid w:val="00817CD9"/>
    <w:rsid w:val="00830032"/>
    <w:rsid w:val="00847936"/>
    <w:rsid w:val="00886188"/>
    <w:rsid w:val="008B4D78"/>
    <w:rsid w:val="008D02B1"/>
    <w:rsid w:val="00916154"/>
    <w:rsid w:val="00924FB0"/>
    <w:rsid w:val="009308B8"/>
    <w:rsid w:val="0093454E"/>
    <w:rsid w:val="00950B0B"/>
    <w:rsid w:val="00A00764"/>
    <w:rsid w:val="00A81971"/>
    <w:rsid w:val="00A8377E"/>
    <w:rsid w:val="00B225C8"/>
    <w:rsid w:val="00B27F40"/>
    <w:rsid w:val="00B66FBF"/>
    <w:rsid w:val="00B705F5"/>
    <w:rsid w:val="00BC7A35"/>
    <w:rsid w:val="00BD28D7"/>
    <w:rsid w:val="00BF458F"/>
    <w:rsid w:val="00C0100A"/>
    <w:rsid w:val="00C14B2C"/>
    <w:rsid w:val="00C31C1E"/>
    <w:rsid w:val="00C34AFD"/>
    <w:rsid w:val="00C3759C"/>
    <w:rsid w:val="00C406FB"/>
    <w:rsid w:val="00C7580E"/>
    <w:rsid w:val="00CC6AE1"/>
    <w:rsid w:val="00CD7C41"/>
    <w:rsid w:val="00CF2B0A"/>
    <w:rsid w:val="00D45B13"/>
    <w:rsid w:val="00D64A7C"/>
    <w:rsid w:val="00D73C14"/>
    <w:rsid w:val="00DD7B41"/>
    <w:rsid w:val="00DF4409"/>
    <w:rsid w:val="00E014D9"/>
    <w:rsid w:val="00E01C42"/>
    <w:rsid w:val="00E079A4"/>
    <w:rsid w:val="00E44FA3"/>
    <w:rsid w:val="00EB08A2"/>
    <w:rsid w:val="00EC6F7F"/>
    <w:rsid w:val="00ED5A45"/>
    <w:rsid w:val="00ED79E4"/>
    <w:rsid w:val="00EF5373"/>
    <w:rsid w:val="00F106D0"/>
    <w:rsid w:val="00F10B35"/>
    <w:rsid w:val="00F276B0"/>
    <w:rsid w:val="00F335C4"/>
    <w:rsid w:val="00F50DE6"/>
    <w:rsid w:val="00F66F40"/>
    <w:rsid w:val="00F812AF"/>
    <w:rsid w:val="00F9464B"/>
    <w:rsid w:val="00FE0EB9"/>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406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03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459304664">
      <w:bodyDiv w:val="1"/>
      <w:marLeft w:val="0"/>
      <w:marRight w:val="0"/>
      <w:marTop w:val="0"/>
      <w:marBottom w:val="0"/>
      <w:divBdr>
        <w:top w:val="none" w:sz="0" w:space="0" w:color="auto"/>
        <w:left w:val="none" w:sz="0" w:space="0" w:color="auto"/>
        <w:bottom w:val="none" w:sz="0" w:space="0" w:color="auto"/>
        <w:right w:val="none" w:sz="0" w:space="0" w:color="auto"/>
      </w:divBdr>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1057170576">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23729246">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2017-10-02T20:26:00Z</cp:lastPrinted>
  <dcterms:created xsi:type="dcterms:W3CDTF">2017-10-02T20:26:00Z</dcterms:created>
  <dcterms:modified xsi:type="dcterms:W3CDTF">2017-10-02T20:26:00Z</dcterms:modified>
</cp:coreProperties>
</file>