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4D6C8A36" w14:textId="74EEEE93" w:rsidR="0003295D" w:rsidRPr="0003295D" w:rsidRDefault="00B04E91" w:rsidP="00522C39">
      <w:pPr>
        <w:spacing w:line="360" w:lineRule="auto"/>
        <w:jc w:val="both"/>
        <w:rPr>
          <w:rFonts w:ascii="Arial" w:hAnsi="Arial" w:cs="Arial"/>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92026F">
        <w:rPr>
          <w:rFonts w:ascii="Arial" w:hAnsi="Arial" w:cs="Arial"/>
          <w:b/>
          <w:color w:val="000000" w:themeColor="text1"/>
          <w:lang w:val="es-MX"/>
        </w:rPr>
        <w:t>6 de noviembre</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w:t>
      </w:r>
      <w:r w:rsidR="0003295D">
        <w:rPr>
          <w:rFonts w:ascii="Arial" w:hAnsi="Arial" w:cs="Arial"/>
          <w:b/>
          <w:color w:val="000000" w:themeColor="text1"/>
          <w:lang w:val="es-MX"/>
        </w:rPr>
        <w:t>l</w:t>
      </w:r>
      <w:r w:rsidRPr="002D2D39">
        <w:rPr>
          <w:rFonts w:ascii="Arial" w:hAnsi="Arial" w:cs="Arial"/>
          <w:b/>
          <w:color w:val="000000" w:themeColor="text1"/>
          <w:lang w:val="es-MX"/>
        </w:rPr>
        <w:t xml:space="preserve"> 201</w:t>
      </w:r>
      <w:r w:rsidR="00E45EF2">
        <w:rPr>
          <w:rFonts w:ascii="Arial" w:hAnsi="Arial" w:cs="Arial"/>
          <w:b/>
          <w:color w:val="000000" w:themeColor="text1"/>
          <w:lang w:val="es-MX"/>
        </w:rPr>
        <w:t>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E45EF2">
        <w:rPr>
          <w:rFonts w:ascii="Arial" w:hAnsi="Arial" w:cs="Arial"/>
          <w:b/>
          <w:bCs/>
          <w:color w:val="000000" w:themeColor="text1"/>
          <w:lang w:val="es-MX"/>
        </w:rPr>
        <w:t>1</w:t>
      </w:r>
      <w:r w:rsidR="0092026F">
        <w:rPr>
          <w:rFonts w:ascii="Arial" w:hAnsi="Arial" w:cs="Arial"/>
          <w:b/>
          <w:bCs/>
          <w:color w:val="000000" w:themeColor="text1"/>
          <w:lang w:val="es-MX"/>
        </w:rPr>
        <w:t>122</w:t>
      </w:r>
      <w:r w:rsidR="008748C4">
        <w:rPr>
          <w:rFonts w:ascii="Arial" w:hAnsi="Arial" w:cs="Arial"/>
          <w:b/>
          <w:bCs/>
          <w:color w:val="000000" w:themeColor="text1"/>
          <w:lang w:val="es-MX"/>
        </w:rPr>
        <w:t>1</w:t>
      </w:r>
      <w:r w:rsidR="00F51567" w:rsidRPr="002D2D39">
        <w:rPr>
          <w:rFonts w:ascii="Arial" w:hAnsi="Arial" w:cs="Arial"/>
          <w:b/>
          <w:bCs/>
          <w:color w:val="000000" w:themeColor="text1"/>
          <w:lang w:val="es-MX"/>
        </w:rPr>
        <w:t>/LXXIV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r w:rsidR="0092026F">
        <w:rPr>
          <w:rFonts w:ascii="Arial" w:hAnsi="Arial" w:cs="Arial"/>
          <w:b/>
          <w:color w:val="000000" w:themeColor="text1"/>
        </w:rPr>
        <w:t>C. Ing. Santos Ángel Pulido Arratia, Secretario del Ayuntamiento de Pesquería, Nuevo León</w:t>
      </w:r>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E45EF2">
        <w:rPr>
          <w:rFonts w:ascii="Arial" w:hAnsi="Arial" w:cs="Arial"/>
          <w:color w:val="000000" w:themeColor="text1"/>
          <w:lang w:val="es-MX"/>
        </w:rPr>
        <w:t>Soberanía propuesta para otorgar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w:t>
      </w:r>
      <w:r w:rsidR="00FD046C">
        <w:rPr>
          <w:rFonts w:ascii="Arial" w:hAnsi="Arial" w:cs="Arial"/>
        </w:rPr>
        <w:t xml:space="preserve">por un término de </w:t>
      </w:r>
      <w:r w:rsidR="00FD046C" w:rsidRPr="00FD046C">
        <w:rPr>
          <w:rFonts w:ascii="Arial" w:hAnsi="Arial" w:cs="Arial"/>
          <w:b/>
        </w:rPr>
        <w:t>99- noventa y nueve años</w:t>
      </w:r>
      <w:r w:rsidR="00FD046C">
        <w:rPr>
          <w:rFonts w:ascii="Arial" w:hAnsi="Arial" w:cs="Arial"/>
        </w:rPr>
        <w:t xml:space="preserve"> </w:t>
      </w:r>
      <w:r w:rsidR="0057161A" w:rsidRPr="002D2D39">
        <w:rPr>
          <w:rFonts w:ascii="Arial" w:hAnsi="Arial" w:cs="Arial"/>
        </w:rPr>
        <w:t>a favor de</w:t>
      </w:r>
      <w:r w:rsidR="0092026F">
        <w:rPr>
          <w:rFonts w:ascii="Arial" w:hAnsi="Arial" w:cs="Arial"/>
        </w:rPr>
        <w:t xml:space="preserve"> la</w:t>
      </w:r>
      <w:r w:rsidR="00F51567" w:rsidRPr="002D2D39">
        <w:rPr>
          <w:rFonts w:ascii="Arial" w:hAnsi="Arial" w:cs="Arial"/>
        </w:rPr>
        <w:t xml:space="preserve"> </w:t>
      </w:r>
      <w:r w:rsidR="0092026F">
        <w:rPr>
          <w:rFonts w:ascii="Arial" w:hAnsi="Arial" w:cs="Arial"/>
          <w:b/>
        </w:rPr>
        <w:t>SECRETARÍA DE EDUCACIÓN PÚBLICA</w:t>
      </w:r>
      <w:r w:rsidR="00F51567" w:rsidRPr="002D2D39">
        <w:rPr>
          <w:rFonts w:ascii="Arial" w:hAnsi="Arial" w:cs="Arial"/>
          <w:b/>
        </w:rPr>
        <w:t>,</w:t>
      </w:r>
      <w:r w:rsidR="00F51567" w:rsidRPr="002D2D39">
        <w:rPr>
          <w:rFonts w:ascii="Arial" w:hAnsi="Arial" w:cs="Arial"/>
        </w:rPr>
        <w:t xml:space="preserve"> respecto de </w:t>
      </w:r>
      <w:r w:rsidR="0092026F">
        <w:rPr>
          <w:rFonts w:ascii="Arial" w:hAnsi="Arial" w:cs="Arial"/>
        </w:rPr>
        <w:t>un inmueble de dominio público municipal, ubicado en</w:t>
      </w:r>
      <w:bookmarkStart w:id="0" w:name="_Hlk499913142"/>
      <w:r w:rsidR="00297B1B">
        <w:rPr>
          <w:rFonts w:ascii="Arial" w:hAnsi="Arial" w:cs="Arial"/>
        </w:rPr>
        <w:t xml:space="preserve"> la </w:t>
      </w:r>
      <w:bookmarkStart w:id="1" w:name="_Hlk499915717"/>
      <w:r w:rsidR="00297B1B">
        <w:rPr>
          <w:rFonts w:ascii="Arial" w:hAnsi="Arial" w:cs="Arial"/>
        </w:rPr>
        <w:t xml:space="preserve">Colonia Valle de Santa María, Sector </w:t>
      </w:r>
      <w:r w:rsidR="00AB0234">
        <w:rPr>
          <w:rFonts w:ascii="Arial" w:hAnsi="Arial" w:cs="Arial"/>
        </w:rPr>
        <w:t>Salermo</w:t>
      </w:r>
      <w:bookmarkEnd w:id="1"/>
      <w:r w:rsidR="0092026F">
        <w:rPr>
          <w:rFonts w:ascii="Arial" w:hAnsi="Arial" w:cs="Arial"/>
        </w:rPr>
        <w:t xml:space="preserve">, en el Municipio de Pesquería, Nuevo León. </w:t>
      </w:r>
    </w:p>
    <w:bookmarkEnd w:id="0"/>
    <w:p w14:paraId="33DF60C1" w14:textId="77777777" w:rsidR="00496680" w:rsidRPr="002D2D39" w:rsidRDefault="00496680" w:rsidP="00522C39">
      <w:pPr>
        <w:spacing w:line="360" w:lineRule="auto"/>
        <w:jc w:val="both"/>
        <w:rPr>
          <w:rFonts w:ascii="Arial" w:hAnsi="Arial" w:cs="Arial"/>
          <w:b/>
          <w:color w:val="000000" w:themeColor="text1"/>
          <w:lang w:val="es-MX"/>
        </w:rPr>
      </w:pP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271B44BF" w14:textId="5CDD2DC2" w:rsidR="000A0060" w:rsidRPr="00975E3A" w:rsidRDefault="00B04E91" w:rsidP="00060DCC">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92026F">
        <w:rPr>
          <w:rFonts w:ascii="Arial" w:hAnsi="Arial" w:cs="Arial"/>
          <w:b/>
          <w:color w:val="000000" w:themeColor="text1"/>
        </w:rPr>
        <w:t>C. Ing. Santos Ángel Pulido Arratia, Secretario del Ayuntamiento de Pesquería,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2710AE">
        <w:rPr>
          <w:rFonts w:ascii="Arial" w:hAnsi="Arial" w:cs="Arial"/>
          <w:color w:val="000000" w:themeColor="text1"/>
        </w:rPr>
        <w:t>Pesquería</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en fecha</w:t>
      </w:r>
      <w:r w:rsidR="003C7FFA">
        <w:rPr>
          <w:rFonts w:ascii="Arial" w:hAnsi="Arial" w:cs="Arial"/>
          <w:color w:val="000000" w:themeColor="text1"/>
        </w:rPr>
        <w:t xml:space="preserve"> </w:t>
      </w:r>
      <w:r w:rsidR="00975E3A">
        <w:rPr>
          <w:rFonts w:ascii="Arial" w:hAnsi="Arial" w:cs="Arial"/>
          <w:color w:val="000000" w:themeColor="text1"/>
        </w:rPr>
        <w:t>13 de septiembre del 2017</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3C7FFA">
        <w:rPr>
          <w:rFonts w:ascii="Arial" w:hAnsi="Arial" w:cs="Arial"/>
          <w:color w:val="000000" w:themeColor="text1"/>
        </w:rPr>
        <w:t xml:space="preserve">celebración </w:t>
      </w:r>
      <w:r w:rsidR="00513FE8">
        <w:rPr>
          <w:rFonts w:ascii="Arial" w:hAnsi="Arial" w:cs="Arial"/>
          <w:color w:val="000000" w:themeColor="text1"/>
        </w:rPr>
        <w:t>del</w:t>
      </w:r>
      <w:r w:rsidR="00496680" w:rsidRPr="002D2D39">
        <w:rPr>
          <w:rFonts w:ascii="Arial" w:hAnsi="Arial" w:cs="Arial"/>
          <w:color w:val="000000" w:themeColor="text1"/>
        </w:rPr>
        <w:t xml:space="preserve"> </w:t>
      </w:r>
      <w:r w:rsidR="009B2B94" w:rsidRPr="009B2B94">
        <w:rPr>
          <w:rFonts w:ascii="Arial" w:hAnsi="Arial" w:cs="Arial"/>
          <w:b/>
          <w:color w:val="000000" w:themeColor="text1"/>
          <w:lang w:val="es-MX"/>
        </w:rPr>
        <w:t>CONTRATO DE COMODATO</w:t>
      </w:r>
      <w:r w:rsidR="009B2B94" w:rsidRPr="002D2D39">
        <w:rPr>
          <w:rFonts w:ascii="Arial" w:hAnsi="Arial" w:cs="Arial"/>
        </w:rPr>
        <w:t xml:space="preserve"> </w:t>
      </w:r>
      <w:r w:rsidR="00EE3B6F" w:rsidRPr="00841DD6">
        <w:rPr>
          <w:rFonts w:ascii="Arial" w:hAnsi="Arial" w:cs="Arial"/>
        </w:rPr>
        <w:t xml:space="preserve">con una </w:t>
      </w:r>
      <w:bookmarkStart w:id="2" w:name="_Hlk496517057"/>
      <w:r w:rsidR="00EE3B6F" w:rsidRPr="00841DD6">
        <w:rPr>
          <w:rFonts w:ascii="Arial" w:hAnsi="Arial" w:cs="Arial"/>
        </w:rPr>
        <w:t xml:space="preserve">vigencia </w:t>
      </w:r>
      <w:bookmarkEnd w:id="2"/>
      <w:r w:rsidR="003C7FFA">
        <w:rPr>
          <w:rFonts w:ascii="Arial" w:hAnsi="Arial" w:cs="Arial"/>
        </w:rPr>
        <w:t>99- noventa y nueve años</w:t>
      </w:r>
      <w:r w:rsidR="00EE3B6F" w:rsidRPr="00841DD6">
        <w:rPr>
          <w:rFonts w:ascii="Arial" w:hAnsi="Arial" w:cs="Arial"/>
        </w:rPr>
        <w:t xml:space="preserve">, </w:t>
      </w:r>
      <w:r w:rsidR="00EE3B6F" w:rsidRPr="002D2D39">
        <w:rPr>
          <w:rFonts w:ascii="Arial" w:hAnsi="Arial" w:cs="Arial"/>
        </w:rPr>
        <w:t>a favor de</w:t>
      </w:r>
      <w:r w:rsidR="00962DA5">
        <w:rPr>
          <w:rFonts w:ascii="Arial" w:hAnsi="Arial" w:cs="Arial"/>
        </w:rPr>
        <w:t xml:space="preserve"> </w:t>
      </w:r>
      <w:r w:rsidR="00EE3B6F" w:rsidRPr="002D2D39">
        <w:rPr>
          <w:rFonts w:ascii="Arial" w:hAnsi="Arial" w:cs="Arial"/>
        </w:rPr>
        <w:t>l</w:t>
      </w:r>
      <w:r w:rsidR="00962DA5">
        <w:rPr>
          <w:rFonts w:ascii="Arial" w:hAnsi="Arial" w:cs="Arial"/>
        </w:rPr>
        <w:t>a</w:t>
      </w:r>
      <w:r w:rsidR="00EE3B6F" w:rsidRPr="002D2D39">
        <w:rPr>
          <w:rFonts w:ascii="Arial" w:hAnsi="Arial" w:cs="Arial"/>
          <w:b/>
        </w:rPr>
        <w:t xml:space="preserve"> </w:t>
      </w:r>
      <w:r w:rsidR="0092026F">
        <w:rPr>
          <w:rFonts w:ascii="Arial" w:hAnsi="Arial" w:cs="Arial"/>
          <w:b/>
        </w:rPr>
        <w:t>SECRETARÍA DE EDUCACIÓN PÚBLICA</w:t>
      </w:r>
      <w:bookmarkStart w:id="3" w:name="_Hlk498338690"/>
      <w:r w:rsidR="00975E3A">
        <w:rPr>
          <w:rFonts w:ascii="Arial" w:hAnsi="Arial" w:cs="Arial"/>
          <w:b/>
        </w:rPr>
        <w:t>,</w:t>
      </w:r>
      <w:r w:rsidR="00FD046C">
        <w:rPr>
          <w:rFonts w:ascii="Arial" w:hAnsi="Arial" w:cs="Arial"/>
          <w:b/>
        </w:rPr>
        <w:t xml:space="preserve"> </w:t>
      </w:r>
      <w:r w:rsidR="00496680" w:rsidRPr="002D2D39">
        <w:rPr>
          <w:rFonts w:ascii="Arial" w:hAnsi="Arial" w:cs="Arial"/>
        </w:rPr>
        <w:t xml:space="preserve">respecto </w:t>
      </w:r>
      <w:r w:rsidR="007E7BA8" w:rsidRPr="002D2D39">
        <w:rPr>
          <w:rFonts w:ascii="Arial" w:hAnsi="Arial" w:cs="Arial"/>
        </w:rPr>
        <w:t>un inmueble del Dominio Público Municipal</w:t>
      </w:r>
      <w:r w:rsidR="00496680" w:rsidRPr="002D2D39">
        <w:rPr>
          <w:rFonts w:ascii="Arial" w:hAnsi="Arial" w:cs="Arial"/>
        </w:rPr>
        <w:t>,</w:t>
      </w:r>
      <w:bookmarkStart w:id="4" w:name="_Hlk499916581"/>
      <w:r w:rsidR="00496680" w:rsidRPr="002D2D39">
        <w:rPr>
          <w:rFonts w:ascii="Arial" w:hAnsi="Arial" w:cs="Arial"/>
        </w:rPr>
        <w:t xml:space="preserve"> </w:t>
      </w:r>
      <w:r w:rsidR="00975E3A">
        <w:rPr>
          <w:rFonts w:ascii="Arial" w:hAnsi="Arial" w:cs="Arial"/>
        </w:rPr>
        <w:t xml:space="preserve">ubicado en la </w:t>
      </w:r>
      <w:r w:rsidR="00297B1B">
        <w:rPr>
          <w:rFonts w:ascii="Arial" w:hAnsi="Arial" w:cs="Arial"/>
        </w:rPr>
        <w:t xml:space="preserve">Colonia Valle de Santa María, Sector </w:t>
      </w:r>
      <w:r w:rsidR="00AB0234">
        <w:rPr>
          <w:rFonts w:ascii="Arial" w:hAnsi="Arial" w:cs="Arial"/>
        </w:rPr>
        <w:t>Salermo</w:t>
      </w:r>
      <w:r w:rsidR="00297B1B">
        <w:rPr>
          <w:rFonts w:ascii="Arial" w:hAnsi="Arial" w:cs="Arial"/>
        </w:rPr>
        <w:t xml:space="preserve">, </w:t>
      </w:r>
      <w:r w:rsidR="00975E3A">
        <w:rPr>
          <w:rFonts w:ascii="Arial" w:hAnsi="Arial" w:cs="Arial"/>
        </w:rPr>
        <w:t xml:space="preserve">en el Municipio de Pesquería, </w:t>
      </w:r>
      <w:r w:rsidR="00975E3A">
        <w:rPr>
          <w:rFonts w:ascii="Arial" w:hAnsi="Arial" w:cs="Arial"/>
        </w:rPr>
        <w:lastRenderedPageBreak/>
        <w:t xml:space="preserve">Nuevo León, identificado con el número de </w:t>
      </w:r>
      <w:r w:rsidR="00975E3A" w:rsidRPr="00975E3A">
        <w:rPr>
          <w:rFonts w:ascii="Arial" w:hAnsi="Arial" w:cs="Arial"/>
        </w:rPr>
        <w:t xml:space="preserve">expediente catastral </w:t>
      </w:r>
      <w:r w:rsidR="00AB0234">
        <w:rPr>
          <w:rFonts w:ascii="Arial" w:hAnsi="Arial" w:cs="Arial"/>
          <w:b/>
        </w:rPr>
        <w:t>21-401-008</w:t>
      </w:r>
      <w:r w:rsidR="00975E3A">
        <w:rPr>
          <w:rFonts w:ascii="Arial" w:hAnsi="Arial" w:cs="Arial"/>
          <w:b/>
        </w:rPr>
        <w:t xml:space="preserve">, </w:t>
      </w:r>
      <w:r w:rsidR="00975E3A" w:rsidRPr="00975E3A">
        <w:rPr>
          <w:rFonts w:ascii="Arial" w:hAnsi="Arial" w:cs="Arial"/>
        </w:rPr>
        <w:t>con una superficie de</w:t>
      </w:r>
      <w:r w:rsidR="00975E3A">
        <w:rPr>
          <w:rFonts w:ascii="Arial" w:hAnsi="Arial" w:cs="Arial"/>
          <w:b/>
        </w:rPr>
        <w:t xml:space="preserve"> </w:t>
      </w:r>
      <w:r w:rsidR="00AB0234">
        <w:rPr>
          <w:rFonts w:ascii="Arial" w:hAnsi="Arial" w:cs="Arial"/>
          <w:b/>
        </w:rPr>
        <w:t>4,478.10</w:t>
      </w:r>
      <w:r w:rsidR="00975E3A">
        <w:rPr>
          <w:rFonts w:ascii="Arial" w:hAnsi="Arial" w:cs="Arial"/>
          <w:b/>
        </w:rPr>
        <w:t xml:space="preserve"> m2</w:t>
      </w:r>
      <w:r w:rsidR="00975E3A">
        <w:rPr>
          <w:rFonts w:ascii="Arial" w:hAnsi="Arial" w:cs="Arial"/>
        </w:rPr>
        <w:t xml:space="preserve">, </w:t>
      </w:r>
      <w:r w:rsidR="000A0060">
        <w:rPr>
          <w:rFonts w:ascii="Arial" w:eastAsia="MS Mincho" w:hAnsi="Arial" w:cs="Arial"/>
          <w:color w:val="000000"/>
        </w:rPr>
        <w:t>con las siguientes medidas y colindancias:</w:t>
      </w:r>
    </w:p>
    <w:p w14:paraId="0CC7E764" w14:textId="4DAAD13B" w:rsidR="001B01AF" w:rsidRDefault="001B01AF" w:rsidP="00060DCC">
      <w:pPr>
        <w:spacing w:line="360" w:lineRule="auto"/>
        <w:jc w:val="both"/>
        <w:rPr>
          <w:rFonts w:ascii="Arial" w:eastAsia="MS Mincho" w:hAnsi="Arial" w:cs="Arial"/>
          <w:color w:val="000000"/>
        </w:rPr>
      </w:pPr>
      <w:bookmarkStart w:id="5" w:name="_Hlk499808134"/>
    </w:p>
    <w:p w14:paraId="6597A807" w14:textId="61E2A367" w:rsidR="001B01AF" w:rsidRDefault="001B01AF" w:rsidP="00060DCC">
      <w:pPr>
        <w:spacing w:line="360" w:lineRule="auto"/>
        <w:jc w:val="both"/>
        <w:rPr>
          <w:rFonts w:ascii="Arial" w:eastAsia="MS Mincho" w:hAnsi="Arial" w:cs="Arial"/>
          <w:color w:val="000000"/>
        </w:rPr>
      </w:pPr>
      <w:r>
        <w:rPr>
          <w:rFonts w:ascii="Arial" w:eastAsia="MS Mincho" w:hAnsi="Arial" w:cs="Arial"/>
          <w:color w:val="000000"/>
        </w:rPr>
        <w:tab/>
        <w:t xml:space="preserve">Tabla 1. Medidas y Colindancias. </w:t>
      </w:r>
    </w:p>
    <w:p w14:paraId="4EA38653" w14:textId="6E4A99BC" w:rsidR="00297B1B" w:rsidRDefault="00AB0234" w:rsidP="00060DCC">
      <w:pPr>
        <w:spacing w:line="360" w:lineRule="auto"/>
        <w:jc w:val="both"/>
        <w:rPr>
          <w:rFonts w:ascii="Arial" w:eastAsia="MS Mincho" w:hAnsi="Arial" w:cs="Arial"/>
          <w:color w:val="000000"/>
        </w:rPr>
      </w:pPr>
      <w:r>
        <w:rPr>
          <w:rFonts w:ascii="Arial" w:eastAsia="MS Mincho" w:hAnsi="Arial" w:cs="Arial"/>
          <w:noProof/>
          <w:color w:val="000000"/>
          <w:lang w:val="es-MX" w:eastAsia="es-MX"/>
        </w:rPr>
        <w:drawing>
          <wp:inline distT="0" distB="0" distL="0" distR="0" wp14:anchorId="7354984C" wp14:editId="1F1E73BB">
            <wp:extent cx="5286375" cy="2571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571750"/>
                    </a:xfrm>
                    <a:prstGeom prst="rect">
                      <a:avLst/>
                    </a:prstGeom>
                    <a:noFill/>
                    <a:ln>
                      <a:noFill/>
                    </a:ln>
                  </pic:spPr>
                </pic:pic>
              </a:graphicData>
            </a:graphic>
          </wp:inline>
        </w:drawing>
      </w:r>
    </w:p>
    <w:p w14:paraId="38D7B984" w14:textId="152A651B" w:rsidR="00297B1B" w:rsidRDefault="00297B1B" w:rsidP="00060DCC">
      <w:pPr>
        <w:spacing w:line="360" w:lineRule="auto"/>
        <w:jc w:val="both"/>
        <w:rPr>
          <w:rFonts w:ascii="Arial" w:eastAsia="MS Mincho" w:hAnsi="Arial" w:cs="Arial"/>
          <w:color w:val="000000"/>
        </w:rPr>
      </w:pPr>
    </w:p>
    <w:bookmarkEnd w:id="3"/>
    <w:bookmarkEnd w:id="4"/>
    <w:bookmarkEnd w:id="5"/>
    <w:p w14:paraId="65599146" w14:textId="628C04E0" w:rsidR="00B04E91" w:rsidRPr="00297B1B" w:rsidRDefault="000013DC" w:rsidP="00297B1B">
      <w:pPr>
        <w:tabs>
          <w:tab w:val="left" w:pos="2730"/>
        </w:tabs>
        <w:spacing w:line="360" w:lineRule="auto"/>
        <w:jc w:val="both"/>
        <w:rPr>
          <w:rFonts w:ascii="Arial" w:eastAsia="MS Mincho" w:hAnsi="Arial" w:cs="Arial"/>
          <w:color w:val="000000"/>
        </w:rPr>
      </w:pPr>
      <w:r>
        <w:rPr>
          <w:rFonts w:ascii="Arial" w:hAnsi="Arial" w:cs="Arial"/>
        </w:rPr>
        <w:t xml:space="preserve">A </w:t>
      </w:r>
      <w:bookmarkStart w:id="6" w:name="_Hlk499914481"/>
      <w:r w:rsidR="002234AC" w:rsidRPr="002D2D39">
        <w:rPr>
          <w:rFonts w:ascii="Arial" w:hAnsi="Arial" w:cs="Arial"/>
          <w:color w:val="000000" w:themeColor="text1"/>
        </w:rPr>
        <w:t>fin de</w:t>
      </w:r>
      <w:r w:rsidR="002710AE">
        <w:rPr>
          <w:rFonts w:ascii="Arial" w:hAnsi="Arial" w:cs="Arial"/>
          <w:color w:val="000000" w:themeColor="text1"/>
        </w:rPr>
        <w:t xml:space="preserve"> llevar a cabo la construcción de</w:t>
      </w:r>
      <w:r w:rsidR="00297B1B">
        <w:rPr>
          <w:rFonts w:ascii="Arial" w:hAnsi="Arial" w:cs="Arial"/>
          <w:color w:val="000000" w:themeColor="text1"/>
        </w:rPr>
        <w:t xml:space="preserve"> un</w:t>
      </w:r>
      <w:r w:rsidR="00A52D35">
        <w:rPr>
          <w:rFonts w:ascii="Arial" w:hAnsi="Arial" w:cs="Arial"/>
          <w:color w:val="000000" w:themeColor="text1"/>
        </w:rPr>
        <w:t xml:space="preserve"> jardín de niños</w:t>
      </w:r>
      <w:r w:rsidR="002710AE">
        <w:rPr>
          <w:rFonts w:ascii="Arial" w:hAnsi="Arial" w:cs="Arial"/>
          <w:color w:val="000000" w:themeColor="text1"/>
        </w:rPr>
        <w:t xml:space="preserve"> </w:t>
      </w:r>
      <w:r>
        <w:rPr>
          <w:rFonts w:ascii="Arial" w:hAnsi="Arial" w:cs="Arial"/>
          <w:color w:val="000000" w:themeColor="text1"/>
        </w:rPr>
        <w:t xml:space="preserve">en el Municipio de </w:t>
      </w:r>
      <w:r w:rsidR="002710AE">
        <w:rPr>
          <w:rFonts w:ascii="Arial" w:hAnsi="Arial" w:cs="Arial"/>
          <w:color w:val="000000" w:themeColor="text1"/>
        </w:rPr>
        <w:t>Pesquería</w:t>
      </w:r>
      <w:r>
        <w:rPr>
          <w:rFonts w:ascii="Arial" w:hAnsi="Arial" w:cs="Arial"/>
          <w:color w:val="000000" w:themeColor="text1"/>
        </w:rPr>
        <w:t>, Nuevo León</w:t>
      </w:r>
      <w:r w:rsidR="001E175A" w:rsidRPr="002D2D39">
        <w:rPr>
          <w:rFonts w:ascii="Arial" w:hAnsi="Arial" w:cs="Arial"/>
          <w:color w:val="000000" w:themeColor="text1"/>
        </w:rPr>
        <w:t xml:space="preserve">, </w:t>
      </w:r>
      <w:bookmarkEnd w:id="6"/>
      <w:r w:rsidR="00F25004" w:rsidRPr="002D2D39">
        <w:rPr>
          <w:rFonts w:ascii="Arial" w:hAnsi="Arial" w:cs="Arial"/>
          <w:color w:val="000000" w:themeColor="text1"/>
        </w:rPr>
        <w:t xml:space="preserve">por lo que remiten a la 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esión Ordinaria del Ayuntamiento, del</w:t>
      </w:r>
      <w:r w:rsidR="002710AE">
        <w:rPr>
          <w:rFonts w:ascii="Arial" w:hAnsi="Arial" w:cs="Arial"/>
          <w:color w:val="000000" w:themeColor="text1"/>
        </w:rPr>
        <w:t xml:space="preserve"> 13 de septiembre del 2017</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0D411546" w:rsidR="00346872" w:rsidRPr="002D2D39" w:rsidRDefault="002710AE" w:rsidP="00522C39">
      <w:pPr>
        <w:autoSpaceDE w:val="0"/>
        <w:autoSpaceDN w:val="0"/>
        <w:adjustRightInd w:val="0"/>
        <w:spacing w:line="360" w:lineRule="auto"/>
        <w:jc w:val="both"/>
        <w:rPr>
          <w:rFonts w:ascii="Arial" w:hAnsi="Arial" w:cs="Arial"/>
        </w:rPr>
      </w:pPr>
      <w:r>
        <w:rPr>
          <w:rFonts w:ascii="Arial" w:hAnsi="Arial" w:cs="Arial"/>
        </w:rPr>
        <w:t xml:space="preserve">El Presidente </w:t>
      </w:r>
      <w:r w:rsidR="00346872" w:rsidRPr="002D2D39">
        <w:rPr>
          <w:rFonts w:ascii="Arial" w:hAnsi="Arial" w:cs="Arial"/>
        </w:rPr>
        <w:t>Municipal</w:t>
      </w:r>
      <w:r>
        <w:rPr>
          <w:rFonts w:ascii="Arial" w:hAnsi="Arial" w:cs="Arial"/>
        </w:rPr>
        <w:t xml:space="preserve"> del Municipio </w:t>
      </w:r>
      <w:r w:rsidR="00346872" w:rsidRPr="002D2D39">
        <w:rPr>
          <w:rFonts w:ascii="Arial" w:hAnsi="Arial" w:cs="Arial"/>
        </w:rPr>
        <w:t xml:space="preserve">de </w:t>
      </w:r>
      <w:r>
        <w:rPr>
          <w:rFonts w:ascii="Arial" w:hAnsi="Arial" w:cs="Arial"/>
        </w:rPr>
        <w:t>Pesquería, Nuevo León, el Ing. Miguel Ángel Lozano Munguía</w:t>
      </w:r>
      <w:r w:rsidR="00346872"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00513FE8">
        <w:rPr>
          <w:rFonts w:ascii="Arial" w:hAnsi="Arial" w:cs="Arial"/>
        </w:rPr>
        <w:t xml:space="preserve">otorgar la </w:t>
      </w:r>
      <w:r w:rsidR="000013DC">
        <w:rPr>
          <w:rFonts w:ascii="Arial" w:hAnsi="Arial" w:cs="Arial"/>
        </w:rPr>
        <w:t>celebración</w:t>
      </w:r>
      <w:r w:rsidR="00513FE8">
        <w:rPr>
          <w:rFonts w:ascii="Arial" w:hAnsi="Arial" w:cs="Arial"/>
        </w:rPr>
        <w:t xml:space="preserve"> del</w:t>
      </w:r>
      <w:r w:rsidR="00346872" w:rsidRPr="002D2D39">
        <w:rPr>
          <w:rFonts w:ascii="Arial" w:hAnsi="Arial" w:cs="Arial"/>
        </w:rPr>
        <w:t xml:space="preserve"> </w:t>
      </w:r>
      <w:r w:rsidR="009B2B94" w:rsidRPr="009B2B94">
        <w:rPr>
          <w:rFonts w:ascii="Arial" w:hAnsi="Arial" w:cs="Arial"/>
          <w:b/>
        </w:rPr>
        <w:t>CONTRATO DE COMODATO</w:t>
      </w:r>
      <w:r w:rsidR="00346872" w:rsidRPr="002D2D39">
        <w:rPr>
          <w:rFonts w:ascii="Arial" w:hAnsi="Arial" w:cs="Arial"/>
        </w:rPr>
        <w:t xml:space="preserve">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w:t>
      </w:r>
      <w:r w:rsidR="00EB3110">
        <w:rPr>
          <w:rFonts w:ascii="Arial" w:hAnsi="Arial" w:cs="Arial"/>
        </w:rPr>
        <w:t>99 años</w:t>
      </w:r>
      <w:r w:rsidR="002D2D39" w:rsidRPr="002D2D39">
        <w:rPr>
          <w:rFonts w:ascii="Arial" w:hAnsi="Arial" w:cs="Arial"/>
        </w:rPr>
        <w:t xml:space="preserve">, a </w:t>
      </w:r>
      <w:r w:rsidR="002D2D39" w:rsidRPr="002D2D39">
        <w:rPr>
          <w:rFonts w:ascii="Arial" w:hAnsi="Arial" w:cs="Arial"/>
        </w:rPr>
        <w:lastRenderedPageBreak/>
        <w:t>favor de</w:t>
      </w:r>
      <w:r>
        <w:rPr>
          <w:rFonts w:ascii="Arial" w:hAnsi="Arial" w:cs="Arial"/>
        </w:rPr>
        <w:t xml:space="preserve"> la</w:t>
      </w:r>
      <w:r w:rsidR="002D2D39" w:rsidRPr="002D2D39">
        <w:rPr>
          <w:rFonts w:ascii="Arial" w:hAnsi="Arial" w:cs="Arial"/>
        </w:rPr>
        <w:t xml:space="preserve"> </w:t>
      </w:r>
      <w:bookmarkStart w:id="7" w:name="_Hlk496515984"/>
      <w:r w:rsidR="0092026F">
        <w:rPr>
          <w:rFonts w:ascii="Arial" w:hAnsi="Arial" w:cs="Arial"/>
          <w:b/>
        </w:rPr>
        <w:t>SECRETARÍA DE EDUCACIÓN PÚBLICA</w:t>
      </w:r>
      <w:r w:rsidR="001406DD">
        <w:rPr>
          <w:rFonts w:ascii="Arial" w:hAnsi="Arial" w:cs="Arial"/>
          <w:b/>
        </w:rPr>
        <w:t>,</w:t>
      </w:r>
      <w:r w:rsidR="00E54EE7" w:rsidRPr="002D2D39">
        <w:rPr>
          <w:rFonts w:ascii="Arial" w:hAnsi="Arial" w:cs="Arial"/>
          <w:b/>
        </w:rPr>
        <w:t xml:space="preserve"> </w:t>
      </w:r>
      <w:bookmarkEnd w:id="7"/>
      <w:r w:rsidR="00346872"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00346872"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7AE8A5E1"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710AE">
        <w:rPr>
          <w:rFonts w:ascii="Arial" w:hAnsi="Arial" w:cs="Arial"/>
        </w:rPr>
        <w:t>Pesquería</w:t>
      </w:r>
      <w:r w:rsidR="001F7EE8">
        <w:rPr>
          <w:rFonts w:ascii="Arial" w:hAnsi="Arial" w:cs="Arial"/>
        </w:rPr>
        <w:t>, Nuevo León,</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2710AE">
        <w:rPr>
          <w:rFonts w:ascii="Arial" w:hAnsi="Arial" w:cs="Arial"/>
          <w:color w:val="000000" w:themeColor="text1"/>
        </w:rPr>
        <w:t>13 de septiembre del 2017</w:t>
      </w:r>
      <w:r w:rsidR="00841DD6">
        <w:rPr>
          <w:rFonts w:ascii="Arial" w:hAnsi="Arial" w:cs="Arial"/>
        </w:rPr>
        <w:t>, dictamen</w:t>
      </w:r>
      <w:r w:rsidRPr="002D2D39">
        <w:rPr>
          <w:rFonts w:ascii="Arial" w:hAnsi="Arial" w:cs="Arial"/>
        </w:rPr>
        <w:t xml:space="preserve"> otorgando</w:t>
      </w:r>
      <w:r w:rsidR="00513FE8">
        <w:rPr>
          <w:rFonts w:ascii="Arial" w:hAnsi="Arial" w:cs="Arial"/>
        </w:rPr>
        <w:t xml:space="preserve"> la </w:t>
      </w:r>
      <w:r w:rsidR="000013DC">
        <w:rPr>
          <w:rFonts w:ascii="Arial" w:hAnsi="Arial" w:cs="Arial"/>
        </w:rPr>
        <w:t>celebración</w:t>
      </w:r>
      <w:r w:rsidR="00513FE8">
        <w:rPr>
          <w:rFonts w:ascii="Arial" w:hAnsi="Arial" w:cs="Arial"/>
        </w:rPr>
        <w:t xml:space="preserve"> del</w:t>
      </w:r>
      <w:r w:rsidR="002B584F" w:rsidRPr="002D2D39">
        <w:rPr>
          <w:b/>
        </w:rPr>
        <w:t xml:space="preserve"> </w:t>
      </w:r>
      <w:r w:rsidR="009B2B94" w:rsidRPr="002D2D39">
        <w:rPr>
          <w:rFonts w:ascii="Arial" w:hAnsi="Arial" w:cs="Arial"/>
          <w:b/>
        </w:rPr>
        <w:t>CONTRATO DE COMODATO</w:t>
      </w:r>
      <w:r w:rsidR="009B2B94" w:rsidRPr="002D2D39">
        <w:rPr>
          <w:rFonts w:ascii="Arial" w:hAnsi="Arial" w:cs="Arial"/>
        </w:rPr>
        <w:t xml:space="preserve"> </w:t>
      </w:r>
      <w:r w:rsidR="002B584F" w:rsidRPr="002D2D39">
        <w:rPr>
          <w:rFonts w:ascii="Arial" w:hAnsi="Arial" w:cs="Arial"/>
        </w:rPr>
        <w:t>a favor de</w:t>
      </w:r>
      <w:r w:rsidR="002710AE">
        <w:rPr>
          <w:rFonts w:ascii="Arial" w:hAnsi="Arial" w:cs="Arial"/>
        </w:rPr>
        <w:t xml:space="preserve"> </w:t>
      </w:r>
      <w:r w:rsidR="002D2D39" w:rsidRPr="002D2D39">
        <w:rPr>
          <w:rFonts w:ascii="Arial" w:hAnsi="Arial" w:cs="Arial"/>
        </w:rPr>
        <w:t>l</w:t>
      </w:r>
      <w:r w:rsidR="002710AE">
        <w:rPr>
          <w:rFonts w:ascii="Arial" w:hAnsi="Arial" w:cs="Arial"/>
        </w:rPr>
        <w:t>a</w:t>
      </w:r>
      <w:r w:rsidR="002D2D39" w:rsidRPr="002D2D39">
        <w:rPr>
          <w:rFonts w:ascii="Arial" w:hAnsi="Arial" w:cs="Arial"/>
        </w:rPr>
        <w:t xml:space="preserve"> </w:t>
      </w:r>
      <w:r w:rsidR="0092026F">
        <w:rPr>
          <w:rFonts w:ascii="Arial" w:hAnsi="Arial" w:cs="Arial"/>
          <w:b/>
        </w:rPr>
        <w:t>SECRETARÍA DE EDUCACIÓN PÚBLICA</w:t>
      </w:r>
      <w:r w:rsidR="000013DC">
        <w:rPr>
          <w:rFonts w:ascii="Arial" w:hAnsi="Arial" w:cs="Arial"/>
          <w:b/>
        </w:rPr>
        <w:t xml:space="preserve">, </w:t>
      </w:r>
      <w:r w:rsidR="00DC6D36" w:rsidRPr="002D2D39">
        <w:rPr>
          <w:rFonts w:ascii="Arial" w:hAnsi="Arial" w:cs="Arial"/>
        </w:rPr>
        <w:t>r</w:t>
      </w:r>
      <w:r w:rsidRPr="002D2D39">
        <w:rPr>
          <w:rFonts w:ascii="Arial" w:hAnsi="Arial" w:cs="Arial"/>
        </w:rPr>
        <w:t>especto de</w:t>
      </w:r>
      <w:r w:rsidR="00DC6D36" w:rsidRPr="002D2D39">
        <w:rPr>
          <w:rFonts w:ascii="Arial" w:hAnsi="Arial" w:cs="Arial"/>
        </w:rPr>
        <w:t>l</w:t>
      </w:r>
      <w:r w:rsidRPr="002D2D39">
        <w:rPr>
          <w:rFonts w:ascii="Arial" w:hAnsi="Arial" w:cs="Arial"/>
        </w:rPr>
        <w:t xml:space="preserve"> </w:t>
      </w:r>
      <w:r w:rsidR="007E7BA8" w:rsidRPr="002D2D39">
        <w:rPr>
          <w:rFonts w:ascii="Arial" w:hAnsi="Arial" w:cs="Arial"/>
        </w:rPr>
        <w:t>bien</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4100C8" w:rsidRPr="002D2D39">
        <w:rPr>
          <w:rFonts w:ascii="Arial" w:hAnsi="Arial" w:cs="Arial"/>
        </w:rPr>
        <w:t xml:space="preserve"> del Dominio Público Municipal, antes mencionado</w:t>
      </w:r>
      <w:r w:rsidR="001406DD">
        <w:rPr>
          <w:rFonts w:ascii="Arial" w:hAnsi="Arial" w:cs="Arial"/>
        </w:rPr>
        <w:t>, con ciertas restricciones, sobre todo en la vigencia del período de comodato del bien inmueble propiedad municipal.</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7B333E9B"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w:t>
      </w:r>
      <w:r w:rsidR="001406DD">
        <w:rPr>
          <w:rFonts w:ascii="Arial" w:hAnsi="Arial" w:cs="Arial"/>
          <w:color w:val="000000" w:themeColor="text1"/>
        </w:rPr>
        <w:t xml:space="preserve">de </w:t>
      </w:r>
      <w:r w:rsidR="002710AE">
        <w:rPr>
          <w:rFonts w:ascii="Arial" w:hAnsi="Arial" w:cs="Arial"/>
          <w:color w:val="000000" w:themeColor="text1"/>
        </w:rPr>
        <w:t>Pesquería</w:t>
      </w:r>
      <w:r w:rsidR="001406DD">
        <w:rPr>
          <w:rFonts w:ascii="Arial" w:hAnsi="Arial" w:cs="Arial"/>
          <w:color w:val="000000" w:themeColor="text1"/>
        </w:rPr>
        <w:t xml:space="preserve">, Nuevo León, </w:t>
      </w:r>
      <w:r w:rsidRPr="002D2D39">
        <w:rPr>
          <w:rFonts w:ascii="Arial" w:hAnsi="Arial" w:cs="Arial"/>
          <w:color w:val="000000" w:themeColor="text1"/>
        </w:rPr>
        <w:t xml:space="preserve">su legal propiedad sobre </w:t>
      </w:r>
      <w:r w:rsidR="007E7BA8" w:rsidRPr="002D2D39">
        <w:rPr>
          <w:rFonts w:ascii="Arial" w:hAnsi="Arial" w:cs="Arial"/>
          <w:color w:val="000000" w:themeColor="text1"/>
        </w:rPr>
        <w:t>l</w:t>
      </w:r>
      <w:r w:rsidR="000013DC">
        <w:rPr>
          <w:rFonts w:ascii="Arial" w:hAnsi="Arial" w:cs="Arial"/>
          <w:color w:val="000000" w:themeColor="text1"/>
        </w:rPr>
        <w:t>os</w:t>
      </w:r>
      <w:r w:rsidRPr="002D2D39">
        <w:rPr>
          <w:rFonts w:ascii="Arial" w:hAnsi="Arial" w:cs="Arial"/>
          <w:color w:val="000000" w:themeColor="text1"/>
        </w:rPr>
        <w:t xml:space="preserve"> bien</w:t>
      </w:r>
      <w:r w:rsidR="000013DC">
        <w:rPr>
          <w:rFonts w:ascii="Arial" w:hAnsi="Arial" w:cs="Arial"/>
          <w:color w:val="000000" w:themeColor="text1"/>
        </w:rPr>
        <w:t>es</w:t>
      </w:r>
      <w:r w:rsidRPr="002D2D39">
        <w:rPr>
          <w:rFonts w:ascii="Arial" w:hAnsi="Arial" w:cs="Arial"/>
          <w:color w:val="000000" w:themeColor="text1"/>
        </w:rPr>
        <w:t xml:space="preserve"> inmueble</w:t>
      </w:r>
      <w:r w:rsidR="000013DC">
        <w:rPr>
          <w:rFonts w:ascii="Arial" w:hAnsi="Arial" w:cs="Arial"/>
          <w:color w:val="000000" w:themeColor="text1"/>
        </w:rPr>
        <w:t>s</w:t>
      </w:r>
      <w:r w:rsidR="001406DD">
        <w:rPr>
          <w:rFonts w:ascii="Arial" w:hAnsi="Arial" w:cs="Arial"/>
          <w:color w:val="000000" w:themeColor="text1"/>
        </w:rPr>
        <w:t xml:space="preserve"> municipal</w:t>
      </w:r>
      <w:r w:rsidR="000013DC">
        <w:rPr>
          <w:rFonts w:ascii="Arial" w:hAnsi="Arial" w:cs="Arial"/>
          <w:color w:val="000000" w:themeColor="text1"/>
        </w:rPr>
        <w:t>es</w:t>
      </w:r>
      <w:r w:rsidR="001406DD">
        <w:rPr>
          <w:rFonts w:ascii="Arial" w:hAnsi="Arial" w:cs="Arial"/>
          <w:color w:val="000000" w:themeColor="text1"/>
        </w:rPr>
        <w:t>,</w:t>
      </w:r>
      <w:r w:rsidR="00EC11FB" w:rsidRPr="002D2D39">
        <w:rPr>
          <w:rFonts w:ascii="Arial" w:hAnsi="Arial" w:cs="Arial"/>
          <w:color w:val="000000" w:themeColor="text1"/>
        </w:rPr>
        <w:t xml:space="preserve"> con </w:t>
      </w:r>
      <w:r w:rsidR="00841DD6">
        <w:rPr>
          <w:rFonts w:ascii="Arial" w:hAnsi="Arial" w:cs="Arial"/>
          <w:color w:val="000000" w:themeColor="text1"/>
        </w:rPr>
        <w:t>l</w:t>
      </w:r>
      <w:r w:rsidR="000013DC">
        <w:rPr>
          <w:rFonts w:ascii="Arial" w:hAnsi="Arial" w:cs="Arial"/>
          <w:color w:val="000000" w:themeColor="text1"/>
        </w:rPr>
        <w:t>os</w:t>
      </w:r>
      <w:r w:rsidR="00841DD6">
        <w:rPr>
          <w:rFonts w:ascii="Arial" w:hAnsi="Arial" w:cs="Arial"/>
          <w:color w:val="000000" w:themeColor="text1"/>
        </w:rPr>
        <w:t xml:space="preserve"> </w:t>
      </w:r>
      <w:r w:rsidR="00841DD6" w:rsidRPr="002D2D39">
        <w:rPr>
          <w:rFonts w:ascii="Arial" w:hAnsi="Arial" w:cs="Arial"/>
          <w:color w:val="000000" w:themeColor="text1"/>
        </w:rPr>
        <w:t>siguiente</w:t>
      </w:r>
      <w:r w:rsidR="000013DC">
        <w:rPr>
          <w:rFonts w:ascii="Arial" w:hAnsi="Arial" w:cs="Arial"/>
          <w:color w:val="000000" w:themeColor="text1"/>
        </w:rPr>
        <w:t>s</w:t>
      </w:r>
      <w:r w:rsidR="00D330AA" w:rsidRPr="002D2D39">
        <w:rPr>
          <w:rFonts w:ascii="Arial" w:hAnsi="Arial" w:cs="Arial"/>
          <w:color w:val="000000" w:themeColor="text1"/>
        </w:rPr>
        <w:t xml:space="preserve"> documento</w:t>
      </w:r>
      <w:r w:rsidR="000013DC">
        <w:rPr>
          <w:rFonts w:ascii="Arial" w:hAnsi="Arial" w:cs="Arial"/>
          <w:color w:val="000000" w:themeColor="text1"/>
        </w:rPr>
        <w:t>s</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565A638B" w14:textId="387DE018" w:rsidR="00E16FB0" w:rsidRPr="00E16FB0" w:rsidRDefault="002710AE"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rPr>
        <w:t xml:space="preserve">Copia </w:t>
      </w:r>
      <w:r w:rsidR="00E16FB0">
        <w:rPr>
          <w:rFonts w:ascii="Arial" w:hAnsi="Arial" w:cs="Arial"/>
          <w:color w:val="000000"/>
        </w:rPr>
        <w:t>certificada</w:t>
      </w:r>
      <w:r>
        <w:rPr>
          <w:rFonts w:ascii="Arial" w:hAnsi="Arial" w:cs="Arial"/>
          <w:color w:val="000000"/>
        </w:rPr>
        <w:t xml:space="preserve"> de la </w:t>
      </w:r>
      <w:r w:rsidR="00E16FB0">
        <w:rPr>
          <w:rFonts w:ascii="Arial" w:hAnsi="Arial" w:cs="Arial"/>
          <w:color w:val="000000"/>
        </w:rPr>
        <w:t xml:space="preserve">Diligencia Administrativa sobre verificación de cumplimiento de requisitos para que se otorgue la Autorización para enajenar del fraccionamiento “Valle de Santa María, </w:t>
      </w:r>
      <w:r w:rsidR="00AB0234">
        <w:rPr>
          <w:rFonts w:ascii="Arial" w:hAnsi="Arial" w:cs="Arial"/>
          <w:color w:val="000000"/>
        </w:rPr>
        <w:t>s</w:t>
      </w:r>
      <w:r w:rsidR="00E16FB0">
        <w:rPr>
          <w:rFonts w:ascii="Arial" w:hAnsi="Arial" w:cs="Arial"/>
          <w:color w:val="000000"/>
        </w:rPr>
        <w:t xml:space="preserve">ector </w:t>
      </w:r>
      <w:r w:rsidR="00AB0234">
        <w:rPr>
          <w:rFonts w:ascii="Arial" w:hAnsi="Arial" w:cs="Arial"/>
          <w:color w:val="000000"/>
        </w:rPr>
        <w:t xml:space="preserve">Roma, sector Sicilia, sector Portofino, </w:t>
      </w:r>
      <w:r w:rsidR="00AB0234">
        <w:rPr>
          <w:rFonts w:ascii="Arial" w:hAnsi="Arial" w:cs="Arial"/>
          <w:color w:val="000000"/>
        </w:rPr>
        <w:lastRenderedPageBreak/>
        <w:t xml:space="preserve">sector Salermo, </w:t>
      </w:r>
      <w:r w:rsidR="00E16FB0">
        <w:rPr>
          <w:rFonts w:ascii="Arial" w:hAnsi="Arial" w:cs="Arial"/>
          <w:color w:val="000000"/>
        </w:rPr>
        <w:t>Expediente número 1</w:t>
      </w:r>
      <w:r w:rsidR="00AB0234">
        <w:rPr>
          <w:rFonts w:ascii="Arial" w:hAnsi="Arial" w:cs="Arial"/>
          <w:color w:val="000000"/>
        </w:rPr>
        <w:t>79</w:t>
      </w:r>
      <w:r w:rsidR="00E16FB0">
        <w:rPr>
          <w:rFonts w:ascii="Arial" w:hAnsi="Arial" w:cs="Arial"/>
          <w:color w:val="000000"/>
        </w:rPr>
        <w:t xml:space="preserve">/2009, número de oficio </w:t>
      </w:r>
      <w:r w:rsidR="00201D17">
        <w:rPr>
          <w:rFonts w:ascii="Arial" w:hAnsi="Arial" w:cs="Arial"/>
          <w:color w:val="000000"/>
        </w:rPr>
        <w:t>SEDU-090/2014</w:t>
      </w:r>
      <w:r w:rsidR="00E16FB0">
        <w:rPr>
          <w:rFonts w:ascii="Arial" w:hAnsi="Arial" w:cs="Arial"/>
          <w:color w:val="000000"/>
        </w:rPr>
        <w:t>.</w:t>
      </w:r>
    </w:p>
    <w:p w14:paraId="6B309117" w14:textId="20840C2E" w:rsidR="002710AE" w:rsidRDefault="002710AE"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themeColor="text1"/>
        </w:rPr>
        <w:t>Certificado de libertad de gravamen, propiedad inscrita a fav</w:t>
      </w:r>
      <w:r w:rsidR="00D56916">
        <w:rPr>
          <w:rFonts w:ascii="Arial" w:hAnsi="Arial" w:cs="Arial"/>
          <w:color w:val="000000" w:themeColor="text1"/>
        </w:rPr>
        <w:t>or</w:t>
      </w:r>
      <w:r>
        <w:rPr>
          <w:rFonts w:ascii="Arial" w:hAnsi="Arial" w:cs="Arial"/>
          <w:color w:val="000000" w:themeColor="text1"/>
        </w:rPr>
        <w:t xml:space="preserve"> del Municipio de Pesquería, Nuevo León, </w:t>
      </w:r>
      <w:bookmarkStart w:id="8" w:name="_Hlk499914210"/>
      <w:r>
        <w:rPr>
          <w:rFonts w:ascii="Arial" w:hAnsi="Arial" w:cs="Arial"/>
          <w:color w:val="000000" w:themeColor="text1"/>
        </w:rPr>
        <w:t>bajo el</w:t>
      </w:r>
      <w:r w:rsidR="00D56916">
        <w:rPr>
          <w:rFonts w:ascii="Arial" w:hAnsi="Arial" w:cs="Arial"/>
          <w:color w:val="000000" w:themeColor="text1"/>
        </w:rPr>
        <w:t xml:space="preserve"> </w:t>
      </w:r>
      <w:bookmarkEnd w:id="8"/>
      <w:r w:rsidR="00201D17">
        <w:rPr>
          <w:rFonts w:ascii="Arial" w:hAnsi="Arial" w:cs="Arial"/>
          <w:color w:val="000000" w:themeColor="text1"/>
        </w:rPr>
        <w:t>Número 318</w:t>
      </w:r>
      <w:r w:rsidR="00201D17" w:rsidRPr="00E16FB0">
        <w:rPr>
          <w:rFonts w:ascii="Arial" w:hAnsi="Arial" w:cs="Arial"/>
          <w:color w:val="000000" w:themeColor="text1"/>
        </w:rPr>
        <w:t xml:space="preserve">, Volumen </w:t>
      </w:r>
      <w:r w:rsidR="00201D17">
        <w:rPr>
          <w:rFonts w:ascii="Arial" w:hAnsi="Arial" w:cs="Arial"/>
          <w:color w:val="000000" w:themeColor="text1"/>
        </w:rPr>
        <w:t>82</w:t>
      </w:r>
      <w:r w:rsidR="00201D17" w:rsidRPr="00E16FB0">
        <w:rPr>
          <w:rFonts w:ascii="Arial" w:hAnsi="Arial" w:cs="Arial"/>
          <w:color w:val="000000" w:themeColor="text1"/>
        </w:rPr>
        <w:t xml:space="preserve">, Libro </w:t>
      </w:r>
      <w:r w:rsidR="00201D17">
        <w:rPr>
          <w:rFonts w:ascii="Arial" w:hAnsi="Arial" w:cs="Arial"/>
          <w:color w:val="000000" w:themeColor="text1"/>
        </w:rPr>
        <w:t>13</w:t>
      </w:r>
      <w:r w:rsidR="00201D17" w:rsidRPr="00E16FB0">
        <w:rPr>
          <w:rFonts w:ascii="Arial" w:hAnsi="Arial" w:cs="Arial"/>
          <w:color w:val="000000" w:themeColor="text1"/>
        </w:rPr>
        <w:t xml:space="preserve">, Sección I Propiedad, con fecha </w:t>
      </w:r>
      <w:r w:rsidR="00201D17">
        <w:rPr>
          <w:rFonts w:ascii="Arial" w:hAnsi="Arial" w:cs="Arial"/>
          <w:color w:val="000000" w:themeColor="text1"/>
        </w:rPr>
        <w:t>30 de octubre de 2014</w:t>
      </w:r>
    </w:p>
    <w:p w14:paraId="3CB0799A" w14:textId="17463266" w:rsidR="00D56916" w:rsidRPr="00E16FB0" w:rsidRDefault="00D56916" w:rsidP="00E16FB0">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themeColor="text1"/>
        </w:rPr>
        <w:t xml:space="preserve">Constancia de Inscripción emitida por el Instituto Registral y Catastral del Estado de Nuevo León, con los siguientes datos de inscripción: </w:t>
      </w:r>
      <w:bookmarkStart w:id="9" w:name="_Hlk499918943"/>
      <w:r>
        <w:rPr>
          <w:rFonts w:ascii="Arial" w:hAnsi="Arial" w:cs="Arial"/>
          <w:color w:val="000000" w:themeColor="text1"/>
        </w:rPr>
        <w:t xml:space="preserve">Número </w:t>
      </w:r>
      <w:r w:rsidR="00E16FB0">
        <w:rPr>
          <w:rFonts w:ascii="Arial" w:hAnsi="Arial" w:cs="Arial"/>
          <w:color w:val="000000" w:themeColor="text1"/>
        </w:rPr>
        <w:t>3</w:t>
      </w:r>
      <w:r w:rsidR="00201D17">
        <w:rPr>
          <w:rFonts w:ascii="Arial" w:hAnsi="Arial" w:cs="Arial"/>
          <w:color w:val="000000" w:themeColor="text1"/>
        </w:rPr>
        <w:t>1</w:t>
      </w:r>
      <w:r w:rsidR="00E16FB0">
        <w:rPr>
          <w:rFonts w:ascii="Arial" w:hAnsi="Arial" w:cs="Arial"/>
          <w:color w:val="000000" w:themeColor="text1"/>
        </w:rPr>
        <w:t>8</w:t>
      </w:r>
      <w:r w:rsidRPr="00E16FB0">
        <w:rPr>
          <w:rFonts w:ascii="Arial" w:hAnsi="Arial" w:cs="Arial"/>
          <w:color w:val="000000" w:themeColor="text1"/>
        </w:rPr>
        <w:t xml:space="preserve">, Volumen </w:t>
      </w:r>
      <w:r w:rsidR="00E16FB0">
        <w:rPr>
          <w:rFonts w:ascii="Arial" w:hAnsi="Arial" w:cs="Arial"/>
          <w:color w:val="000000" w:themeColor="text1"/>
        </w:rPr>
        <w:t>8</w:t>
      </w:r>
      <w:r w:rsidR="00201D17">
        <w:rPr>
          <w:rFonts w:ascii="Arial" w:hAnsi="Arial" w:cs="Arial"/>
          <w:color w:val="000000" w:themeColor="text1"/>
        </w:rPr>
        <w:t>2</w:t>
      </w:r>
      <w:r w:rsidRPr="00E16FB0">
        <w:rPr>
          <w:rFonts w:ascii="Arial" w:hAnsi="Arial" w:cs="Arial"/>
          <w:color w:val="000000" w:themeColor="text1"/>
        </w:rPr>
        <w:t xml:space="preserve">, Libro </w:t>
      </w:r>
      <w:r w:rsidR="00201D17">
        <w:rPr>
          <w:rFonts w:ascii="Arial" w:hAnsi="Arial" w:cs="Arial"/>
          <w:color w:val="000000" w:themeColor="text1"/>
        </w:rPr>
        <w:t>13</w:t>
      </w:r>
      <w:r w:rsidRPr="00E16FB0">
        <w:rPr>
          <w:rFonts w:ascii="Arial" w:hAnsi="Arial" w:cs="Arial"/>
          <w:color w:val="000000" w:themeColor="text1"/>
        </w:rPr>
        <w:t xml:space="preserve">, Sección I Propiedad, con fecha </w:t>
      </w:r>
      <w:r w:rsidR="00201D17">
        <w:rPr>
          <w:rFonts w:ascii="Arial" w:hAnsi="Arial" w:cs="Arial"/>
          <w:color w:val="000000" w:themeColor="text1"/>
        </w:rPr>
        <w:t>30</w:t>
      </w:r>
      <w:r w:rsidR="00E16FB0">
        <w:rPr>
          <w:rFonts w:ascii="Arial" w:hAnsi="Arial" w:cs="Arial"/>
          <w:color w:val="000000" w:themeColor="text1"/>
        </w:rPr>
        <w:t xml:space="preserve"> de </w:t>
      </w:r>
      <w:r w:rsidR="00201D17">
        <w:rPr>
          <w:rFonts w:ascii="Arial" w:hAnsi="Arial" w:cs="Arial"/>
          <w:color w:val="000000" w:themeColor="text1"/>
        </w:rPr>
        <w:t>octubre</w:t>
      </w:r>
      <w:r w:rsidR="00E16FB0">
        <w:rPr>
          <w:rFonts w:ascii="Arial" w:hAnsi="Arial" w:cs="Arial"/>
          <w:color w:val="000000" w:themeColor="text1"/>
        </w:rPr>
        <w:t xml:space="preserve"> de 201</w:t>
      </w:r>
      <w:r w:rsidR="00201D17">
        <w:rPr>
          <w:rFonts w:ascii="Arial" w:hAnsi="Arial" w:cs="Arial"/>
          <w:color w:val="000000" w:themeColor="text1"/>
        </w:rPr>
        <w:t>4</w:t>
      </w:r>
      <w:bookmarkEnd w:id="9"/>
      <w:r w:rsidR="00E16FB0">
        <w:rPr>
          <w:rFonts w:ascii="Arial" w:hAnsi="Arial" w:cs="Arial"/>
          <w:color w:val="000000" w:themeColor="text1"/>
        </w:rPr>
        <w:t xml:space="preserve">, Escritura </w:t>
      </w:r>
      <w:r w:rsidR="00201D17">
        <w:rPr>
          <w:rFonts w:ascii="Arial" w:hAnsi="Arial" w:cs="Arial"/>
          <w:color w:val="000000" w:themeColor="text1"/>
        </w:rPr>
        <w:t>A.F.P. 174,286.</w:t>
      </w:r>
    </w:p>
    <w:p w14:paraId="466CBA8F" w14:textId="4850A158" w:rsidR="00D56916" w:rsidRDefault="00D56916"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themeColor="text1"/>
        </w:rPr>
        <w:t xml:space="preserve">Certificado del Impuesto Predial del Inmueble con expediente catastral número </w:t>
      </w:r>
      <w:r w:rsidR="00201D17">
        <w:rPr>
          <w:rFonts w:ascii="Arial" w:hAnsi="Arial" w:cs="Arial"/>
          <w:color w:val="000000" w:themeColor="text1"/>
        </w:rPr>
        <w:t>21-401-008</w:t>
      </w:r>
      <w:r>
        <w:rPr>
          <w:rFonts w:ascii="Arial" w:hAnsi="Arial" w:cs="Arial"/>
          <w:color w:val="000000" w:themeColor="text1"/>
        </w:rPr>
        <w:t xml:space="preserve">. </w:t>
      </w:r>
    </w:p>
    <w:p w14:paraId="32A4C256" w14:textId="77777777" w:rsidR="002710AE" w:rsidRPr="002710AE" w:rsidRDefault="002710AE" w:rsidP="002710AE">
      <w:pPr>
        <w:overflowPunct w:val="0"/>
        <w:autoSpaceDE w:val="0"/>
        <w:autoSpaceDN w:val="0"/>
        <w:adjustRightInd w:val="0"/>
        <w:spacing w:line="360" w:lineRule="auto"/>
        <w:jc w:val="both"/>
        <w:textAlignment w:val="baseline"/>
        <w:rPr>
          <w:rFonts w:ascii="Arial" w:hAnsi="Arial" w:cs="Arial"/>
          <w:color w:val="000000" w:themeColor="text1"/>
        </w:rPr>
      </w:pPr>
    </w:p>
    <w:p w14:paraId="1B98F34B" w14:textId="429D203C" w:rsidR="00346872" w:rsidRDefault="00346872" w:rsidP="00522C39">
      <w:pPr>
        <w:spacing w:line="360" w:lineRule="auto"/>
        <w:jc w:val="both"/>
        <w:rPr>
          <w:rFonts w:ascii="Arial" w:hAnsi="Arial" w:cs="Arial"/>
        </w:rPr>
      </w:pPr>
      <w:r w:rsidRPr="002D2D39">
        <w:rPr>
          <w:rFonts w:ascii="Arial" w:hAnsi="Arial" w:cs="Arial"/>
          <w:color w:val="000000" w:themeColor="text1"/>
        </w:rPr>
        <w:t>Conforme a lo anterior</w:t>
      </w:r>
      <w:r w:rsidR="001F7EE8">
        <w:rPr>
          <w:rFonts w:ascii="Arial" w:hAnsi="Arial" w:cs="Arial"/>
          <w:color w:val="000000" w:themeColor="text1"/>
        </w:rPr>
        <w:t xml:space="preserve">, </w:t>
      </w:r>
      <w:r w:rsidRPr="002D2D39">
        <w:rPr>
          <w:rFonts w:ascii="Arial" w:hAnsi="Arial" w:cs="Arial"/>
          <w:color w:val="000000" w:themeColor="text1"/>
        </w:rPr>
        <w:t xml:space="preserve">solicitan a esta Representación Popular realizar el trámite legislativo correspondiente a efecto de que el R. Ayuntamiento de </w:t>
      </w:r>
      <w:r w:rsidR="002710AE">
        <w:rPr>
          <w:rFonts w:ascii="Arial" w:hAnsi="Arial" w:cs="Arial"/>
          <w:color w:val="000000" w:themeColor="text1"/>
        </w:rPr>
        <w:t>Pesquería</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w:t>
      </w:r>
      <w:r w:rsidR="008555DE">
        <w:rPr>
          <w:rFonts w:ascii="Arial" w:hAnsi="Arial" w:cs="Arial"/>
          <w:color w:val="000000" w:themeColor="text1"/>
        </w:rPr>
        <w:t xml:space="preserve"> con la aprobación para</w:t>
      </w:r>
      <w:r w:rsidR="00513FE8">
        <w:rPr>
          <w:rFonts w:ascii="Arial" w:hAnsi="Arial" w:cs="Arial"/>
          <w:color w:val="000000" w:themeColor="text1"/>
        </w:rPr>
        <w:t xml:space="preserve"> la </w:t>
      </w:r>
      <w:r w:rsidR="000013DC">
        <w:rPr>
          <w:rFonts w:ascii="Arial" w:hAnsi="Arial" w:cs="Arial"/>
          <w:color w:val="000000" w:themeColor="text1"/>
        </w:rPr>
        <w:t>celebración</w:t>
      </w:r>
      <w:r w:rsidR="00513FE8">
        <w:rPr>
          <w:rFonts w:ascii="Arial" w:hAnsi="Arial" w:cs="Arial"/>
          <w:color w:val="000000" w:themeColor="text1"/>
        </w:rPr>
        <w:t xml:space="preserve"> del</w:t>
      </w:r>
      <w:r w:rsidR="00C215B3" w:rsidRPr="002D2D39">
        <w:rPr>
          <w:rFonts w:ascii="Arial" w:hAnsi="Arial" w:cs="Arial"/>
          <w:color w:val="000000" w:themeColor="text1"/>
        </w:rPr>
        <w:t xml:space="preserve"> </w:t>
      </w:r>
      <w:r w:rsidR="009B2B94" w:rsidRPr="002D2D39">
        <w:rPr>
          <w:rFonts w:ascii="Arial" w:hAnsi="Arial" w:cs="Arial"/>
          <w:b/>
          <w:color w:val="000000" w:themeColor="text1"/>
          <w:lang w:val="es-MX"/>
        </w:rPr>
        <w:t>CONTRATO DE COMODATO</w:t>
      </w:r>
      <w:r w:rsidRPr="002D2D39">
        <w:rPr>
          <w:rFonts w:ascii="Arial" w:hAnsi="Arial" w:cs="Arial"/>
          <w:color w:val="000000" w:themeColor="text1"/>
        </w:rPr>
        <w:t>.</w:t>
      </w:r>
      <w:r w:rsidR="001406DD" w:rsidRPr="002D2D39">
        <w:rPr>
          <w:rFonts w:ascii="Arial" w:hAnsi="Arial" w:cs="Arial"/>
        </w:rPr>
        <w:t>a favor de</w:t>
      </w:r>
      <w:r w:rsidR="00D56916">
        <w:rPr>
          <w:rFonts w:ascii="Arial" w:hAnsi="Arial" w:cs="Arial"/>
        </w:rPr>
        <w:t xml:space="preserve"> la</w:t>
      </w:r>
      <w:r w:rsidR="001406DD" w:rsidRPr="002D2D39">
        <w:rPr>
          <w:rFonts w:ascii="Arial" w:hAnsi="Arial" w:cs="Arial"/>
        </w:rPr>
        <w:t xml:space="preserve"> </w:t>
      </w:r>
      <w:r w:rsidR="0092026F">
        <w:rPr>
          <w:rFonts w:ascii="Arial" w:hAnsi="Arial" w:cs="Arial"/>
          <w:b/>
        </w:rPr>
        <w:t xml:space="preserve">SECRETARÍA DE EDUCACIÓN </w:t>
      </w:r>
      <w:r w:rsidR="00297B1B">
        <w:rPr>
          <w:rFonts w:ascii="Arial" w:hAnsi="Arial" w:cs="Arial"/>
          <w:b/>
        </w:rPr>
        <w:t xml:space="preserve">PÚBLICA </w:t>
      </w:r>
      <w:r w:rsidR="00297B1B" w:rsidRPr="00297B1B">
        <w:rPr>
          <w:rFonts w:ascii="Arial" w:hAnsi="Arial" w:cs="Arial"/>
        </w:rPr>
        <w:t>respecto</w:t>
      </w:r>
      <w:r w:rsidR="001406DD" w:rsidRPr="002D2D39">
        <w:rPr>
          <w:rFonts w:ascii="Arial" w:hAnsi="Arial" w:cs="Arial"/>
        </w:rPr>
        <w:t xml:space="preserve"> del bien inmueble del Dominio Público Municipal</w:t>
      </w:r>
      <w:r w:rsidR="001406DD">
        <w:rPr>
          <w:rFonts w:ascii="Arial" w:hAnsi="Arial" w:cs="Arial"/>
        </w:rPr>
        <w:t>.</w:t>
      </w:r>
    </w:p>
    <w:p w14:paraId="71E2AE2D" w14:textId="77777777" w:rsidR="001406DD" w:rsidRDefault="001406DD" w:rsidP="00522C39">
      <w:pPr>
        <w:spacing w:line="360" w:lineRule="auto"/>
        <w:jc w:val="both"/>
        <w:rPr>
          <w:rFonts w:ascii="Arial" w:hAnsi="Arial" w:cs="Arial"/>
        </w:rPr>
      </w:pPr>
    </w:p>
    <w:p w14:paraId="7496F220" w14:textId="33F34765" w:rsidR="001406DD" w:rsidRPr="002D2D39" w:rsidRDefault="008555DE" w:rsidP="00522C39">
      <w:pPr>
        <w:spacing w:line="360" w:lineRule="auto"/>
        <w:jc w:val="both"/>
        <w:rPr>
          <w:rFonts w:ascii="Arial" w:hAnsi="Arial" w:cs="Arial"/>
          <w:color w:val="000000" w:themeColor="text1"/>
        </w:rPr>
      </w:pPr>
      <w:r>
        <w:rPr>
          <w:rFonts w:ascii="Arial" w:hAnsi="Arial" w:cs="Arial"/>
        </w:rPr>
        <w:t>En relación con</w:t>
      </w:r>
      <w:r w:rsidR="001406DD">
        <w:rPr>
          <w:rFonts w:ascii="Arial" w:hAnsi="Arial" w:cs="Arial"/>
        </w:rPr>
        <w:t xml:space="preserve"> los anteriores antecedentes que presenta el promovente a través de solicitud de mérito, los integrantes de la Comisión de Desarrollo Urbano, nos permitimos realizar las siguientes: </w:t>
      </w:r>
    </w:p>
    <w:p w14:paraId="12A59EE9" w14:textId="77777777" w:rsidR="00784AF9" w:rsidRPr="002D2D39" w:rsidRDefault="00784AF9" w:rsidP="00522C39">
      <w:pPr>
        <w:spacing w:line="360" w:lineRule="auto"/>
        <w:jc w:val="both"/>
        <w:rPr>
          <w:rFonts w:ascii="Arial" w:hAnsi="Arial" w:cs="Arial"/>
          <w:color w:val="000000" w:themeColor="text1"/>
        </w:rPr>
      </w:pPr>
    </w:p>
    <w:p w14:paraId="64C49CB2" w14:textId="28B771CB" w:rsidR="00346872"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lastRenderedPageBreak/>
        <w:t>CONSIDERACIONES</w:t>
      </w:r>
    </w:p>
    <w:p w14:paraId="20954806" w14:textId="088AA697" w:rsidR="00196626" w:rsidRDefault="00196626" w:rsidP="00522C39">
      <w:pPr>
        <w:spacing w:line="360" w:lineRule="auto"/>
        <w:jc w:val="center"/>
        <w:rPr>
          <w:rFonts w:ascii="Arial" w:hAnsi="Arial" w:cs="Arial"/>
          <w:b/>
          <w:color w:val="000000" w:themeColor="text1"/>
          <w:lang w:val="es-MX"/>
        </w:rPr>
      </w:pPr>
    </w:p>
    <w:p w14:paraId="0ECCF5A2" w14:textId="77777777" w:rsidR="00196626" w:rsidRDefault="00196626" w:rsidP="00196626">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67F813FA" w14:textId="77777777" w:rsidR="00196626" w:rsidRPr="006678F4" w:rsidRDefault="00196626" w:rsidP="00196626">
      <w:pPr>
        <w:spacing w:line="360" w:lineRule="auto"/>
        <w:jc w:val="both"/>
        <w:rPr>
          <w:rFonts w:ascii="Arial" w:hAnsi="Arial" w:cs="Arial"/>
          <w:color w:val="000000" w:themeColor="text1"/>
        </w:rPr>
      </w:pPr>
    </w:p>
    <w:p w14:paraId="33234CA4" w14:textId="1A42F352" w:rsidR="00196626" w:rsidRPr="006678F4" w:rsidRDefault="00196626" w:rsidP="00196626">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CE4C63">
        <w:rPr>
          <w:rFonts w:ascii="Arial" w:hAnsi="Arial" w:cs="Arial"/>
        </w:rPr>
        <w:t>o</w:t>
      </w:r>
      <w:r w:rsidRPr="006678F4">
        <w:rPr>
          <w:rFonts w:ascii="Arial" w:hAnsi="Arial" w:cs="Arial"/>
        </w:rPr>
        <w:t>porte jurídico, nos vamos a permitir cita</w:t>
      </w:r>
      <w:r w:rsidR="00CE4C63">
        <w:rPr>
          <w:rFonts w:ascii="Arial" w:hAnsi="Arial" w:cs="Arial"/>
        </w:rPr>
        <w:t>r</w:t>
      </w:r>
      <w:r w:rsidRPr="006678F4">
        <w:rPr>
          <w:rFonts w:ascii="Arial" w:hAnsi="Arial" w:cs="Arial"/>
        </w:rPr>
        <w:t xml:space="preserve"> las siguientes jurisprudencias, que a la letra dicen lo siguiente: </w:t>
      </w:r>
    </w:p>
    <w:p w14:paraId="6C3FFBDA" w14:textId="77777777" w:rsidR="00196626" w:rsidRPr="006678F4" w:rsidRDefault="00196626" w:rsidP="00196626">
      <w:pPr>
        <w:pStyle w:val="Prrafodelista"/>
        <w:ind w:left="1416"/>
        <w:rPr>
          <w:rFonts w:ascii="Arial" w:hAnsi="Arial" w:cs="Arial"/>
        </w:rPr>
      </w:pPr>
    </w:p>
    <w:p w14:paraId="6DADD6F3"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411C12C0"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Registro: 188508 </w:t>
      </w:r>
    </w:p>
    <w:p w14:paraId="6D082DEF"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Instancia: Pleno </w:t>
      </w:r>
    </w:p>
    <w:p w14:paraId="6DD71006"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6E8EAD17"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72932F62"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138DAF53"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3D8BCC35"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Tesis: P./J. 123/2001 </w:t>
      </w:r>
    </w:p>
    <w:p w14:paraId="3725EAEA"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Página: 16 </w:t>
      </w:r>
    </w:p>
    <w:p w14:paraId="44B1EECC" w14:textId="77777777" w:rsidR="00196626" w:rsidRPr="008C186C" w:rsidRDefault="00196626" w:rsidP="00196626">
      <w:pPr>
        <w:pStyle w:val="Prrafodelista"/>
        <w:ind w:left="1416"/>
        <w:rPr>
          <w:rFonts w:ascii="Arial" w:hAnsi="Arial" w:cs="Arial"/>
          <w:sz w:val="22"/>
          <w:szCs w:val="22"/>
        </w:rPr>
      </w:pPr>
    </w:p>
    <w:p w14:paraId="7922CF23"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lastRenderedPageBreak/>
        <w:t>RETROACTIVIDAD DE LAS LEYES. SU DETERMINACIÓN CONFORME A LA TEORÍA DE LOS COMPONENTES DE LA NORMA.</w:t>
      </w:r>
    </w:p>
    <w:p w14:paraId="47717969" w14:textId="77777777" w:rsidR="00196626" w:rsidRPr="008C186C" w:rsidRDefault="00196626" w:rsidP="00196626">
      <w:pPr>
        <w:pStyle w:val="Prrafodelista"/>
        <w:ind w:left="1416"/>
        <w:rPr>
          <w:rFonts w:ascii="Arial" w:hAnsi="Arial" w:cs="Arial"/>
          <w:sz w:val="22"/>
          <w:szCs w:val="22"/>
        </w:rPr>
      </w:pPr>
    </w:p>
    <w:p w14:paraId="674B892F" w14:textId="77777777" w:rsidR="00196626" w:rsidRPr="008C186C" w:rsidRDefault="00196626" w:rsidP="00196626">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w:t>
      </w:r>
      <w:r w:rsidRPr="008C186C">
        <w:rPr>
          <w:rFonts w:ascii="Arial" w:hAnsi="Arial" w:cs="Arial"/>
          <w:sz w:val="22"/>
          <w:szCs w:val="22"/>
        </w:rPr>
        <w:lastRenderedPageBreak/>
        <w:t>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57DABA52" w14:textId="77777777" w:rsidR="00196626" w:rsidRPr="008C186C" w:rsidRDefault="00196626" w:rsidP="00196626">
      <w:pPr>
        <w:pStyle w:val="Prrafodelista"/>
        <w:ind w:left="1416"/>
        <w:rPr>
          <w:rFonts w:ascii="Arial" w:hAnsi="Arial" w:cs="Arial"/>
          <w:sz w:val="22"/>
          <w:szCs w:val="22"/>
        </w:rPr>
      </w:pPr>
    </w:p>
    <w:p w14:paraId="7D2ACB5B"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6DC84DA7" w14:textId="77777777" w:rsidR="00196626" w:rsidRPr="008C186C" w:rsidRDefault="00196626" w:rsidP="00196626">
      <w:pPr>
        <w:pStyle w:val="Prrafodelista"/>
        <w:ind w:left="1416"/>
        <w:rPr>
          <w:rFonts w:ascii="Arial" w:hAnsi="Arial" w:cs="Arial"/>
          <w:sz w:val="22"/>
          <w:szCs w:val="22"/>
        </w:rPr>
      </w:pPr>
    </w:p>
    <w:p w14:paraId="3857F994"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220E6AA0" w14:textId="77777777" w:rsidR="00196626" w:rsidRPr="008C186C" w:rsidRDefault="00196626" w:rsidP="00196626">
      <w:pPr>
        <w:pStyle w:val="Prrafodelista"/>
        <w:ind w:left="1416"/>
        <w:rPr>
          <w:rFonts w:ascii="Arial" w:hAnsi="Arial" w:cs="Arial"/>
          <w:sz w:val="22"/>
          <w:szCs w:val="22"/>
        </w:rPr>
      </w:pPr>
    </w:p>
    <w:p w14:paraId="1E1D3705"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61D48BD0" w14:textId="77777777" w:rsidR="00196626" w:rsidRPr="008C186C" w:rsidRDefault="00196626" w:rsidP="00196626">
      <w:pPr>
        <w:pStyle w:val="Prrafodelista"/>
        <w:ind w:left="1416"/>
        <w:rPr>
          <w:rFonts w:ascii="Arial" w:hAnsi="Arial" w:cs="Arial"/>
          <w:sz w:val="22"/>
          <w:szCs w:val="22"/>
        </w:rPr>
      </w:pPr>
    </w:p>
    <w:p w14:paraId="320491F7"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74607DAE" w14:textId="77777777" w:rsidR="00196626" w:rsidRPr="008C186C" w:rsidRDefault="00196626" w:rsidP="00196626">
      <w:pPr>
        <w:pStyle w:val="Prrafodelista"/>
        <w:ind w:left="1416"/>
        <w:rPr>
          <w:rFonts w:ascii="Arial" w:hAnsi="Arial" w:cs="Arial"/>
          <w:sz w:val="22"/>
          <w:szCs w:val="22"/>
        </w:rPr>
      </w:pPr>
    </w:p>
    <w:p w14:paraId="34C26AF5"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Amparo en revisión 1037/99. Fibervisions de México, S.A. de C.V. y coags. 9 de agosto de 2001. Unanimidad de diez votos. Ausente: José </w:t>
      </w:r>
      <w:r w:rsidRPr="008C186C">
        <w:rPr>
          <w:rFonts w:ascii="Arial" w:hAnsi="Arial" w:cs="Arial"/>
          <w:sz w:val="22"/>
          <w:szCs w:val="22"/>
        </w:rPr>
        <w:lastRenderedPageBreak/>
        <w:t>Vicente Aguinaco Alemán. Ponente: Sergio Salvador Aguirre Anguiano. Secretaria: Rosalía Argumosa López.</w:t>
      </w:r>
    </w:p>
    <w:p w14:paraId="218DFE77" w14:textId="77777777" w:rsidR="00196626" w:rsidRPr="008C186C" w:rsidRDefault="00196626" w:rsidP="00196626">
      <w:pPr>
        <w:pStyle w:val="Prrafodelista"/>
        <w:ind w:left="1416"/>
        <w:rPr>
          <w:rFonts w:ascii="Arial" w:hAnsi="Arial" w:cs="Arial"/>
          <w:sz w:val="22"/>
          <w:szCs w:val="22"/>
        </w:rPr>
      </w:pPr>
    </w:p>
    <w:p w14:paraId="5F67DD51"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2EA24E35" w14:textId="77777777" w:rsidR="00196626" w:rsidRPr="008C186C" w:rsidRDefault="00196626" w:rsidP="00196626">
      <w:pPr>
        <w:pStyle w:val="Prrafodelista"/>
        <w:ind w:left="1416"/>
        <w:rPr>
          <w:rFonts w:ascii="Arial" w:hAnsi="Arial" w:cs="Arial"/>
          <w:sz w:val="22"/>
          <w:szCs w:val="22"/>
        </w:rPr>
      </w:pPr>
    </w:p>
    <w:p w14:paraId="239F22AB" w14:textId="77777777" w:rsidR="00196626" w:rsidRPr="008C186C" w:rsidRDefault="00196626" w:rsidP="00196626">
      <w:pPr>
        <w:pStyle w:val="Prrafodelista"/>
        <w:ind w:left="1416"/>
        <w:rPr>
          <w:rFonts w:ascii="Arial" w:hAnsi="Arial" w:cs="Arial"/>
          <w:sz w:val="22"/>
          <w:szCs w:val="22"/>
        </w:rPr>
      </w:pPr>
    </w:p>
    <w:p w14:paraId="2B01C4AD" w14:textId="77777777" w:rsidR="00196626" w:rsidRPr="008C186C" w:rsidRDefault="00196626" w:rsidP="00196626">
      <w:pPr>
        <w:pStyle w:val="Prrafodelista"/>
        <w:ind w:left="1416"/>
        <w:rPr>
          <w:rFonts w:ascii="Arial" w:hAnsi="Arial" w:cs="Arial"/>
          <w:sz w:val="22"/>
          <w:szCs w:val="22"/>
        </w:rPr>
      </w:pPr>
    </w:p>
    <w:p w14:paraId="7DE2F06B"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062E3555"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Registro: 162299 </w:t>
      </w:r>
    </w:p>
    <w:p w14:paraId="35C0A61E"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3AB19521"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49B2F0B9"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70C9CBF6"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08A285A5"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5DEDC65C"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Tesis: 1a./J. 78/2010 </w:t>
      </w:r>
    </w:p>
    <w:p w14:paraId="05DF92D7"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 xml:space="preserve">Página: 285 </w:t>
      </w:r>
    </w:p>
    <w:p w14:paraId="6D10E64B" w14:textId="77777777" w:rsidR="00196626" w:rsidRPr="008C186C" w:rsidRDefault="00196626" w:rsidP="00196626">
      <w:pPr>
        <w:pStyle w:val="Prrafodelista"/>
        <w:ind w:left="1416"/>
        <w:rPr>
          <w:rFonts w:ascii="Arial" w:hAnsi="Arial" w:cs="Arial"/>
          <w:sz w:val="22"/>
          <w:szCs w:val="22"/>
        </w:rPr>
      </w:pPr>
    </w:p>
    <w:p w14:paraId="3C5FC12F"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4082FE51" w14:textId="77777777" w:rsidR="00196626" w:rsidRPr="008C186C" w:rsidRDefault="00196626" w:rsidP="00196626">
      <w:pPr>
        <w:pStyle w:val="Prrafodelista"/>
        <w:ind w:left="1416"/>
        <w:rPr>
          <w:rFonts w:ascii="Arial" w:hAnsi="Arial" w:cs="Arial"/>
          <w:sz w:val="22"/>
          <w:szCs w:val="22"/>
        </w:rPr>
      </w:pPr>
    </w:p>
    <w:p w14:paraId="7C6345E2" w14:textId="77777777" w:rsidR="00196626" w:rsidRPr="008C186C" w:rsidRDefault="00196626" w:rsidP="00196626">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077CF4DA" w14:textId="77777777" w:rsidR="00196626" w:rsidRPr="008C186C" w:rsidRDefault="00196626" w:rsidP="00196626">
      <w:pPr>
        <w:pStyle w:val="Prrafodelista"/>
        <w:ind w:left="1416"/>
        <w:rPr>
          <w:rFonts w:ascii="Arial" w:hAnsi="Arial" w:cs="Arial"/>
          <w:sz w:val="22"/>
          <w:szCs w:val="22"/>
        </w:rPr>
      </w:pPr>
    </w:p>
    <w:p w14:paraId="5FCA0B83"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652882E5" w14:textId="77777777" w:rsidR="00196626" w:rsidRPr="008C186C" w:rsidRDefault="00196626" w:rsidP="00196626">
      <w:pPr>
        <w:pStyle w:val="Prrafodelista"/>
        <w:ind w:left="1416"/>
        <w:rPr>
          <w:rFonts w:ascii="Arial" w:hAnsi="Arial" w:cs="Arial"/>
          <w:sz w:val="22"/>
          <w:szCs w:val="22"/>
        </w:rPr>
      </w:pPr>
    </w:p>
    <w:p w14:paraId="5E327104"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5026A0E3" w14:textId="77777777" w:rsidR="00196626" w:rsidRPr="008C186C" w:rsidRDefault="00196626" w:rsidP="00196626">
      <w:pPr>
        <w:pStyle w:val="Prrafodelista"/>
        <w:ind w:left="1416"/>
        <w:rPr>
          <w:rFonts w:ascii="Arial" w:hAnsi="Arial" w:cs="Arial"/>
          <w:sz w:val="22"/>
          <w:szCs w:val="22"/>
        </w:rPr>
      </w:pPr>
    </w:p>
    <w:p w14:paraId="74F6F6A9"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41619533" w14:textId="77777777" w:rsidR="00196626" w:rsidRPr="008C186C" w:rsidRDefault="00196626" w:rsidP="00196626">
      <w:pPr>
        <w:pStyle w:val="Prrafodelista"/>
        <w:ind w:left="1416"/>
        <w:rPr>
          <w:rFonts w:ascii="Arial" w:hAnsi="Arial" w:cs="Arial"/>
          <w:sz w:val="22"/>
          <w:szCs w:val="22"/>
        </w:rPr>
      </w:pPr>
    </w:p>
    <w:p w14:paraId="57A59D44"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078F2E72" w14:textId="77777777" w:rsidR="00196626" w:rsidRPr="008C186C" w:rsidRDefault="00196626" w:rsidP="00196626">
      <w:pPr>
        <w:pStyle w:val="Prrafodelista"/>
        <w:ind w:left="1416"/>
        <w:rPr>
          <w:rFonts w:ascii="Arial" w:hAnsi="Arial" w:cs="Arial"/>
          <w:sz w:val="22"/>
          <w:szCs w:val="22"/>
        </w:rPr>
      </w:pPr>
    </w:p>
    <w:p w14:paraId="1AF57EBE"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570C02C2" w14:textId="77777777" w:rsidR="00196626" w:rsidRPr="008C186C" w:rsidRDefault="00196626" w:rsidP="00196626">
      <w:pPr>
        <w:pStyle w:val="Prrafodelista"/>
        <w:ind w:left="1416"/>
        <w:rPr>
          <w:rFonts w:ascii="Arial" w:hAnsi="Arial" w:cs="Arial"/>
          <w:sz w:val="22"/>
          <w:szCs w:val="22"/>
        </w:rPr>
      </w:pPr>
    </w:p>
    <w:p w14:paraId="02D2AE1D"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676E35A5" w14:textId="77777777" w:rsidR="00196626" w:rsidRPr="008C186C" w:rsidRDefault="00196626" w:rsidP="00196626">
      <w:pPr>
        <w:pStyle w:val="Prrafodelista"/>
        <w:ind w:left="1416"/>
        <w:rPr>
          <w:rFonts w:ascii="Arial" w:hAnsi="Arial" w:cs="Arial"/>
          <w:sz w:val="22"/>
          <w:szCs w:val="22"/>
        </w:rPr>
      </w:pPr>
    </w:p>
    <w:p w14:paraId="0A0CF41B" w14:textId="77777777" w:rsidR="00196626" w:rsidRPr="008C186C" w:rsidRDefault="00196626" w:rsidP="00196626">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2DFD6F46" w14:textId="77777777" w:rsidR="00196626" w:rsidRPr="006678F4" w:rsidRDefault="00196626" w:rsidP="00196626">
      <w:pPr>
        <w:rPr>
          <w:rFonts w:ascii="Arial" w:hAnsi="Arial" w:cs="Arial"/>
        </w:rPr>
      </w:pPr>
    </w:p>
    <w:p w14:paraId="6EA2A47F" w14:textId="77777777" w:rsidR="00196626" w:rsidRPr="006678F4" w:rsidRDefault="00196626" w:rsidP="00196626">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708D94B2" w14:textId="77777777" w:rsidR="00196626" w:rsidRPr="006678F4" w:rsidRDefault="00196626" w:rsidP="00196626">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3FFDEB38" wp14:editId="0B358E47">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34CCE2C3" w14:textId="77777777" w:rsidR="00196626" w:rsidRPr="009F3F9B" w:rsidRDefault="00196626" w:rsidP="00196626">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DEB38"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34CCE2C3" w14:textId="77777777" w:rsidR="00196626" w:rsidRPr="009F3F9B" w:rsidRDefault="00196626" w:rsidP="00196626">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028E548C" w14:textId="77777777" w:rsidR="00196626" w:rsidRPr="006678F4" w:rsidRDefault="00196626" w:rsidP="00196626">
      <w:pPr>
        <w:spacing w:line="360" w:lineRule="auto"/>
        <w:jc w:val="both"/>
        <w:rPr>
          <w:rFonts w:ascii="Arial" w:hAnsi="Arial" w:cs="Arial"/>
        </w:rPr>
      </w:pPr>
    </w:p>
    <w:p w14:paraId="294E3748" w14:textId="77777777" w:rsidR="00196626" w:rsidRPr="006678F4" w:rsidRDefault="00196626" w:rsidP="00196626">
      <w:pPr>
        <w:spacing w:line="360" w:lineRule="auto"/>
        <w:jc w:val="both"/>
        <w:rPr>
          <w:rFonts w:ascii="Arial" w:hAnsi="Arial" w:cs="Arial"/>
        </w:rPr>
      </w:pPr>
    </w:p>
    <w:p w14:paraId="38AB9662" w14:textId="77777777" w:rsidR="00196626" w:rsidRPr="006678F4" w:rsidRDefault="00196626" w:rsidP="00196626">
      <w:pPr>
        <w:spacing w:line="360" w:lineRule="auto"/>
        <w:jc w:val="both"/>
        <w:rPr>
          <w:rFonts w:ascii="Arial" w:hAnsi="Arial" w:cs="Arial"/>
        </w:rPr>
      </w:pPr>
    </w:p>
    <w:p w14:paraId="29B4F430" w14:textId="77777777" w:rsidR="00196626" w:rsidRPr="006678F4" w:rsidRDefault="00196626" w:rsidP="00196626">
      <w:pPr>
        <w:spacing w:line="360" w:lineRule="auto"/>
        <w:jc w:val="both"/>
        <w:rPr>
          <w:rFonts w:ascii="Arial" w:hAnsi="Arial" w:cs="Arial"/>
          <w:sz w:val="28"/>
        </w:rPr>
      </w:pPr>
      <w:r w:rsidRPr="006678F4">
        <w:rPr>
          <w:rFonts w:ascii="Arial" w:hAnsi="Arial" w:cs="Arial"/>
        </w:rPr>
        <w:lastRenderedPageBreak/>
        <w:t>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1E088CF6" w14:textId="77777777" w:rsidR="00196626" w:rsidRPr="008C186C" w:rsidRDefault="00196626" w:rsidP="00196626">
      <w:pPr>
        <w:jc w:val="both"/>
        <w:rPr>
          <w:rFonts w:ascii="Arial" w:hAnsi="Arial" w:cs="Arial"/>
          <w:sz w:val="22"/>
          <w:szCs w:val="22"/>
        </w:rPr>
      </w:pPr>
    </w:p>
    <w:p w14:paraId="491483B2"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330D24B3"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1A45A31F"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7C8FA9A9"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2E6CAA96"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19D90F71"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37321873"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17E0C8AD"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257F409C"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1DDE5726" w14:textId="77777777" w:rsidR="00196626" w:rsidRPr="008C186C" w:rsidRDefault="00196626" w:rsidP="00196626">
      <w:pPr>
        <w:ind w:left="1416"/>
        <w:jc w:val="both"/>
        <w:rPr>
          <w:rFonts w:ascii="Arial" w:hAnsi="Arial" w:cs="Arial"/>
          <w:color w:val="000000" w:themeColor="text1"/>
          <w:sz w:val="22"/>
          <w:szCs w:val="22"/>
        </w:rPr>
      </w:pPr>
    </w:p>
    <w:p w14:paraId="75C2024D"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2EDF3856" w14:textId="77777777" w:rsidR="00196626" w:rsidRPr="008C186C" w:rsidRDefault="00196626" w:rsidP="00196626">
      <w:pPr>
        <w:ind w:left="1416"/>
        <w:jc w:val="both"/>
        <w:rPr>
          <w:rFonts w:ascii="Arial" w:hAnsi="Arial" w:cs="Arial"/>
          <w:color w:val="000000" w:themeColor="text1"/>
          <w:sz w:val="22"/>
          <w:szCs w:val="22"/>
        </w:rPr>
      </w:pPr>
    </w:p>
    <w:p w14:paraId="44811887"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w:t>
      </w:r>
      <w:r w:rsidRPr="008C186C">
        <w:rPr>
          <w:rFonts w:ascii="Arial" w:hAnsi="Arial" w:cs="Arial"/>
          <w:color w:val="000000" w:themeColor="text1"/>
          <w:sz w:val="22"/>
          <w:szCs w:val="22"/>
        </w:rPr>
        <w:lastRenderedPageBreak/>
        <w:t>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2796D25B" w14:textId="77777777" w:rsidR="00196626" w:rsidRPr="008C186C" w:rsidRDefault="00196626" w:rsidP="00196626">
      <w:pPr>
        <w:ind w:left="1416"/>
        <w:jc w:val="both"/>
        <w:rPr>
          <w:rFonts w:ascii="Arial" w:hAnsi="Arial" w:cs="Arial"/>
          <w:color w:val="000000" w:themeColor="text1"/>
          <w:sz w:val="22"/>
          <w:szCs w:val="22"/>
        </w:rPr>
      </w:pPr>
    </w:p>
    <w:p w14:paraId="6010A255" w14:textId="77777777" w:rsidR="00196626" w:rsidRPr="008C186C" w:rsidRDefault="00196626" w:rsidP="00196626">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79307656" w14:textId="77777777" w:rsidR="00196626" w:rsidRPr="006678F4" w:rsidRDefault="00196626" w:rsidP="00196626">
      <w:pPr>
        <w:jc w:val="both"/>
        <w:rPr>
          <w:rFonts w:ascii="Arial" w:hAnsi="Arial" w:cs="Arial"/>
        </w:rPr>
      </w:pPr>
    </w:p>
    <w:p w14:paraId="5338AAD1" w14:textId="77777777" w:rsidR="00196626" w:rsidRDefault="00196626" w:rsidP="00196626">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72B8B71F" w14:textId="77777777" w:rsidR="00196626" w:rsidRDefault="00196626" w:rsidP="00522C39">
      <w:pPr>
        <w:autoSpaceDE w:val="0"/>
        <w:autoSpaceDN w:val="0"/>
        <w:adjustRightInd w:val="0"/>
        <w:spacing w:line="360" w:lineRule="auto"/>
        <w:jc w:val="both"/>
        <w:rPr>
          <w:rFonts w:ascii="Arial" w:hAnsi="Arial" w:cs="Arial"/>
          <w:b/>
          <w:color w:val="000000" w:themeColor="text1"/>
          <w:lang w:val="es-MX"/>
        </w:rPr>
      </w:pPr>
    </w:p>
    <w:p w14:paraId="01FE189D" w14:textId="58CAAF6C" w:rsidR="00346872"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lastRenderedPageBreak/>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1406DD">
        <w:rPr>
          <w:rFonts w:ascii="Arial" w:hAnsi="Arial" w:cs="Arial"/>
          <w:color w:val="000000" w:themeColor="text1"/>
          <w:lang w:val="es-MX"/>
        </w:rPr>
        <w:t>.</w:t>
      </w:r>
    </w:p>
    <w:p w14:paraId="116DC101" w14:textId="77777777" w:rsidR="001406DD" w:rsidRPr="00A8137D" w:rsidRDefault="001406DD" w:rsidP="001406DD">
      <w:pPr>
        <w:spacing w:line="360" w:lineRule="auto"/>
        <w:jc w:val="both"/>
        <w:rPr>
          <w:rFonts w:ascii="Arial" w:hAnsi="Arial" w:cs="Arial"/>
          <w:color w:val="000000" w:themeColor="text1"/>
          <w:lang w:val="es-MX"/>
        </w:rPr>
      </w:pPr>
    </w:p>
    <w:p w14:paraId="07B781C3" w14:textId="5DCDF824" w:rsidR="00D56916" w:rsidRDefault="001406DD" w:rsidP="00D56916">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estudio</w:t>
      </w:r>
      <w:r>
        <w:rPr>
          <w:rFonts w:ascii="Arial" w:hAnsi="Arial" w:cs="Arial"/>
          <w:color w:val="000000" w:themeColor="text1"/>
          <w:lang w:val="es-MX"/>
        </w:rPr>
        <w:t xml:space="preserve">,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el Municipio de </w:t>
      </w:r>
      <w:r w:rsidR="002710AE">
        <w:rPr>
          <w:rFonts w:ascii="Arial" w:hAnsi="Arial" w:cs="Arial"/>
          <w:color w:val="000000" w:themeColor="text1"/>
          <w:lang w:val="es-MX"/>
        </w:rPr>
        <w:t>Pesquería</w:t>
      </w:r>
      <w:r w:rsidRPr="00A8137D">
        <w:rPr>
          <w:rFonts w:ascii="Arial" w:hAnsi="Arial" w:cs="Arial"/>
          <w:color w:val="000000" w:themeColor="text1"/>
          <w:lang w:val="es-MX"/>
        </w:rPr>
        <w:t xml:space="preserve">, Nuevo León, </w:t>
      </w:r>
      <w:r w:rsidR="00D56916">
        <w:rPr>
          <w:rFonts w:ascii="Arial" w:hAnsi="Arial" w:cs="Arial"/>
          <w:color w:val="000000" w:themeColor="text1"/>
          <w:lang w:val="es-MX"/>
        </w:rPr>
        <w:t>adquirió por concepto de áreas cedidas descrita en el artículo 201 de la Ley de Desarrollo Urbano del Estado de Nuevo León.</w:t>
      </w:r>
    </w:p>
    <w:p w14:paraId="3F6844FB" w14:textId="77777777" w:rsidR="00D56916" w:rsidRDefault="00D56916" w:rsidP="00522C39">
      <w:pPr>
        <w:spacing w:line="360" w:lineRule="auto"/>
        <w:jc w:val="both"/>
        <w:rPr>
          <w:rFonts w:ascii="Arial" w:hAnsi="Arial" w:cs="Arial"/>
          <w:color w:val="000000" w:themeColor="text1"/>
          <w:lang w:val="es-MX"/>
        </w:rPr>
      </w:pPr>
    </w:p>
    <w:p w14:paraId="2BB3E869" w14:textId="56D1FC2B" w:rsidR="00346872" w:rsidRPr="00D56916" w:rsidRDefault="00346872" w:rsidP="00522C39">
      <w:pPr>
        <w:spacing w:line="360" w:lineRule="auto"/>
        <w:jc w:val="both"/>
        <w:rPr>
          <w:rFonts w:ascii="Arial" w:hAnsi="Arial" w:cs="Arial"/>
          <w:color w:val="000000" w:themeColor="text1"/>
          <w:lang w:val="es-MX"/>
        </w:rPr>
      </w:pPr>
      <w:r w:rsidRPr="002D2D39">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w:t>
      </w:r>
      <w:r w:rsidR="001406DD">
        <w:rPr>
          <w:rFonts w:ascii="Arial" w:hAnsi="Arial" w:cs="Arial"/>
          <w:color w:val="000000" w:themeColor="text1"/>
        </w:rPr>
        <w:t>.</w:t>
      </w:r>
    </w:p>
    <w:p w14:paraId="1DCFFD70" w14:textId="77777777" w:rsidR="00346872" w:rsidRPr="002D2D39" w:rsidRDefault="00346872" w:rsidP="00522C39">
      <w:pPr>
        <w:spacing w:line="360" w:lineRule="auto"/>
        <w:jc w:val="both"/>
        <w:rPr>
          <w:rFonts w:ascii="Arial" w:hAnsi="Arial" w:cs="Arial"/>
          <w:color w:val="000000" w:themeColor="text1"/>
        </w:rPr>
      </w:pPr>
    </w:p>
    <w:p w14:paraId="5ADF140F" w14:textId="2C504B06"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rPr>
        <w:t>Del análisis se desprende</w:t>
      </w:r>
      <w:r w:rsidR="00D56916">
        <w:rPr>
          <w:rFonts w:ascii="Arial" w:hAnsi="Arial" w:cs="Arial"/>
          <w:color w:val="000000" w:themeColor="text1"/>
        </w:rPr>
        <w:t xml:space="preserve"> </w:t>
      </w:r>
      <w:r w:rsidR="00346872" w:rsidRPr="002D2D39">
        <w:rPr>
          <w:rFonts w:ascii="Arial" w:hAnsi="Arial" w:cs="Arial"/>
          <w:color w:val="000000" w:themeColor="text1"/>
        </w:rPr>
        <w:t xml:space="preserve">que </w:t>
      </w:r>
      <w:r w:rsidR="001E684C" w:rsidRPr="002D2D39">
        <w:rPr>
          <w:rFonts w:ascii="Arial" w:hAnsi="Arial" w:cs="Arial"/>
          <w:color w:val="000000" w:themeColor="text1"/>
        </w:rPr>
        <w:t>el</w:t>
      </w:r>
      <w:r w:rsidR="00346872" w:rsidRPr="002D2D39">
        <w:rPr>
          <w:rFonts w:ascii="Arial" w:hAnsi="Arial" w:cs="Arial"/>
          <w:color w:val="000000" w:themeColor="text1"/>
        </w:rPr>
        <w:t xml:space="preserve"> bien inmueble municipal </w:t>
      </w:r>
      <w:r w:rsidR="00E80E55" w:rsidRPr="002D2D39">
        <w:rPr>
          <w:rFonts w:ascii="Arial" w:hAnsi="Arial" w:cs="Arial"/>
          <w:color w:val="000000" w:themeColor="text1"/>
        </w:rPr>
        <w:t>que se pretende otorgar</w:t>
      </w:r>
      <w:r w:rsidR="00346872" w:rsidRPr="002D2D39">
        <w:rPr>
          <w:rFonts w:ascii="Arial" w:hAnsi="Arial" w:cs="Arial"/>
          <w:color w:val="000000" w:themeColor="text1"/>
        </w:rPr>
        <w:t xml:space="preserve"> en </w:t>
      </w:r>
      <w:r w:rsidR="009B2B94" w:rsidRPr="009B2B94">
        <w:rPr>
          <w:rFonts w:ascii="Arial" w:hAnsi="Arial" w:cs="Arial"/>
          <w:b/>
          <w:color w:val="000000" w:themeColor="text1"/>
        </w:rPr>
        <w:t>COMODATO</w:t>
      </w:r>
      <w:r w:rsidR="00346872" w:rsidRPr="002D2D39">
        <w:rPr>
          <w:rFonts w:ascii="Arial" w:hAnsi="Arial" w:cs="Arial"/>
          <w:color w:val="000000" w:themeColor="text1"/>
        </w:rPr>
        <w:t xml:space="preserve"> </w:t>
      </w:r>
      <w:r w:rsidR="00117468">
        <w:rPr>
          <w:rFonts w:ascii="Arial" w:hAnsi="Arial" w:cs="Arial"/>
          <w:color w:val="000000" w:themeColor="text1"/>
          <w:lang w:val="es-MX"/>
        </w:rPr>
        <w:t>a favor de</w:t>
      </w:r>
      <w:r w:rsidR="00D56916">
        <w:rPr>
          <w:rFonts w:ascii="Arial" w:hAnsi="Arial" w:cs="Arial"/>
          <w:color w:val="000000" w:themeColor="text1"/>
          <w:lang w:val="es-MX"/>
        </w:rPr>
        <w:t xml:space="preserve"> </w:t>
      </w:r>
      <w:r w:rsidR="00117468">
        <w:rPr>
          <w:rFonts w:ascii="Arial" w:hAnsi="Arial" w:cs="Arial"/>
          <w:color w:val="000000" w:themeColor="text1"/>
          <w:lang w:val="es-MX"/>
        </w:rPr>
        <w:t>l</w:t>
      </w:r>
      <w:r w:rsidR="00D56916">
        <w:rPr>
          <w:rFonts w:ascii="Arial" w:hAnsi="Arial" w:cs="Arial"/>
          <w:color w:val="000000" w:themeColor="text1"/>
          <w:lang w:val="es-MX"/>
        </w:rPr>
        <w:t>a</w:t>
      </w:r>
      <w:r w:rsidR="00117468">
        <w:rPr>
          <w:rFonts w:ascii="Arial" w:hAnsi="Arial" w:cs="Arial"/>
          <w:color w:val="000000" w:themeColor="text1"/>
          <w:lang w:val="es-MX"/>
        </w:rPr>
        <w:t xml:space="preserve"> </w:t>
      </w:r>
      <w:r w:rsidR="0092026F">
        <w:rPr>
          <w:rFonts w:ascii="Arial" w:hAnsi="Arial" w:cs="Arial"/>
          <w:b/>
          <w:color w:val="000000" w:themeColor="text1"/>
          <w:lang w:val="es-MX"/>
        </w:rPr>
        <w:t>SECRETARÍA DE EDUCACIÓN PÚBLICA</w:t>
      </w:r>
      <w:r w:rsidR="00117468">
        <w:rPr>
          <w:rFonts w:ascii="Arial" w:hAnsi="Arial" w:cs="Arial"/>
          <w:color w:val="000000" w:themeColor="text1"/>
          <w:lang w:val="es-MX"/>
        </w:rPr>
        <w:t>,</w:t>
      </w:r>
      <w:r w:rsidR="0097641C" w:rsidRPr="002D2D39">
        <w:rPr>
          <w:rFonts w:ascii="Arial" w:hAnsi="Arial" w:cs="Arial"/>
          <w:color w:val="000000" w:themeColor="text1"/>
          <w:lang w:val="es-MX"/>
        </w:rPr>
        <w:t xml:space="preserve"> está acorde</w:t>
      </w:r>
      <w:r w:rsidR="00346872" w:rsidRPr="002D2D39">
        <w:rPr>
          <w:rFonts w:ascii="Arial" w:hAnsi="Arial" w:cs="Arial"/>
          <w:color w:val="000000" w:themeColor="text1"/>
          <w:lang w:val="es-MX"/>
        </w:rPr>
        <w:t xml:space="preserve"> a la obligación contemplada en el </w:t>
      </w:r>
      <w:r w:rsidR="00346872" w:rsidRPr="00370BB1">
        <w:rPr>
          <w:rFonts w:ascii="Arial" w:hAnsi="Arial" w:cs="Arial"/>
          <w:color w:val="000000" w:themeColor="text1"/>
          <w:lang w:val="es-MX"/>
        </w:rPr>
        <w:t>artículo 201</w:t>
      </w:r>
      <w:r w:rsidR="009B2B94">
        <w:rPr>
          <w:rFonts w:ascii="Arial" w:hAnsi="Arial" w:cs="Arial"/>
          <w:color w:val="000000" w:themeColor="text1"/>
          <w:lang w:val="es-MX"/>
        </w:rPr>
        <w:t>, penúltimo y último párrafo</w:t>
      </w:r>
      <w:r w:rsidR="00346872" w:rsidRPr="00370BB1">
        <w:rPr>
          <w:rFonts w:ascii="Arial" w:hAnsi="Arial" w:cs="Arial"/>
          <w:color w:val="000000" w:themeColor="text1"/>
          <w:lang w:val="es-MX"/>
        </w:rPr>
        <w:t xml:space="preserve"> de la Ley de Desarrollo Urbano del Estado de Nuevo </w:t>
      </w:r>
      <w:r w:rsidR="00841DD6" w:rsidRPr="00370BB1">
        <w:rPr>
          <w:rFonts w:ascii="Arial" w:hAnsi="Arial" w:cs="Arial"/>
          <w:color w:val="000000" w:themeColor="text1"/>
          <w:lang w:val="es-MX"/>
        </w:rPr>
        <w:t>León, pa</w:t>
      </w:r>
      <w:r w:rsidR="00841DD6">
        <w:rPr>
          <w:rFonts w:ascii="Arial" w:hAnsi="Arial" w:cs="Arial"/>
          <w:color w:val="000000" w:themeColor="text1"/>
          <w:lang w:val="es-MX"/>
        </w:rPr>
        <w:t>ra</w:t>
      </w:r>
      <w:r>
        <w:rPr>
          <w:rFonts w:ascii="Arial" w:hAnsi="Arial" w:cs="Arial"/>
          <w:color w:val="000000" w:themeColor="text1"/>
          <w:lang w:val="es-MX"/>
        </w:rPr>
        <w:t xml:space="preserve"> mayor apreciación los integrantes de esta Comisión Dictaminadora nos vamos a permitir citar dicho artículo, a fin de analizar la facultad que con la </w:t>
      </w:r>
      <w:r>
        <w:rPr>
          <w:rFonts w:ascii="Arial" w:hAnsi="Arial" w:cs="Arial"/>
          <w:color w:val="000000" w:themeColor="text1"/>
          <w:lang w:val="es-MX"/>
        </w:rPr>
        <w:lastRenderedPageBreak/>
        <w:t>que cuenta este H. Congreso en relación con la petición que nos hace llegar el promovente.</w:t>
      </w:r>
    </w:p>
    <w:p w14:paraId="3B116036" w14:textId="77777777" w:rsidR="00D55895" w:rsidRPr="000849B9" w:rsidRDefault="00D55895" w:rsidP="00D55895">
      <w:pPr>
        <w:rPr>
          <w:rFonts w:ascii="Arial" w:hAnsi="Arial" w:cs="Arial"/>
          <w:b/>
        </w:rPr>
      </w:pPr>
    </w:p>
    <w:p w14:paraId="24A4CC8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1468FB6"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p>
    <w:p w14:paraId="6B0415F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16CB0D81" w14:textId="77777777" w:rsidR="00D55895" w:rsidRDefault="00D55895" w:rsidP="00D55895">
      <w:pPr>
        <w:tabs>
          <w:tab w:val="left" w:pos="0"/>
          <w:tab w:val="left" w:pos="5760"/>
        </w:tabs>
        <w:autoSpaceDE w:val="0"/>
        <w:autoSpaceDN w:val="0"/>
        <w:adjustRightInd w:val="0"/>
        <w:ind w:left="708"/>
        <w:jc w:val="both"/>
        <w:rPr>
          <w:rFonts w:ascii="Arial" w:hAnsi="Arial" w:cs="Arial"/>
        </w:rPr>
      </w:pPr>
    </w:p>
    <w:p w14:paraId="06D1DC04" w14:textId="77777777" w:rsidR="00D55895" w:rsidRPr="007C38CA" w:rsidRDefault="00D55895" w:rsidP="00D55895">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3BF24A3D" w14:textId="77777777" w:rsidR="00D55895" w:rsidRDefault="00D55895" w:rsidP="00D55895">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65175A77" wp14:editId="4BF67D8B">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18001272" w14:textId="77777777" w:rsidR="002710AE" w:rsidRPr="007C38CA" w:rsidRDefault="002710AE"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2710AE" w:rsidRPr="007C38CA" w:rsidRDefault="002710AE" w:rsidP="00D5589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75A77"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18001272" w14:textId="77777777" w:rsidR="002710AE" w:rsidRPr="007C38CA" w:rsidRDefault="002710AE"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2710AE" w:rsidRPr="007C38CA" w:rsidRDefault="002710AE" w:rsidP="00D55895">
                      <w:pPr>
                        <w:rPr>
                          <w:b/>
                          <w:u w:val="single"/>
                        </w:rPr>
                      </w:pPr>
                    </w:p>
                  </w:txbxContent>
                </v:textbox>
                <w10:wrap type="square"/>
              </v:shape>
            </w:pict>
          </mc:Fallback>
        </mc:AlternateContent>
      </w:r>
    </w:p>
    <w:p w14:paraId="5916D642" w14:textId="77777777" w:rsidR="00D55895" w:rsidRDefault="00D55895" w:rsidP="00D55895">
      <w:pPr>
        <w:spacing w:line="360" w:lineRule="auto"/>
        <w:jc w:val="both"/>
        <w:rPr>
          <w:rFonts w:ascii="Arial" w:hAnsi="Arial" w:cs="Arial"/>
          <w:color w:val="000000" w:themeColor="text1"/>
          <w:lang w:val="es-MX"/>
        </w:rPr>
      </w:pPr>
    </w:p>
    <w:p w14:paraId="4D3FBE83" w14:textId="01F9FAC3" w:rsidR="003168D9" w:rsidRDefault="003168D9" w:rsidP="003168D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lastRenderedPageBreak/>
        <w:t>características propias del dominio público</w:t>
      </w:r>
      <w:r>
        <w:rPr>
          <w:rFonts w:ascii="Arial" w:hAnsi="Arial" w:cs="Arial"/>
          <w:color w:val="000000" w:themeColor="text1"/>
          <w:lang w:val="es-MX"/>
        </w:rPr>
        <w:t>, además que para realizar afectaciones con utilidad pública se requiere revisar, la aprobación del H. Cabildo</w:t>
      </w:r>
      <w:r w:rsidR="00841DD6">
        <w:rPr>
          <w:rFonts w:ascii="Arial" w:hAnsi="Arial" w:cs="Arial"/>
          <w:color w:val="000000" w:themeColor="text1"/>
          <w:lang w:val="es-MX"/>
        </w:rPr>
        <w:t xml:space="preserve"> Municipal por las dos terceras partes </w:t>
      </w:r>
      <w:r>
        <w:rPr>
          <w:rFonts w:ascii="Arial" w:hAnsi="Arial" w:cs="Arial"/>
          <w:color w:val="000000" w:themeColor="text1"/>
          <w:lang w:val="es-MX"/>
        </w:rPr>
        <w:t>de sus integrantes</w:t>
      </w:r>
      <w:r>
        <w:rPr>
          <w:rFonts w:ascii="Arial" w:hAnsi="Arial" w:cs="Arial"/>
          <w:color w:val="000000" w:themeColor="text1"/>
        </w:rPr>
        <w:t xml:space="preserve">, así como los </w:t>
      </w:r>
      <w:r>
        <w:rPr>
          <w:rFonts w:ascii="Arial" w:hAnsi="Arial" w:cs="Arial"/>
          <w:color w:val="000000" w:themeColor="text1"/>
          <w:lang w:val="es-MX"/>
        </w:rPr>
        <w:t>requisitos que establece</w:t>
      </w:r>
      <w:r w:rsidR="00841DD6">
        <w:rPr>
          <w:rFonts w:ascii="Arial" w:hAnsi="Arial" w:cs="Arial"/>
          <w:color w:val="000000" w:themeColor="text1"/>
          <w:lang w:val="es-MX"/>
        </w:rPr>
        <w:t>n</w:t>
      </w:r>
      <w:r>
        <w:rPr>
          <w:rFonts w:ascii="Arial" w:hAnsi="Arial" w:cs="Arial"/>
          <w:color w:val="000000" w:themeColor="text1"/>
          <w:lang w:val="es-MX"/>
        </w:rPr>
        <w:t xml:space="preserve"> la normas locales y aprobación de esta representación popular. </w:t>
      </w:r>
    </w:p>
    <w:p w14:paraId="5C26827C" w14:textId="60B2FA78" w:rsidR="00D55895" w:rsidRDefault="00D55895" w:rsidP="00D55895">
      <w:pPr>
        <w:spacing w:line="360" w:lineRule="auto"/>
        <w:jc w:val="both"/>
        <w:rPr>
          <w:rFonts w:ascii="Arial" w:hAnsi="Arial" w:cs="Arial"/>
          <w:color w:val="000000" w:themeColor="text1"/>
          <w:lang w:val="es-MX"/>
        </w:rPr>
      </w:pPr>
    </w:p>
    <w:p w14:paraId="65DEE13D" w14:textId="72CF3E98" w:rsidR="00D55895" w:rsidRDefault="00D55895" w:rsidP="00D55895">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3273D0BB" w14:textId="77777777" w:rsidR="00D55895" w:rsidRDefault="00D55895" w:rsidP="00D55895"/>
    <w:p w14:paraId="201B5B2B" w14:textId="3821A204" w:rsidR="00D55895" w:rsidRPr="000B0408" w:rsidRDefault="00D55895" w:rsidP="00D55895">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841DD6"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w:t>
      </w:r>
      <w:r>
        <w:rPr>
          <w:rFonts w:ascii="Arial" w:hAnsi="Arial" w:cs="Arial"/>
        </w:rPr>
        <w:t xml:space="preserve"> </w:t>
      </w:r>
      <w:r w:rsidR="000013DC">
        <w:rPr>
          <w:rFonts w:ascii="Arial" w:hAnsi="Arial" w:cs="Arial"/>
        </w:rPr>
        <w:t>celebración</w:t>
      </w:r>
      <w:r>
        <w:rPr>
          <w:rFonts w:ascii="Arial" w:hAnsi="Arial" w:cs="Arial"/>
        </w:rPr>
        <w:t xml:space="preserve"> de</w:t>
      </w:r>
      <w:r w:rsidRPr="000B0408">
        <w:rPr>
          <w:rFonts w:ascii="Arial" w:hAnsi="Arial" w:cs="Arial"/>
        </w:rPr>
        <w:t xml:space="preserve"> comodato que nos solicita el deponente en su documento de mérito. </w:t>
      </w:r>
    </w:p>
    <w:p w14:paraId="5485542A" w14:textId="77777777" w:rsidR="00D55895" w:rsidRPr="000B0408" w:rsidRDefault="00D55895" w:rsidP="00D55895">
      <w:pPr>
        <w:spacing w:line="360" w:lineRule="auto"/>
        <w:jc w:val="both"/>
        <w:rPr>
          <w:rFonts w:ascii="Arial" w:hAnsi="Arial" w:cs="Arial"/>
        </w:rPr>
      </w:pPr>
    </w:p>
    <w:p w14:paraId="19FABD68"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4340F2B5" w14:textId="77777777" w:rsidR="00D55895" w:rsidRPr="000B0408" w:rsidRDefault="00D55895" w:rsidP="00D55895">
      <w:pPr>
        <w:spacing w:line="360" w:lineRule="auto"/>
        <w:jc w:val="both"/>
        <w:rPr>
          <w:rFonts w:ascii="Arial" w:hAnsi="Arial" w:cs="Arial"/>
        </w:rPr>
      </w:pPr>
    </w:p>
    <w:p w14:paraId="2DABDEE0"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w:t>
      </w:r>
      <w:r w:rsidRPr="000B0408">
        <w:rPr>
          <w:rFonts w:ascii="Arial" w:hAnsi="Arial" w:cs="Arial"/>
        </w:rPr>
        <w:lastRenderedPageBreak/>
        <w:t xml:space="preserve">sobre todo darle una salida para suprimir o incorporar un bien inmueble al dominio público. </w:t>
      </w:r>
    </w:p>
    <w:p w14:paraId="3591F80A" w14:textId="77777777" w:rsidR="00D55895" w:rsidRPr="000B0408" w:rsidRDefault="00D55895" w:rsidP="00D55895">
      <w:pPr>
        <w:spacing w:line="360" w:lineRule="auto"/>
        <w:jc w:val="both"/>
        <w:rPr>
          <w:rFonts w:ascii="Arial" w:hAnsi="Arial" w:cs="Arial"/>
        </w:rPr>
      </w:pPr>
    </w:p>
    <w:p w14:paraId="3BE5681B" w14:textId="77777777" w:rsidR="00D55895" w:rsidRPr="000B0408" w:rsidRDefault="00D55895" w:rsidP="00D55895">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6AD7B0CB" w14:textId="77777777" w:rsidR="00D55895" w:rsidRPr="000B0408" w:rsidRDefault="00D55895" w:rsidP="00D55895">
      <w:pPr>
        <w:spacing w:line="360" w:lineRule="auto"/>
        <w:jc w:val="both"/>
        <w:rPr>
          <w:rFonts w:ascii="Arial" w:hAnsi="Arial" w:cs="Arial"/>
        </w:rPr>
      </w:pPr>
    </w:p>
    <w:p w14:paraId="6FA6458B" w14:textId="77777777" w:rsidR="00D55895" w:rsidRDefault="00D55895" w:rsidP="00D55895">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58C6D19E" w14:textId="77777777" w:rsidR="00D55895" w:rsidRPr="000B0408" w:rsidRDefault="00D55895" w:rsidP="00D55895">
      <w:pPr>
        <w:spacing w:line="360" w:lineRule="auto"/>
        <w:jc w:val="both"/>
        <w:rPr>
          <w:rFonts w:ascii="Arial" w:hAnsi="Arial" w:cs="Arial"/>
        </w:rPr>
      </w:pPr>
    </w:p>
    <w:p w14:paraId="5E64786F"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4F6D1297" w14:textId="77777777" w:rsidR="00D55895" w:rsidRPr="000B0408" w:rsidRDefault="00D55895" w:rsidP="00D55895">
      <w:pPr>
        <w:spacing w:line="360" w:lineRule="auto"/>
        <w:jc w:val="both"/>
        <w:rPr>
          <w:rFonts w:ascii="Arial" w:hAnsi="Arial" w:cs="Arial"/>
        </w:rPr>
      </w:pPr>
    </w:p>
    <w:p w14:paraId="266F03A6" w14:textId="77777777" w:rsidR="00D55895" w:rsidRDefault="00D55895" w:rsidP="00D55895">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w:t>
      </w:r>
      <w:r w:rsidRPr="000B0408">
        <w:rPr>
          <w:rFonts w:ascii="Arial" w:hAnsi="Arial" w:cs="Arial"/>
        </w:rPr>
        <w:lastRenderedPageBreak/>
        <w:t xml:space="preserve">suficientes para pronunciarse de manera definitiva sobre el contenido de la petición planteada a esta H. Soberanía. </w:t>
      </w:r>
    </w:p>
    <w:p w14:paraId="0BEBB426" w14:textId="77777777" w:rsidR="00D55895" w:rsidRDefault="00D55895" w:rsidP="00D55895">
      <w:pPr>
        <w:spacing w:line="360" w:lineRule="auto"/>
        <w:jc w:val="both"/>
        <w:rPr>
          <w:rFonts w:ascii="Arial" w:hAnsi="Arial" w:cs="Arial"/>
        </w:rPr>
      </w:pPr>
    </w:p>
    <w:p w14:paraId="6C6ADC29" w14:textId="0C1ECA62" w:rsidR="00D55895" w:rsidRPr="009C5B8F" w:rsidRDefault="00D55895" w:rsidP="00D55895">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w:t>
      </w:r>
      <w:r w:rsidR="002710AE">
        <w:rPr>
          <w:rFonts w:ascii="Arial" w:hAnsi="Arial" w:cs="Arial"/>
        </w:rPr>
        <w:t>Pesquería</w:t>
      </w:r>
      <w:r w:rsidRPr="00CC7610">
        <w:rPr>
          <w:rFonts w:ascii="Arial" w:hAnsi="Arial" w:cs="Arial"/>
        </w:rPr>
        <w:t>, Nuevo</w:t>
      </w:r>
      <w:r w:rsidR="00513FE8">
        <w:rPr>
          <w:rFonts w:ascii="Arial" w:hAnsi="Arial" w:cs="Arial"/>
        </w:rPr>
        <w:t xml:space="preserve"> León, para celebrar la </w:t>
      </w:r>
      <w:r w:rsidR="000013DC">
        <w:rPr>
          <w:rFonts w:ascii="Arial" w:hAnsi="Arial" w:cs="Arial"/>
        </w:rPr>
        <w:t>celebración</w:t>
      </w:r>
      <w:r w:rsidR="00513FE8">
        <w:rPr>
          <w:rFonts w:ascii="Arial" w:hAnsi="Arial" w:cs="Arial"/>
        </w:rPr>
        <w:t xml:space="preserve"> del </w:t>
      </w:r>
      <w:r w:rsidR="006F4C0E" w:rsidRPr="006F4C0E">
        <w:rPr>
          <w:rFonts w:ascii="Arial" w:hAnsi="Arial" w:cs="Arial"/>
          <w:b/>
        </w:rPr>
        <w:t>CONTRATO DE COMODATO</w:t>
      </w:r>
      <w:r w:rsidR="006F4C0E" w:rsidRPr="00CC7610">
        <w:rPr>
          <w:rFonts w:ascii="Arial" w:hAnsi="Arial" w:cs="Arial"/>
        </w:rPr>
        <w:t xml:space="preserve"> </w:t>
      </w:r>
      <w:r w:rsidRPr="00CC7610">
        <w:rPr>
          <w:rFonts w:ascii="Arial" w:hAnsi="Arial" w:cs="Arial"/>
        </w:rPr>
        <w:t xml:space="preserve">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w:t>
      </w:r>
      <w:r w:rsidR="00841DD6">
        <w:rPr>
          <w:rFonts w:ascii="Arial" w:hAnsi="Arial" w:cs="Arial"/>
          <w:color w:val="000000" w:themeColor="text1"/>
          <w:lang w:val="es-MX"/>
        </w:rPr>
        <w:t>evo León, así como el diverso 20</w:t>
      </w:r>
      <w:r w:rsidRPr="007C38CA">
        <w:rPr>
          <w:rFonts w:ascii="Arial" w:hAnsi="Arial" w:cs="Arial"/>
          <w:color w:val="000000" w:themeColor="text1"/>
          <w:lang w:val="es-MX"/>
        </w:rPr>
        <w:t>3, frac</w:t>
      </w:r>
      <w:r w:rsidR="00841DD6">
        <w:rPr>
          <w:rFonts w:ascii="Arial" w:hAnsi="Arial" w:cs="Arial"/>
          <w:color w:val="000000" w:themeColor="text1"/>
          <w:lang w:val="es-MX"/>
        </w:rPr>
        <w:t xml:space="preserve">ción I, de la Ley de Gobierno </w:t>
      </w:r>
      <w:r w:rsidRPr="007C38CA">
        <w:rPr>
          <w:rFonts w:ascii="Arial" w:hAnsi="Arial" w:cs="Arial"/>
          <w:color w:val="000000" w:themeColor="text1"/>
          <w:lang w:val="es-MX"/>
        </w:rPr>
        <w:t>Municipal del Estado de Nuevo León.</w:t>
      </w:r>
      <w:r w:rsidRPr="00A8137D">
        <w:rPr>
          <w:rFonts w:ascii="Arial" w:hAnsi="Arial" w:cs="Arial"/>
          <w:color w:val="000000" w:themeColor="text1"/>
          <w:lang w:val="es-MX"/>
        </w:rPr>
        <w:t xml:space="preserve"> </w:t>
      </w:r>
    </w:p>
    <w:p w14:paraId="5A8D003D" w14:textId="77777777" w:rsidR="00D55895" w:rsidRPr="00A8137D" w:rsidRDefault="00D55895" w:rsidP="00D55895">
      <w:pPr>
        <w:spacing w:line="360" w:lineRule="auto"/>
        <w:jc w:val="both"/>
        <w:rPr>
          <w:rFonts w:ascii="Arial" w:hAnsi="Arial" w:cs="Arial"/>
          <w:color w:val="000000" w:themeColor="text1"/>
          <w:lang w:val="es-MX"/>
        </w:rPr>
      </w:pPr>
    </w:p>
    <w:p w14:paraId="6E4EFB00" w14:textId="77777777"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r>
        <w:rPr>
          <w:rFonts w:ascii="Arial" w:hAnsi="Arial" w:cs="Arial"/>
          <w:color w:val="000000" w:themeColor="text1"/>
          <w:lang w:val="es-MX"/>
        </w:rPr>
        <w:t xml:space="preserve"> </w:t>
      </w:r>
    </w:p>
    <w:p w14:paraId="67001CD8" w14:textId="77777777" w:rsidR="00D55895" w:rsidRDefault="00D55895" w:rsidP="00D55895">
      <w:pPr>
        <w:spacing w:line="360" w:lineRule="auto"/>
        <w:jc w:val="both"/>
        <w:rPr>
          <w:rFonts w:ascii="Arial" w:hAnsi="Arial" w:cs="Arial"/>
          <w:color w:val="000000" w:themeColor="text1"/>
          <w:lang w:val="es-MX"/>
        </w:rPr>
      </w:pPr>
    </w:p>
    <w:p w14:paraId="0A5F6F67" w14:textId="13D186FC" w:rsidR="00D55895" w:rsidRPr="00A8137D"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Pr>
          <w:rFonts w:ascii="Arial" w:hAnsi="Arial" w:cs="Arial"/>
          <w:color w:val="000000" w:themeColor="text1"/>
          <w:lang w:val="es-MX"/>
        </w:rPr>
        <w:t>se observa que dichas</w:t>
      </w:r>
      <w:r w:rsidRPr="00A8137D">
        <w:rPr>
          <w:rFonts w:ascii="Arial" w:hAnsi="Arial" w:cs="Arial"/>
          <w:color w:val="000000" w:themeColor="text1"/>
          <w:lang w:val="es-MX"/>
        </w:rPr>
        <w:t xml:space="preserve"> área</w:t>
      </w:r>
      <w:r>
        <w:rPr>
          <w:rFonts w:ascii="Arial" w:hAnsi="Arial" w:cs="Arial"/>
          <w:color w:val="000000" w:themeColor="text1"/>
          <w:lang w:val="es-MX"/>
        </w:rPr>
        <w:t>s</w:t>
      </w:r>
      <w:r w:rsidRPr="00A8137D">
        <w:rPr>
          <w:rFonts w:ascii="Arial" w:hAnsi="Arial" w:cs="Arial"/>
          <w:color w:val="000000" w:themeColor="text1"/>
          <w:lang w:val="es-MX"/>
        </w:rPr>
        <w:t xml:space="preserve"> municipa</w:t>
      </w:r>
      <w:r>
        <w:rPr>
          <w:rFonts w:ascii="Arial" w:hAnsi="Arial" w:cs="Arial"/>
          <w:color w:val="000000" w:themeColor="text1"/>
          <w:lang w:val="es-MX"/>
        </w:rPr>
        <w:t>les</w:t>
      </w:r>
      <w:r w:rsidRPr="00A8137D">
        <w:rPr>
          <w:rFonts w:ascii="Arial" w:hAnsi="Arial" w:cs="Arial"/>
          <w:color w:val="000000" w:themeColor="text1"/>
          <w:lang w:val="es-MX"/>
        </w:rPr>
        <w:t>, continuar</w:t>
      </w:r>
      <w:r>
        <w:rPr>
          <w:rFonts w:ascii="Arial" w:hAnsi="Arial" w:cs="Arial"/>
          <w:color w:val="000000" w:themeColor="text1"/>
          <w:lang w:val="es-MX"/>
        </w:rPr>
        <w:t>án</w:t>
      </w:r>
      <w:r w:rsidRPr="00A8137D">
        <w:rPr>
          <w:rFonts w:ascii="Arial" w:hAnsi="Arial" w:cs="Arial"/>
          <w:color w:val="000000" w:themeColor="text1"/>
          <w:lang w:val="es-MX"/>
        </w:rPr>
        <w:t xml:space="preserve"> prestando no solamente un servicio para los vecinos de ese bien de dominio público, </w:t>
      </w:r>
      <w:r>
        <w:rPr>
          <w:rFonts w:ascii="Arial" w:hAnsi="Arial" w:cs="Arial"/>
          <w:color w:val="000000" w:themeColor="text1"/>
          <w:lang w:val="es-MX"/>
        </w:rPr>
        <w:t xml:space="preserve">sobre todo </w:t>
      </w:r>
      <w:r w:rsidR="00D843AF">
        <w:rPr>
          <w:rFonts w:ascii="Arial" w:hAnsi="Arial" w:cs="Arial"/>
          <w:color w:val="000000" w:themeColor="text1"/>
          <w:lang w:val="es-MX"/>
        </w:rPr>
        <w:t xml:space="preserve">para la comunidad </w:t>
      </w:r>
      <w:r w:rsidR="00D843AF">
        <w:rPr>
          <w:rFonts w:ascii="Arial" w:hAnsi="Arial" w:cs="Arial"/>
          <w:color w:val="000000" w:themeColor="text1"/>
          <w:lang w:val="es-MX"/>
        </w:rPr>
        <w:lastRenderedPageBreak/>
        <w:t xml:space="preserve">en general a fin de </w:t>
      </w:r>
      <w:r w:rsidR="004245E2">
        <w:rPr>
          <w:rFonts w:ascii="Arial" w:hAnsi="Arial" w:cs="Arial"/>
          <w:color w:val="000000" w:themeColor="text1"/>
          <w:lang w:val="es-MX"/>
        </w:rPr>
        <w:t xml:space="preserve">solventar las necesidades del Municipio de </w:t>
      </w:r>
      <w:r w:rsidR="002710AE">
        <w:rPr>
          <w:rFonts w:ascii="Arial" w:hAnsi="Arial" w:cs="Arial"/>
          <w:color w:val="000000" w:themeColor="text1"/>
          <w:lang w:val="es-MX"/>
        </w:rPr>
        <w:t>Pesquería</w:t>
      </w:r>
      <w:r w:rsidR="004245E2">
        <w:rPr>
          <w:rFonts w:ascii="Arial" w:hAnsi="Arial" w:cs="Arial"/>
          <w:color w:val="000000" w:themeColor="text1"/>
          <w:lang w:val="es-MX"/>
        </w:rPr>
        <w:t xml:space="preserve">, de acercar servicios </w:t>
      </w:r>
      <w:r w:rsidR="00D56916">
        <w:rPr>
          <w:rFonts w:ascii="Arial" w:hAnsi="Arial" w:cs="Arial"/>
          <w:color w:val="000000" w:themeColor="text1"/>
          <w:lang w:val="es-MX"/>
        </w:rPr>
        <w:t xml:space="preserve">educativos </w:t>
      </w:r>
      <w:r w:rsidR="004245E2">
        <w:rPr>
          <w:rFonts w:ascii="Arial" w:hAnsi="Arial" w:cs="Arial"/>
          <w:color w:val="000000" w:themeColor="text1"/>
          <w:lang w:val="es-MX"/>
        </w:rPr>
        <w:t>a los ciudadano</w:t>
      </w:r>
      <w:r w:rsidR="00D56916">
        <w:rPr>
          <w:rFonts w:ascii="Arial" w:hAnsi="Arial" w:cs="Arial"/>
          <w:color w:val="000000" w:themeColor="text1"/>
          <w:lang w:val="es-MX"/>
        </w:rPr>
        <w:t xml:space="preserve">s, ya que se tiene el </w:t>
      </w:r>
      <w:r w:rsidR="00D56916" w:rsidRPr="002D2D39">
        <w:rPr>
          <w:rFonts w:ascii="Arial" w:hAnsi="Arial" w:cs="Arial"/>
          <w:color w:val="000000" w:themeColor="text1"/>
        </w:rPr>
        <w:t>fin de</w:t>
      </w:r>
      <w:r w:rsidR="00D56916">
        <w:rPr>
          <w:rFonts w:ascii="Arial" w:hAnsi="Arial" w:cs="Arial"/>
          <w:color w:val="000000" w:themeColor="text1"/>
        </w:rPr>
        <w:t xml:space="preserve"> llevar a cabo la construcción de un</w:t>
      </w:r>
      <w:r w:rsidR="00201D17">
        <w:rPr>
          <w:rFonts w:ascii="Arial" w:hAnsi="Arial" w:cs="Arial"/>
          <w:color w:val="000000" w:themeColor="text1"/>
        </w:rPr>
        <w:t xml:space="preserve"> jardín de niños</w:t>
      </w:r>
      <w:r w:rsidR="00E16FB0">
        <w:rPr>
          <w:rFonts w:ascii="Arial" w:hAnsi="Arial" w:cs="Arial"/>
          <w:color w:val="000000" w:themeColor="text1"/>
        </w:rPr>
        <w:t xml:space="preserve"> </w:t>
      </w:r>
      <w:r w:rsidR="00D56916">
        <w:rPr>
          <w:rFonts w:ascii="Arial" w:hAnsi="Arial" w:cs="Arial"/>
          <w:color w:val="000000" w:themeColor="text1"/>
        </w:rPr>
        <w:t>en el Municipio de Pesquería, Nuevo León</w:t>
      </w:r>
      <w:r w:rsidR="00D56916" w:rsidRPr="002D2D39">
        <w:rPr>
          <w:rFonts w:ascii="Arial" w:hAnsi="Arial" w:cs="Arial"/>
          <w:color w:val="000000" w:themeColor="text1"/>
        </w:rPr>
        <w:t>,</w:t>
      </w:r>
      <w:r w:rsidR="00D56916">
        <w:rPr>
          <w:rFonts w:ascii="Arial" w:hAnsi="Arial" w:cs="Arial"/>
          <w:color w:val="000000" w:themeColor="text1"/>
          <w:lang w:val="es-MX"/>
        </w:rPr>
        <w:t xml:space="preserve"> </w:t>
      </w:r>
      <w:r w:rsidR="004245E2">
        <w:rPr>
          <w:rFonts w:ascii="Arial" w:hAnsi="Arial" w:cs="Arial"/>
          <w:color w:val="000000" w:themeColor="text1"/>
          <w:lang w:val="es-MX"/>
        </w:rPr>
        <w:t>y con el propósito de que lo</w:t>
      </w:r>
      <w:r w:rsidR="00201D17">
        <w:rPr>
          <w:rFonts w:ascii="Arial" w:hAnsi="Arial" w:cs="Arial"/>
          <w:color w:val="000000" w:themeColor="text1"/>
          <w:lang w:val="es-MX"/>
        </w:rPr>
        <w:t>s niños reciban una educación cercana a ellos y</w:t>
      </w:r>
      <w:r w:rsidR="004245E2">
        <w:rPr>
          <w:rFonts w:ascii="Arial" w:hAnsi="Arial" w:cs="Arial"/>
          <w:color w:val="000000" w:themeColor="text1"/>
          <w:lang w:val="es-MX"/>
        </w:rPr>
        <w:t xml:space="preserve"> no se trasladen a otros Municipios para </w:t>
      </w:r>
      <w:r w:rsidR="00D56916">
        <w:rPr>
          <w:rFonts w:ascii="Arial" w:hAnsi="Arial" w:cs="Arial"/>
          <w:color w:val="000000" w:themeColor="text1"/>
          <w:lang w:val="es-MX"/>
        </w:rPr>
        <w:t xml:space="preserve">realizar sus estudios y cuenten con una atención más próxima a ellos que les brinde las herramientas básicas educativas como lo establece nuestro máximo ordenamiento Constitucional, que todos tenemos derecho a recibir una educación digna y esta debe de estar al alcance de todos. </w:t>
      </w:r>
      <w:r w:rsidR="004245E2">
        <w:rPr>
          <w:rFonts w:ascii="Arial" w:hAnsi="Arial" w:cs="Arial"/>
          <w:color w:val="000000" w:themeColor="text1"/>
          <w:lang w:val="es-MX"/>
        </w:rPr>
        <w:t>M</w:t>
      </w:r>
      <w:r w:rsidRPr="00A8137D">
        <w:rPr>
          <w:rFonts w:ascii="Arial" w:hAnsi="Arial" w:cs="Arial"/>
          <w:color w:val="000000" w:themeColor="text1"/>
          <w:lang w:val="es-MX"/>
        </w:rPr>
        <w:t>ejorando su calidad de vida, desarrollo humano y social,</w:t>
      </w:r>
      <w:r w:rsidR="00D843AF">
        <w:rPr>
          <w:rFonts w:ascii="Arial" w:hAnsi="Arial" w:cs="Arial"/>
          <w:color w:val="000000" w:themeColor="text1"/>
          <w:lang w:val="es-MX"/>
        </w:rPr>
        <w:t xml:space="preserve"> </w:t>
      </w:r>
      <w:r w:rsidRPr="00A8137D">
        <w:rPr>
          <w:rFonts w:ascii="Arial" w:hAnsi="Arial" w:cs="Arial"/>
          <w:color w:val="000000" w:themeColor="text1"/>
          <w:lang w:val="es-MX"/>
        </w:rPr>
        <w:t>de la misma forma no se cambiará su destino, por lo que respetan y cumplen a cabalidad las disposiciones antes analizadas y el espíritu con las que se creó dicho ordenamiento.</w:t>
      </w:r>
    </w:p>
    <w:p w14:paraId="0A41693C" w14:textId="77777777" w:rsidR="00D55895" w:rsidRPr="00A8137D" w:rsidRDefault="00D55895" w:rsidP="00D55895">
      <w:pPr>
        <w:spacing w:line="360" w:lineRule="auto"/>
        <w:jc w:val="both"/>
        <w:rPr>
          <w:rFonts w:ascii="Arial" w:hAnsi="Arial" w:cs="Arial"/>
          <w:color w:val="000000" w:themeColor="text1"/>
          <w:lang w:val="es-MX"/>
        </w:rPr>
      </w:pPr>
    </w:p>
    <w:p w14:paraId="0A6ED9B9" w14:textId="7FAD4E9A" w:rsidR="00D55895" w:rsidRDefault="00D55895" w:rsidP="00D55895">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sidR="00D843AF">
        <w:rPr>
          <w:rFonts w:ascii="Arial" w:hAnsi="Arial" w:cs="Arial"/>
          <w:color w:val="000000" w:themeColor="text1"/>
          <w:lang w:val="es-MX"/>
        </w:rPr>
        <w:t>208</w:t>
      </w:r>
      <w:r w:rsidR="00DC58A2">
        <w:rPr>
          <w:rFonts w:ascii="Arial" w:hAnsi="Arial" w:cs="Arial"/>
          <w:color w:val="000000" w:themeColor="text1"/>
          <w:lang w:val="es-MX"/>
        </w:rPr>
        <w:t xml:space="preserve"> y 56 fracción V</w:t>
      </w:r>
      <w:r w:rsidR="00D843AF">
        <w:rPr>
          <w:rFonts w:ascii="Arial" w:hAnsi="Arial" w:cs="Arial"/>
          <w:color w:val="000000" w:themeColor="text1"/>
          <w:lang w:val="es-MX"/>
        </w:rPr>
        <w:t xml:space="preserve"> de la Ley de Gobierno municipal</w:t>
      </w:r>
      <w:r w:rsidRPr="00A8137D">
        <w:rPr>
          <w:rFonts w:ascii="Arial" w:hAnsi="Arial" w:cs="Arial"/>
          <w:color w:val="000000" w:themeColor="text1"/>
          <w:lang w:val="es-MX"/>
        </w:rPr>
        <w:t xml:space="preserve">, al acompañarse los acuerdos respectivos del R. Ayuntamiento aprobado por más de las dos terceras partes de los integrantes de ese Órgano colegiado. </w:t>
      </w:r>
    </w:p>
    <w:p w14:paraId="59A34727" w14:textId="77777777" w:rsidR="00D55895" w:rsidRDefault="00D55895" w:rsidP="00D55895">
      <w:pPr>
        <w:spacing w:line="360" w:lineRule="auto"/>
        <w:jc w:val="both"/>
        <w:rPr>
          <w:rFonts w:ascii="Arial" w:hAnsi="Arial" w:cs="Arial"/>
          <w:color w:val="000000" w:themeColor="text1"/>
          <w:lang w:val="es-MX"/>
        </w:rPr>
      </w:pPr>
    </w:p>
    <w:p w14:paraId="67ED7ECE" w14:textId="77777777" w:rsidR="00D55895" w:rsidRDefault="00D55895" w:rsidP="00D55895">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w:t>
      </w:r>
      <w:r w:rsidRPr="0063547E">
        <w:rPr>
          <w:rFonts w:ascii="Arial" w:hAnsi="Arial" w:cs="Arial"/>
          <w:color w:val="000000" w:themeColor="text1"/>
        </w:rPr>
        <w:lastRenderedPageBreak/>
        <w:t xml:space="preserve">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1D26844C" w14:textId="77777777" w:rsidR="00D55895" w:rsidRDefault="00D55895" w:rsidP="00D55895">
      <w:pPr>
        <w:spacing w:line="360" w:lineRule="auto"/>
        <w:jc w:val="both"/>
        <w:rPr>
          <w:rFonts w:ascii="Arial" w:hAnsi="Arial" w:cs="Arial"/>
          <w:color w:val="000000" w:themeColor="text1"/>
          <w:lang w:val="es-MX"/>
        </w:rPr>
      </w:pPr>
    </w:p>
    <w:p w14:paraId="69AE1AD1" w14:textId="77777777" w:rsidR="00D55895" w:rsidRDefault="00D55895" w:rsidP="00D55895">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5747C181" w14:textId="77777777" w:rsidR="00D55895" w:rsidRDefault="00D55895" w:rsidP="00D55895">
      <w:pPr>
        <w:spacing w:line="360" w:lineRule="auto"/>
        <w:jc w:val="both"/>
        <w:rPr>
          <w:rFonts w:ascii="Arial" w:hAnsi="Arial" w:cs="Arial"/>
        </w:rPr>
      </w:pPr>
    </w:p>
    <w:p w14:paraId="76D75C2F" w14:textId="2A5139B6" w:rsidR="00D55895" w:rsidRDefault="00D55895" w:rsidP="00D55895">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2710AE">
        <w:rPr>
          <w:rFonts w:ascii="Arial" w:hAnsi="Arial" w:cs="Arial"/>
        </w:rPr>
        <w:t>Pesquería</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004245E2">
        <w:rPr>
          <w:rFonts w:ascii="Arial" w:hAnsi="Arial" w:cs="Arial"/>
        </w:rPr>
        <w:t xml:space="preserve"> H.</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841DD6">
        <w:rPr>
          <w:rFonts w:ascii="Arial" w:hAnsi="Arial" w:cs="Arial"/>
        </w:rPr>
        <w:t>do aprobado por las dos terceras partes de sus integrantes</w:t>
      </w:r>
      <w:r w:rsidRPr="000F5EF2">
        <w:rPr>
          <w:rFonts w:ascii="Arial" w:hAnsi="Arial" w:cs="Arial"/>
        </w:rPr>
        <w:t xml:space="preserve"> con su respectiva firmas y certificada,</w:t>
      </w:r>
      <w:r w:rsidR="003A15D3">
        <w:rPr>
          <w:rFonts w:ascii="Arial" w:hAnsi="Arial" w:cs="Arial"/>
        </w:rPr>
        <w:t xml:space="preserve"> dictamen técnico que justifique la desincorporación,</w:t>
      </w:r>
      <w:r w:rsidRPr="000F5EF2">
        <w:rPr>
          <w:rFonts w:ascii="Arial" w:hAnsi="Arial" w:cs="Arial"/>
        </w:rPr>
        <w:t xml:space="preserve"> </w:t>
      </w:r>
      <w:r w:rsidR="003A15D3">
        <w:rPr>
          <w:rFonts w:ascii="Arial" w:hAnsi="Arial" w:cs="Arial"/>
        </w:rPr>
        <w:t xml:space="preserve">plano de localización del </w:t>
      </w:r>
      <w:r w:rsidR="003A15D3">
        <w:rPr>
          <w:rFonts w:ascii="Arial" w:hAnsi="Arial" w:cs="Arial"/>
        </w:rPr>
        <w:lastRenderedPageBreak/>
        <w:t xml:space="preserve">bien inmueble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726518B6" w14:textId="1099E29A" w:rsidR="000A0060" w:rsidRDefault="000A0060" w:rsidP="00D55895">
      <w:pPr>
        <w:spacing w:line="360" w:lineRule="auto"/>
        <w:jc w:val="both"/>
        <w:rPr>
          <w:rFonts w:ascii="Arial" w:hAnsi="Arial" w:cs="Arial"/>
          <w:b/>
        </w:rPr>
      </w:pPr>
    </w:p>
    <w:p w14:paraId="53B78A6F" w14:textId="2261EFB8" w:rsidR="000A0060" w:rsidRPr="00A27FEA" w:rsidRDefault="000A0060" w:rsidP="000A0060">
      <w:pPr>
        <w:spacing w:line="360" w:lineRule="auto"/>
        <w:jc w:val="both"/>
        <w:rPr>
          <w:rFonts w:ascii="Arial" w:hAnsi="Arial" w:cs="Arial"/>
        </w:rPr>
      </w:pPr>
      <w:r w:rsidRPr="00A27FEA">
        <w:rPr>
          <w:rFonts w:ascii="Arial" w:hAnsi="Arial" w:cs="Arial"/>
        </w:rPr>
        <w:t>La intención del promovente es loable, sobre todo porque va encaminada a trabajar conju</w:t>
      </w:r>
      <w:r w:rsidR="004245E2">
        <w:rPr>
          <w:rFonts w:ascii="Arial" w:hAnsi="Arial" w:cs="Arial"/>
        </w:rPr>
        <w:t>ntamente con el Poder Judicial</w:t>
      </w:r>
      <w:r w:rsidRPr="00A27FEA">
        <w:rPr>
          <w:rFonts w:ascii="Arial" w:hAnsi="Arial" w:cs="Arial"/>
        </w:rPr>
        <w:t xml:space="preserve"> a c</w:t>
      </w:r>
      <w:r w:rsidR="004245E2">
        <w:rPr>
          <w:rFonts w:ascii="Arial" w:hAnsi="Arial" w:cs="Arial"/>
        </w:rPr>
        <w:t xml:space="preserve">rear mayores espacios de utilidad pública para los ciudadanos de dicho Municipio, </w:t>
      </w:r>
      <w:r w:rsidRPr="00A27FEA">
        <w:rPr>
          <w:rFonts w:ascii="Arial" w:hAnsi="Arial" w:cs="Arial"/>
        </w:rPr>
        <w:t>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mencionar que el periodo por el que Nos solicitan a través de la firma de comodato será aprobado solo por 30-</w:t>
      </w:r>
      <w:r w:rsidR="00370BB1">
        <w:rPr>
          <w:rFonts w:ascii="Arial" w:hAnsi="Arial" w:cs="Arial"/>
        </w:rPr>
        <w:t xml:space="preserve"> treinta años a favor de</w:t>
      </w:r>
      <w:r w:rsidR="00962DA5">
        <w:rPr>
          <w:rFonts w:ascii="Arial" w:hAnsi="Arial" w:cs="Arial"/>
        </w:rPr>
        <w:t xml:space="preserve"> </w:t>
      </w:r>
      <w:r w:rsidR="00370BB1">
        <w:rPr>
          <w:rFonts w:ascii="Arial" w:hAnsi="Arial" w:cs="Arial"/>
        </w:rPr>
        <w:t>l</w:t>
      </w:r>
      <w:r w:rsidR="00962DA5">
        <w:rPr>
          <w:rFonts w:ascii="Arial" w:hAnsi="Arial" w:cs="Arial"/>
        </w:rPr>
        <w:t>a</w:t>
      </w:r>
      <w:r w:rsidR="00370BB1">
        <w:rPr>
          <w:rFonts w:ascii="Arial" w:hAnsi="Arial" w:cs="Arial"/>
        </w:rPr>
        <w:t xml:space="preserve"> </w:t>
      </w:r>
      <w:r w:rsidR="0092026F">
        <w:rPr>
          <w:rFonts w:ascii="Arial" w:hAnsi="Arial" w:cs="Arial"/>
          <w:b/>
        </w:rPr>
        <w:t xml:space="preserve">SECRETARÍA DE EDUCACIÓN PÚBLICA </w:t>
      </w:r>
      <w:r>
        <w:rPr>
          <w:rFonts w:ascii="Arial" w:hAnsi="Arial" w:cs="Arial"/>
        </w:rPr>
        <w:t xml:space="preserve"> y no por 99- noventa y nueve años como lo solicitan los promoventes en su escrito de mérito. </w:t>
      </w:r>
    </w:p>
    <w:p w14:paraId="7A96F74C" w14:textId="77777777" w:rsidR="000A0060" w:rsidRPr="007C38CA" w:rsidRDefault="000A0060" w:rsidP="00D55895">
      <w:pPr>
        <w:spacing w:line="360" w:lineRule="auto"/>
        <w:jc w:val="both"/>
        <w:rPr>
          <w:rFonts w:ascii="Arial" w:hAnsi="Arial" w:cs="Arial"/>
        </w:rPr>
      </w:pPr>
    </w:p>
    <w:p w14:paraId="5B91E14C" w14:textId="20EF7E15" w:rsidR="00D55895" w:rsidRPr="000F5EF2" w:rsidRDefault="00D55895" w:rsidP="00D55895">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ad pública del otorgamient</w:t>
      </w:r>
      <w:r w:rsidR="00370BB1">
        <w:rPr>
          <w:rFonts w:ascii="Arial" w:hAnsi="Arial" w:cs="Arial"/>
          <w:lang w:val="es-MX"/>
        </w:rPr>
        <w:t xml:space="preserve">o del </w:t>
      </w:r>
      <w:r w:rsidR="006F4C0E" w:rsidRPr="006F4C0E">
        <w:rPr>
          <w:rFonts w:ascii="Arial" w:hAnsi="Arial" w:cs="Arial"/>
          <w:b/>
          <w:lang w:val="es-MX"/>
        </w:rPr>
        <w:t xml:space="preserve">CONTRATO DE </w:t>
      </w:r>
      <w:r w:rsidR="006F4C0E" w:rsidRPr="006F4C0E">
        <w:rPr>
          <w:rFonts w:ascii="Arial" w:hAnsi="Arial" w:cs="Arial"/>
          <w:b/>
        </w:rPr>
        <w:t>COMODATO</w:t>
      </w:r>
      <w:r w:rsidR="006F4C0E">
        <w:rPr>
          <w:rFonts w:ascii="Arial" w:hAnsi="Arial" w:cs="Arial"/>
        </w:rPr>
        <w:t xml:space="preserve"> </w:t>
      </w:r>
      <w:r w:rsidRPr="000F5EF2">
        <w:rPr>
          <w:rFonts w:ascii="Arial" w:hAnsi="Arial" w:cs="Arial"/>
          <w:lang w:val="es-MX"/>
        </w:rPr>
        <w:t>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2710AE">
        <w:rPr>
          <w:rFonts w:ascii="Arial" w:hAnsi="Arial" w:cs="Arial"/>
          <w:lang w:val="es-MX"/>
        </w:rPr>
        <w:t>Pesquería</w:t>
      </w:r>
      <w:r w:rsidRPr="000F5EF2">
        <w:rPr>
          <w:rFonts w:ascii="Arial" w:hAnsi="Arial" w:cs="Arial"/>
          <w:lang w:val="es-MX"/>
        </w:rPr>
        <w:t xml:space="preserve">, Nuevo León, los integrantes de la Comisión de Desarrollo Urbano, consideramos de suma </w:t>
      </w:r>
      <w:r w:rsidRPr="000F5EF2">
        <w:rPr>
          <w:rFonts w:ascii="Arial" w:hAnsi="Arial" w:cs="Arial"/>
          <w:lang w:val="es-MX"/>
        </w:rPr>
        <w:lastRenderedPageBreak/>
        <w:t>importancia proponer al P</w:t>
      </w:r>
      <w:r w:rsidR="003A15D3">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067D0278" w14:textId="77777777" w:rsidR="00D55895" w:rsidRPr="00A8137D" w:rsidRDefault="00D55895" w:rsidP="00D55895">
      <w:pPr>
        <w:spacing w:line="360" w:lineRule="auto"/>
        <w:jc w:val="both"/>
        <w:rPr>
          <w:rFonts w:ascii="Arial" w:hAnsi="Arial" w:cs="Arial"/>
          <w:color w:val="000000" w:themeColor="text1"/>
          <w:lang w:val="es-MX"/>
        </w:rPr>
      </w:pPr>
    </w:p>
    <w:p w14:paraId="04D4719E" w14:textId="77777777" w:rsidR="00D55895" w:rsidRPr="00A8137D" w:rsidRDefault="00D55895" w:rsidP="00D55895">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6841A5ED" w14:textId="77777777" w:rsidR="00D55895" w:rsidRPr="00841DD6" w:rsidRDefault="00D55895" w:rsidP="00522C39">
      <w:pPr>
        <w:spacing w:line="360" w:lineRule="auto"/>
        <w:jc w:val="both"/>
        <w:rPr>
          <w:rFonts w:ascii="Arial" w:hAnsi="Arial" w:cs="Arial"/>
          <w:color w:val="000000" w:themeColor="text1"/>
        </w:rPr>
      </w:pPr>
    </w:p>
    <w:p w14:paraId="1214B5A9" w14:textId="50EB90C3" w:rsidR="007A5A75" w:rsidRPr="002D2D39" w:rsidRDefault="007A5A75" w:rsidP="00841DD6">
      <w:pPr>
        <w:spacing w:line="360" w:lineRule="auto"/>
        <w:rPr>
          <w:rFonts w:ascii="Arial" w:hAnsi="Arial" w:cs="Arial"/>
          <w:b/>
          <w:color w:val="000000" w:themeColor="text1"/>
        </w:rPr>
      </w:pP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4F0949FA" w14:textId="6C9A436B" w:rsidR="00201D17" w:rsidRPr="00975E3A" w:rsidRDefault="00346872" w:rsidP="00201D17">
      <w:pPr>
        <w:spacing w:line="360" w:lineRule="auto"/>
        <w:jc w:val="both"/>
        <w:rPr>
          <w:rFonts w:ascii="Arial" w:hAnsi="Arial" w:cs="Arial"/>
        </w:rPr>
      </w:pPr>
      <w:r w:rsidRPr="002D2D39">
        <w:rPr>
          <w:rFonts w:ascii="Arial" w:hAnsi="Arial" w:cs="Arial"/>
          <w:b/>
          <w:color w:val="000000" w:themeColor="text1"/>
        </w:rPr>
        <w:t>Primero</w:t>
      </w:r>
      <w:r w:rsidR="001B01AF">
        <w:rPr>
          <w:rFonts w:ascii="Arial" w:hAnsi="Arial" w:cs="Arial"/>
          <w:b/>
          <w:color w:val="000000" w:themeColor="text1"/>
        </w:rPr>
        <w:t>.-</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2710AE">
        <w:rPr>
          <w:rFonts w:ascii="Arial" w:hAnsi="Arial" w:cs="Arial"/>
          <w:color w:val="000000" w:themeColor="text1"/>
        </w:rPr>
        <w:t>Pesquería</w:t>
      </w:r>
      <w:r w:rsidR="00710E11" w:rsidRPr="002D2D39">
        <w:rPr>
          <w:rFonts w:ascii="Arial" w:hAnsi="Arial" w:cs="Arial"/>
          <w:color w:val="000000" w:themeColor="text1"/>
        </w:rPr>
        <w:t xml:space="preserve">, Nuevo León a celebrar </w:t>
      </w:r>
      <w:r w:rsidR="000013DC">
        <w:rPr>
          <w:rFonts w:ascii="Arial" w:hAnsi="Arial" w:cs="Arial"/>
          <w:color w:val="000000" w:themeColor="text1"/>
        </w:rPr>
        <w:t>celebración</w:t>
      </w:r>
      <w:r w:rsidR="00513FE8">
        <w:rPr>
          <w:rFonts w:ascii="Arial" w:hAnsi="Arial" w:cs="Arial"/>
          <w:color w:val="000000" w:themeColor="text1"/>
        </w:rPr>
        <w:t xml:space="preserve"> de </w:t>
      </w:r>
      <w:r w:rsidR="006F4C0E" w:rsidRPr="006F4C0E">
        <w:rPr>
          <w:rFonts w:ascii="Arial" w:hAnsi="Arial" w:cs="Arial"/>
          <w:b/>
          <w:color w:val="000000" w:themeColor="text1"/>
        </w:rPr>
        <w:t>CONTRATO DE COMODATO</w:t>
      </w:r>
      <w:r w:rsidR="006F4C0E" w:rsidRPr="002D2D39">
        <w:rPr>
          <w:rFonts w:ascii="Arial" w:hAnsi="Arial" w:cs="Arial"/>
          <w:color w:val="000000" w:themeColor="text1"/>
        </w:rPr>
        <w:t xml:space="preserve">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el término de</w:t>
      </w:r>
      <w:r w:rsidR="00370BB1">
        <w:rPr>
          <w:rFonts w:ascii="Arial" w:hAnsi="Arial" w:cs="Arial"/>
        </w:rPr>
        <w:t xml:space="preserve"> 30 años</w:t>
      </w:r>
      <w:r w:rsidR="00D330AA" w:rsidRPr="002D2D39">
        <w:rPr>
          <w:rFonts w:ascii="Arial" w:hAnsi="Arial" w:cs="Arial"/>
        </w:rPr>
        <w:t>, a favor de</w:t>
      </w:r>
      <w:r w:rsidR="00962DA5">
        <w:rPr>
          <w:rFonts w:ascii="Arial" w:hAnsi="Arial" w:cs="Arial"/>
        </w:rPr>
        <w:t xml:space="preserve"> </w:t>
      </w:r>
      <w:r w:rsidR="00117468">
        <w:rPr>
          <w:rFonts w:ascii="Arial" w:hAnsi="Arial" w:cs="Arial"/>
        </w:rPr>
        <w:t>l</w:t>
      </w:r>
      <w:r w:rsidR="00962DA5">
        <w:rPr>
          <w:rFonts w:ascii="Arial" w:hAnsi="Arial" w:cs="Arial"/>
        </w:rPr>
        <w:t>a</w:t>
      </w:r>
      <w:r w:rsidR="00117468">
        <w:rPr>
          <w:rFonts w:ascii="Arial" w:hAnsi="Arial" w:cs="Arial"/>
        </w:rPr>
        <w:t xml:space="preserve"> </w:t>
      </w:r>
      <w:r w:rsidR="0092026F">
        <w:rPr>
          <w:rFonts w:ascii="Arial" w:hAnsi="Arial" w:cs="Arial"/>
          <w:b/>
        </w:rPr>
        <w:t>SECRETARÍA DE EDUCACIÓN PÚBLICA</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w:t>
      </w:r>
      <w:r w:rsidR="00370BB1" w:rsidRPr="002D2D39">
        <w:rPr>
          <w:rFonts w:ascii="Arial" w:hAnsi="Arial" w:cs="Arial"/>
        </w:rPr>
        <w:t xml:space="preserve">respecto un inmueble del Dominio Público Municipal, </w:t>
      </w:r>
      <w:r w:rsidR="00E16FB0">
        <w:rPr>
          <w:rFonts w:ascii="Arial" w:hAnsi="Arial" w:cs="Arial"/>
        </w:rPr>
        <w:t>ubicado</w:t>
      </w:r>
      <w:r w:rsidR="00201D17">
        <w:rPr>
          <w:rFonts w:ascii="Arial" w:hAnsi="Arial" w:cs="Arial"/>
        </w:rPr>
        <w:t xml:space="preserve"> en la Colonia Valle de Santa María, Sector Salermo, en el Municipio de Pesquería, Nuevo León, identificado con el número de </w:t>
      </w:r>
      <w:r w:rsidR="00201D17" w:rsidRPr="00975E3A">
        <w:rPr>
          <w:rFonts w:ascii="Arial" w:hAnsi="Arial" w:cs="Arial"/>
        </w:rPr>
        <w:t xml:space="preserve">expediente catastral </w:t>
      </w:r>
      <w:r w:rsidR="00201D17">
        <w:rPr>
          <w:rFonts w:ascii="Arial" w:hAnsi="Arial" w:cs="Arial"/>
          <w:b/>
        </w:rPr>
        <w:t xml:space="preserve">21-401-008, </w:t>
      </w:r>
      <w:r w:rsidR="00201D17" w:rsidRPr="00975E3A">
        <w:rPr>
          <w:rFonts w:ascii="Arial" w:hAnsi="Arial" w:cs="Arial"/>
        </w:rPr>
        <w:t>con una superficie de</w:t>
      </w:r>
      <w:r w:rsidR="00201D17">
        <w:rPr>
          <w:rFonts w:ascii="Arial" w:hAnsi="Arial" w:cs="Arial"/>
          <w:b/>
        </w:rPr>
        <w:t xml:space="preserve"> 4,478.10 m2</w:t>
      </w:r>
      <w:r w:rsidR="00201D17">
        <w:rPr>
          <w:rFonts w:ascii="Arial" w:hAnsi="Arial" w:cs="Arial"/>
        </w:rPr>
        <w:t xml:space="preserve">, </w:t>
      </w:r>
      <w:r w:rsidR="00201D17">
        <w:rPr>
          <w:rFonts w:ascii="Arial" w:eastAsia="MS Mincho" w:hAnsi="Arial" w:cs="Arial"/>
          <w:color w:val="000000"/>
        </w:rPr>
        <w:t>con las siguientes medidas y colindancias:</w:t>
      </w:r>
    </w:p>
    <w:p w14:paraId="3267CADF" w14:textId="77777777" w:rsidR="00201D17" w:rsidRDefault="00201D17" w:rsidP="00201D17">
      <w:pPr>
        <w:spacing w:line="360" w:lineRule="auto"/>
        <w:jc w:val="both"/>
        <w:rPr>
          <w:rFonts w:ascii="Arial" w:eastAsia="MS Mincho" w:hAnsi="Arial" w:cs="Arial"/>
          <w:color w:val="000000"/>
        </w:rPr>
      </w:pPr>
    </w:p>
    <w:p w14:paraId="52DE98B0" w14:textId="77777777" w:rsidR="00201D17" w:rsidRDefault="00201D17" w:rsidP="00201D17">
      <w:pPr>
        <w:spacing w:line="360" w:lineRule="auto"/>
        <w:jc w:val="both"/>
        <w:rPr>
          <w:rFonts w:ascii="Arial" w:eastAsia="MS Mincho" w:hAnsi="Arial" w:cs="Arial"/>
          <w:color w:val="000000"/>
        </w:rPr>
      </w:pPr>
      <w:r>
        <w:rPr>
          <w:rFonts w:ascii="Arial" w:eastAsia="MS Mincho" w:hAnsi="Arial" w:cs="Arial"/>
          <w:color w:val="000000"/>
        </w:rPr>
        <w:tab/>
        <w:t xml:space="preserve">Tabla 1. Medidas y Colindancias. </w:t>
      </w:r>
    </w:p>
    <w:p w14:paraId="4094834F" w14:textId="77777777" w:rsidR="00201D17" w:rsidRDefault="00201D17" w:rsidP="00201D17">
      <w:pPr>
        <w:spacing w:line="360" w:lineRule="auto"/>
        <w:jc w:val="both"/>
        <w:rPr>
          <w:rFonts w:ascii="Arial" w:eastAsia="MS Mincho" w:hAnsi="Arial" w:cs="Arial"/>
          <w:color w:val="000000"/>
        </w:rPr>
      </w:pPr>
      <w:r>
        <w:rPr>
          <w:rFonts w:ascii="Arial" w:eastAsia="MS Mincho" w:hAnsi="Arial" w:cs="Arial"/>
          <w:noProof/>
          <w:color w:val="000000"/>
          <w:lang w:val="es-MX" w:eastAsia="es-MX"/>
        </w:rPr>
        <w:lastRenderedPageBreak/>
        <w:drawing>
          <wp:inline distT="0" distB="0" distL="0" distR="0" wp14:anchorId="1C7E52B4" wp14:editId="35379789">
            <wp:extent cx="5286375" cy="2571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571750"/>
                    </a:xfrm>
                    <a:prstGeom prst="rect">
                      <a:avLst/>
                    </a:prstGeom>
                    <a:noFill/>
                    <a:ln>
                      <a:noFill/>
                    </a:ln>
                  </pic:spPr>
                </pic:pic>
              </a:graphicData>
            </a:graphic>
          </wp:inline>
        </w:drawing>
      </w:r>
    </w:p>
    <w:p w14:paraId="068B37B9" w14:textId="3EE84367" w:rsidR="00E16FB0" w:rsidRDefault="00E16FB0" w:rsidP="00201D17">
      <w:pPr>
        <w:spacing w:line="360" w:lineRule="auto"/>
        <w:jc w:val="both"/>
        <w:rPr>
          <w:rFonts w:ascii="Arial" w:eastAsia="MS Mincho" w:hAnsi="Arial" w:cs="Arial"/>
          <w:color w:val="000000"/>
        </w:rPr>
      </w:pPr>
    </w:p>
    <w:p w14:paraId="53F7E4DD" w14:textId="31D7177E" w:rsidR="00346872" w:rsidRPr="00E16FB0" w:rsidRDefault="00EF6DDF" w:rsidP="00E16FB0">
      <w:pPr>
        <w:tabs>
          <w:tab w:val="left" w:pos="2730"/>
        </w:tabs>
        <w:spacing w:line="360" w:lineRule="auto"/>
        <w:jc w:val="both"/>
        <w:rPr>
          <w:rFonts w:ascii="Arial" w:eastAsia="MS Mincho" w:hAnsi="Arial" w:cs="Arial"/>
          <w:color w:val="000000"/>
        </w:rPr>
      </w:pPr>
      <w:r w:rsidRPr="002D2D39">
        <w:rPr>
          <w:rFonts w:ascii="Arial" w:hAnsi="Arial" w:cs="Arial"/>
          <w:b/>
        </w:rPr>
        <w:t>Segundo</w:t>
      </w:r>
      <w:r w:rsidR="00E16FB0">
        <w:rPr>
          <w:rFonts w:ascii="Arial" w:hAnsi="Arial" w:cs="Arial"/>
        </w:rPr>
        <w:t xml:space="preserve">.- </w:t>
      </w:r>
      <w:r w:rsidR="00346872" w:rsidRPr="002D2D39">
        <w:rPr>
          <w:rFonts w:ascii="Arial" w:hAnsi="Arial" w:cs="Arial"/>
          <w:lang w:val="es-MX"/>
        </w:rPr>
        <w:t>El otorgamiento de</w:t>
      </w:r>
      <w:r w:rsidR="00513FE8">
        <w:rPr>
          <w:rFonts w:ascii="Arial" w:hAnsi="Arial" w:cs="Arial"/>
          <w:lang w:val="es-MX"/>
        </w:rPr>
        <w:t xml:space="preserve"> la </w:t>
      </w:r>
      <w:r w:rsidR="000013DC">
        <w:rPr>
          <w:rFonts w:ascii="Arial" w:hAnsi="Arial" w:cs="Arial"/>
          <w:lang w:val="es-MX"/>
        </w:rPr>
        <w:t>celebración</w:t>
      </w:r>
      <w:r w:rsidR="00513FE8">
        <w:rPr>
          <w:rFonts w:ascii="Arial" w:hAnsi="Arial" w:cs="Arial"/>
          <w:lang w:val="es-MX"/>
        </w:rPr>
        <w:t xml:space="preserve"> del</w:t>
      </w:r>
      <w:r w:rsidR="00BB2011" w:rsidRPr="002D2D39">
        <w:rPr>
          <w:rFonts w:ascii="Arial" w:hAnsi="Arial" w:cs="Arial"/>
          <w:lang w:val="es-MX"/>
        </w:rPr>
        <w:t xml:space="preserve"> </w:t>
      </w:r>
      <w:r w:rsidR="006F4C0E" w:rsidRPr="006F4C0E">
        <w:rPr>
          <w:rFonts w:ascii="Arial" w:hAnsi="Arial" w:cs="Arial"/>
          <w:b/>
          <w:lang w:val="es-MX"/>
        </w:rPr>
        <w:t xml:space="preserve">CONTRATO </w:t>
      </w:r>
      <w:r w:rsidR="006F4C0E" w:rsidRPr="006F4C0E">
        <w:rPr>
          <w:rFonts w:ascii="Arial" w:hAnsi="Arial" w:cs="Arial"/>
          <w:b/>
          <w:color w:val="000000" w:themeColor="text1"/>
        </w:rPr>
        <w:t>DE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962DA5">
        <w:rPr>
          <w:rFonts w:ascii="Arial" w:hAnsi="Arial" w:cs="Arial"/>
        </w:rPr>
        <w:t xml:space="preserve"> </w:t>
      </w:r>
      <w:r w:rsidR="00B66B7D">
        <w:rPr>
          <w:rFonts w:ascii="Arial" w:hAnsi="Arial" w:cs="Arial"/>
        </w:rPr>
        <w:t>l</w:t>
      </w:r>
      <w:r w:rsidR="00962DA5">
        <w:rPr>
          <w:rFonts w:ascii="Arial" w:hAnsi="Arial" w:cs="Arial"/>
        </w:rPr>
        <w:t>a</w:t>
      </w:r>
      <w:r w:rsidR="00B66B7D">
        <w:rPr>
          <w:rFonts w:ascii="Arial" w:hAnsi="Arial" w:cs="Arial"/>
        </w:rPr>
        <w:t xml:space="preserve"> </w:t>
      </w:r>
      <w:r w:rsidR="0092026F">
        <w:rPr>
          <w:rFonts w:ascii="Arial" w:hAnsi="Arial" w:cs="Arial"/>
          <w:b/>
        </w:rPr>
        <w:t>SECRETARÍA DE EDUCACIÓN PÚBLICA</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8472ED">
        <w:rPr>
          <w:rFonts w:ascii="Arial" w:hAnsi="Arial" w:cs="Arial"/>
          <w:lang w:val="es-MX"/>
        </w:rPr>
        <w:t>, 203 Fracción I, 204,</w:t>
      </w:r>
      <w:r w:rsidR="003A15D3">
        <w:rPr>
          <w:rFonts w:ascii="Arial" w:hAnsi="Arial" w:cs="Arial"/>
          <w:lang w:val="es-MX"/>
        </w:rPr>
        <w:t>205</w:t>
      </w:r>
      <w:r w:rsidR="00346872" w:rsidRPr="002D2D39">
        <w:rPr>
          <w:rFonts w:ascii="Arial" w:hAnsi="Arial" w:cs="Arial"/>
          <w:lang w:val="es-MX"/>
        </w:rPr>
        <w:t xml:space="preserve"> </w:t>
      </w:r>
      <w:r w:rsidR="008472ED">
        <w:rPr>
          <w:rFonts w:ascii="Arial" w:hAnsi="Arial" w:cs="Arial"/>
          <w:lang w:val="es-MX"/>
        </w:rPr>
        <w:t>y 206</w:t>
      </w:r>
      <w:r w:rsidR="003A15D3">
        <w:rPr>
          <w:rFonts w:ascii="Arial" w:hAnsi="Arial" w:cs="Arial"/>
          <w:lang w:val="es-MX"/>
        </w:rPr>
        <w:t xml:space="preserve"> </w:t>
      </w:r>
      <w:r w:rsidR="00346872" w:rsidRPr="002D2D39">
        <w:rPr>
          <w:rFonts w:ascii="Arial" w:hAnsi="Arial" w:cs="Arial"/>
          <w:lang w:val="es-MX"/>
        </w:rPr>
        <w:t xml:space="preserve">y demás aplicables de la Ley </w:t>
      </w:r>
      <w:r w:rsidR="003A15D3">
        <w:rPr>
          <w:rFonts w:ascii="Arial" w:hAnsi="Arial" w:cs="Arial"/>
          <w:lang w:val="es-MX"/>
        </w:rPr>
        <w:t>de Gobierno</w:t>
      </w:r>
      <w:r w:rsidR="00841DD6">
        <w:rPr>
          <w:rFonts w:ascii="Arial" w:hAnsi="Arial" w:cs="Arial"/>
          <w:lang w:val="es-MX"/>
        </w:rPr>
        <w:t xml:space="preserve"> </w:t>
      </w:r>
      <w:r w:rsidR="00346872" w:rsidRPr="002D2D39">
        <w:rPr>
          <w:rFonts w:ascii="Arial" w:hAnsi="Arial" w:cs="Arial"/>
          <w:lang w:val="es-MX"/>
        </w:rPr>
        <w:t xml:space="preserve">Municipal del Estado de Nuevo León, así como a la demás normatividad aplicable. </w:t>
      </w:r>
    </w:p>
    <w:p w14:paraId="6813D26B" w14:textId="77777777" w:rsidR="00346872" w:rsidRPr="002D2D39" w:rsidRDefault="00346872" w:rsidP="00522C39">
      <w:pPr>
        <w:spacing w:line="360" w:lineRule="auto"/>
        <w:jc w:val="both"/>
        <w:rPr>
          <w:rFonts w:ascii="Arial" w:hAnsi="Arial" w:cs="Arial"/>
          <w:lang w:val="es-MX"/>
        </w:rPr>
      </w:pPr>
    </w:p>
    <w:p w14:paraId="50657FD1" w14:textId="3E3395E5" w:rsidR="00D6623F" w:rsidRDefault="003A15D3" w:rsidP="00D6623F">
      <w:pPr>
        <w:spacing w:line="360" w:lineRule="auto"/>
        <w:jc w:val="both"/>
        <w:rPr>
          <w:rFonts w:ascii="Arial" w:hAnsi="Arial" w:cs="Arial"/>
          <w:lang w:val="es-MX"/>
        </w:rPr>
      </w:pPr>
      <w:r>
        <w:rPr>
          <w:rFonts w:ascii="Arial" w:hAnsi="Arial" w:cs="Arial"/>
          <w:b/>
          <w:lang w:val="es-MX"/>
        </w:rPr>
        <w:t>Cuarto.-</w:t>
      </w:r>
      <w:r w:rsidR="00D6623F" w:rsidRPr="002D2D39">
        <w:rPr>
          <w:rFonts w:ascii="Arial" w:hAnsi="Arial" w:cs="Arial"/>
          <w:lang w:val="es-MX"/>
        </w:rPr>
        <w:t xml:space="preserve"> Se concede un plazo de seis meses al R. Ayuntamiento</w:t>
      </w:r>
      <w:r w:rsidR="00513FE8">
        <w:rPr>
          <w:rFonts w:ascii="Arial" w:hAnsi="Arial" w:cs="Arial"/>
          <w:lang w:val="es-MX"/>
        </w:rPr>
        <w:t xml:space="preserve"> de </w:t>
      </w:r>
      <w:r w:rsidR="002710AE">
        <w:rPr>
          <w:rFonts w:ascii="Arial" w:hAnsi="Arial" w:cs="Arial"/>
          <w:lang w:val="es-MX"/>
        </w:rPr>
        <w:t>Pesquería</w:t>
      </w:r>
      <w:r w:rsidR="00513FE8">
        <w:rPr>
          <w:rFonts w:ascii="Arial" w:hAnsi="Arial" w:cs="Arial"/>
          <w:lang w:val="es-MX"/>
        </w:rPr>
        <w:t xml:space="preserve"> para suscribir la </w:t>
      </w:r>
      <w:r w:rsidR="000013DC">
        <w:rPr>
          <w:rFonts w:ascii="Arial" w:hAnsi="Arial" w:cs="Arial"/>
          <w:lang w:val="es-MX"/>
        </w:rPr>
        <w:t>celebración</w:t>
      </w:r>
      <w:r w:rsidR="00513FE8">
        <w:rPr>
          <w:rFonts w:ascii="Arial" w:hAnsi="Arial" w:cs="Arial"/>
          <w:lang w:val="es-MX"/>
        </w:rPr>
        <w:t xml:space="preserve"> del </w:t>
      </w:r>
      <w:r w:rsidR="006F4C0E" w:rsidRPr="006F4C0E">
        <w:rPr>
          <w:rFonts w:ascii="Arial" w:hAnsi="Arial" w:cs="Arial"/>
          <w:b/>
          <w:lang w:val="es-MX"/>
        </w:rPr>
        <w:t>CONTRATO DE COMODATO</w:t>
      </w:r>
      <w:r w:rsidR="006F4C0E" w:rsidRPr="002D2D39">
        <w:rPr>
          <w:rFonts w:ascii="Arial" w:hAnsi="Arial" w:cs="Arial"/>
          <w:lang w:val="es-MX"/>
        </w:rPr>
        <w:t xml:space="preserve"> </w:t>
      </w:r>
      <w:r w:rsidR="00D6623F" w:rsidRPr="002D2D39">
        <w:rPr>
          <w:rFonts w:ascii="Arial" w:hAnsi="Arial" w:cs="Arial"/>
          <w:lang w:val="es-MX"/>
        </w:rPr>
        <w:t>autorizado. De lo contrario cesarán los efectos del presente Acuerdo.</w:t>
      </w:r>
      <w:r w:rsidR="00841DD6">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w:t>
      </w:r>
      <w:r w:rsidR="00513FE8">
        <w:rPr>
          <w:rFonts w:ascii="Arial" w:hAnsi="Arial" w:cs="Arial"/>
          <w:lang w:val="es-MX"/>
        </w:rPr>
        <w:t xml:space="preserve">de la </w:t>
      </w:r>
      <w:r w:rsidR="000013DC">
        <w:rPr>
          <w:rFonts w:ascii="Arial" w:hAnsi="Arial" w:cs="Arial"/>
          <w:lang w:val="es-MX"/>
        </w:rPr>
        <w:t>celebración</w:t>
      </w:r>
      <w:r w:rsidR="00513FE8">
        <w:rPr>
          <w:rFonts w:ascii="Arial" w:hAnsi="Arial" w:cs="Arial"/>
          <w:lang w:val="es-MX"/>
        </w:rPr>
        <w:t xml:space="preserve"> del</w:t>
      </w:r>
      <w:r w:rsidR="00D6623F" w:rsidRPr="002D2D39">
        <w:rPr>
          <w:rFonts w:ascii="Arial" w:hAnsi="Arial" w:cs="Arial"/>
          <w:lang w:val="es-MX"/>
        </w:rPr>
        <w:t xml:space="preserve"> </w:t>
      </w:r>
      <w:r w:rsidR="006F4C0E" w:rsidRPr="006F4C0E">
        <w:rPr>
          <w:rFonts w:ascii="Arial" w:hAnsi="Arial" w:cs="Arial"/>
          <w:b/>
          <w:lang w:val="es-MX"/>
        </w:rPr>
        <w:t>CONTRATO DE COMODATO</w:t>
      </w:r>
      <w:r w:rsidR="00D6623F" w:rsidRPr="002D2D39">
        <w:rPr>
          <w:rFonts w:ascii="Arial" w:hAnsi="Arial" w:cs="Arial"/>
          <w:lang w:val="es-MX"/>
        </w:rPr>
        <w:t>,</w:t>
      </w:r>
      <w:r w:rsidR="00B66B7D">
        <w:rPr>
          <w:rFonts w:ascii="Arial" w:hAnsi="Arial" w:cs="Arial"/>
          <w:lang w:val="es-MX"/>
        </w:rPr>
        <w:t xml:space="preserve"> </w:t>
      </w:r>
      <w:r w:rsidR="00201D17">
        <w:rPr>
          <w:rFonts w:ascii="Arial" w:hAnsi="Arial" w:cs="Arial"/>
          <w:lang w:val="es-MX"/>
        </w:rPr>
        <w:t>la</w:t>
      </w:r>
      <w:r w:rsidR="00B66B7D">
        <w:rPr>
          <w:rFonts w:ascii="Arial" w:hAnsi="Arial" w:cs="Arial"/>
          <w:lang w:val="es-MX"/>
        </w:rPr>
        <w:t xml:space="preserve"> </w:t>
      </w:r>
      <w:r w:rsidR="0092026F">
        <w:rPr>
          <w:rFonts w:ascii="Arial" w:hAnsi="Arial" w:cs="Arial"/>
          <w:b/>
          <w:lang w:val="es-MX"/>
        </w:rPr>
        <w:t xml:space="preserve">SECRETARÍA DE EDUCACIÓN PÚBLICA </w:t>
      </w:r>
      <w:r w:rsidR="000E5609">
        <w:rPr>
          <w:rFonts w:ascii="Arial" w:hAnsi="Arial" w:cs="Arial"/>
          <w:b/>
          <w:lang w:val="es-MX"/>
        </w:rPr>
        <w:t xml:space="preserve"> </w:t>
      </w:r>
      <w:r w:rsidR="000E5609" w:rsidRPr="003761A9">
        <w:rPr>
          <w:rFonts w:ascii="Arial" w:hAnsi="Arial" w:cs="Arial"/>
          <w:lang w:val="es-MX"/>
        </w:rPr>
        <w:t>estará</w:t>
      </w:r>
      <w:r w:rsidR="00D6623F" w:rsidRPr="002D2D39">
        <w:rPr>
          <w:rFonts w:ascii="Arial" w:hAnsi="Arial" w:cs="Arial"/>
          <w:lang w:val="es-MX"/>
        </w:rPr>
        <w:t xml:space="preserve"> obligada a dar mantenimiento a los predios.</w:t>
      </w:r>
    </w:p>
    <w:p w14:paraId="27861B9B" w14:textId="3517F742" w:rsidR="00370BB1" w:rsidRDefault="00370BB1" w:rsidP="00D6623F">
      <w:pPr>
        <w:spacing w:line="360" w:lineRule="auto"/>
        <w:jc w:val="both"/>
        <w:rPr>
          <w:rFonts w:ascii="Arial" w:hAnsi="Arial" w:cs="Arial"/>
          <w:lang w:val="es-MX"/>
        </w:rPr>
      </w:pPr>
    </w:p>
    <w:p w14:paraId="4431048C" w14:textId="42122027" w:rsidR="00370BB1" w:rsidRPr="000953C7" w:rsidRDefault="00370BB1" w:rsidP="00370BB1">
      <w:pPr>
        <w:spacing w:line="360" w:lineRule="auto"/>
        <w:jc w:val="both"/>
        <w:rPr>
          <w:rFonts w:ascii="Arial" w:hAnsi="Arial" w:cs="Arial"/>
          <w:lang w:val="es-MX"/>
        </w:rPr>
      </w:pPr>
      <w:r>
        <w:rPr>
          <w:rFonts w:ascii="Arial" w:hAnsi="Arial" w:cs="Arial"/>
          <w:b/>
          <w:lang w:val="es-MX"/>
        </w:rPr>
        <w:t xml:space="preserve">Quinto.- </w:t>
      </w:r>
      <w:r>
        <w:rPr>
          <w:rFonts w:ascii="Arial" w:hAnsi="Arial" w:cs="Arial"/>
          <w:lang w:val="es-MX"/>
        </w:rPr>
        <w:t xml:space="preserve">Se concede un plazo de 5 años a partir de la vigencia del presente Acuerdo Legislativo para que se inicie la inversión en construcción del predio municipal, o de lo contrario el R. Ayuntamiento 6 meses antes de que finiquite dicho termino consultará con </w:t>
      </w:r>
      <w:r w:rsidR="00962DA5">
        <w:rPr>
          <w:rFonts w:ascii="Arial" w:hAnsi="Arial" w:cs="Arial"/>
          <w:lang w:val="es-MX"/>
        </w:rPr>
        <w:t>la</w:t>
      </w:r>
      <w:r>
        <w:rPr>
          <w:rFonts w:ascii="Arial" w:hAnsi="Arial" w:cs="Arial"/>
          <w:b/>
        </w:rPr>
        <w:t xml:space="preserve"> </w:t>
      </w:r>
      <w:r w:rsidR="0092026F">
        <w:rPr>
          <w:rFonts w:ascii="Arial" w:hAnsi="Arial" w:cs="Arial"/>
          <w:b/>
        </w:rPr>
        <w:t xml:space="preserve">SECRETARÍA DE EDUCACIÓN PÚBLICA </w:t>
      </w:r>
      <w:r w:rsidRPr="002252C9">
        <w:rPr>
          <w:rFonts w:ascii="Arial" w:hAnsi="Arial" w:cs="Arial"/>
          <w:b/>
        </w:rPr>
        <w:t>,</w:t>
      </w:r>
      <w:r>
        <w:rPr>
          <w:rFonts w:ascii="Arial" w:hAnsi="Arial" w:cs="Arial"/>
          <w:lang w:val="es-MX"/>
        </w:rPr>
        <w:t xml:space="preserve"> si se utilizarán dicho predio, para en caso de no ser  así, se reincorpore inmediatamente al patrimonio municipal.</w:t>
      </w:r>
    </w:p>
    <w:p w14:paraId="7375676E" w14:textId="77777777" w:rsidR="00370BB1" w:rsidRPr="002D2D39" w:rsidRDefault="00370BB1" w:rsidP="00D6623F">
      <w:pPr>
        <w:spacing w:line="360" w:lineRule="auto"/>
        <w:jc w:val="both"/>
        <w:rPr>
          <w:rFonts w:ascii="Arial" w:hAnsi="Arial" w:cs="Arial"/>
          <w:lang w:val="es-MX"/>
        </w:rPr>
      </w:pPr>
    </w:p>
    <w:p w14:paraId="60E562C5" w14:textId="77777777" w:rsidR="00D6623F" w:rsidRPr="002D2D39" w:rsidRDefault="00D6623F" w:rsidP="00D6623F">
      <w:pPr>
        <w:spacing w:line="360" w:lineRule="auto"/>
        <w:jc w:val="both"/>
        <w:rPr>
          <w:rFonts w:ascii="Arial" w:hAnsi="Arial" w:cs="Arial"/>
          <w:b/>
          <w:lang w:val="es-MX"/>
        </w:rPr>
      </w:pPr>
    </w:p>
    <w:p w14:paraId="6C548B91" w14:textId="79078210" w:rsidR="00D6623F" w:rsidRDefault="00370BB1" w:rsidP="00D6623F">
      <w:pPr>
        <w:spacing w:line="360" w:lineRule="auto"/>
        <w:jc w:val="both"/>
        <w:rPr>
          <w:rFonts w:ascii="Arial" w:hAnsi="Arial" w:cs="Arial"/>
          <w:lang w:val="es-MX"/>
        </w:rPr>
      </w:pPr>
      <w:r>
        <w:rPr>
          <w:rFonts w:ascii="Arial" w:hAnsi="Arial" w:cs="Arial"/>
          <w:b/>
          <w:lang w:val="es-MX"/>
        </w:rPr>
        <w:t>Sext</w:t>
      </w:r>
      <w:r w:rsidR="003A15D3">
        <w:rPr>
          <w:rFonts w:ascii="Arial" w:hAnsi="Arial" w:cs="Arial"/>
          <w:b/>
          <w:lang w:val="es-MX"/>
        </w:rPr>
        <w:t>o</w:t>
      </w:r>
      <w:r w:rsidR="00B66B7D" w:rsidRPr="002D2D39">
        <w:rPr>
          <w:rFonts w:ascii="Arial" w:hAnsi="Arial" w:cs="Arial"/>
          <w:b/>
          <w:lang w:val="es-MX"/>
        </w:rPr>
        <w:t>.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2710AE">
        <w:rPr>
          <w:rFonts w:ascii="Arial" w:hAnsi="Arial" w:cs="Arial"/>
          <w:lang w:val="es-MX"/>
        </w:rPr>
        <w:t>Pesquería</w:t>
      </w:r>
      <w:r w:rsidR="00D6623F" w:rsidRPr="002D2D39">
        <w:rPr>
          <w:rFonts w:ascii="Arial" w:hAnsi="Arial" w:cs="Arial"/>
          <w:lang w:val="es-MX"/>
        </w:rPr>
        <w:t>, Nuevo León, para su conocimiento y fines legales a que haya lugar.</w:t>
      </w:r>
    </w:p>
    <w:p w14:paraId="2D7A1ED2" w14:textId="77777777" w:rsidR="003A15D3" w:rsidRPr="00B66B7D" w:rsidRDefault="003A15D3" w:rsidP="00D6623F">
      <w:pPr>
        <w:spacing w:line="360" w:lineRule="auto"/>
        <w:jc w:val="both"/>
        <w:rPr>
          <w:rFonts w:ascii="Arial" w:hAnsi="Arial" w:cs="Arial"/>
          <w:lang w:val="es-MX"/>
        </w:rPr>
      </w:pPr>
    </w:p>
    <w:p w14:paraId="027B183D" w14:textId="46985036" w:rsidR="00D6623F" w:rsidRDefault="003A15D3" w:rsidP="00841DD6">
      <w:pPr>
        <w:spacing w:line="360" w:lineRule="auto"/>
        <w:jc w:val="center"/>
        <w:rPr>
          <w:rFonts w:ascii="Arial" w:hAnsi="Arial" w:cs="Arial"/>
          <w:b/>
          <w:lang w:val="en-US"/>
        </w:rPr>
      </w:pPr>
      <w:r w:rsidRPr="00841DD6">
        <w:rPr>
          <w:rFonts w:ascii="Arial" w:hAnsi="Arial" w:cs="Arial"/>
          <w:b/>
          <w:lang w:val="en-US"/>
        </w:rPr>
        <w:t>T R A N S I T O R I OS</w:t>
      </w:r>
    </w:p>
    <w:p w14:paraId="3B22F185" w14:textId="77777777" w:rsidR="003A15D3" w:rsidRPr="00841DD6" w:rsidRDefault="003A15D3" w:rsidP="00522C39">
      <w:pPr>
        <w:spacing w:line="360" w:lineRule="auto"/>
        <w:jc w:val="both"/>
        <w:rPr>
          <w:rFonts w:ascii="Arial" w:hAnsi="Arial" w:cs="Arial"/>
          <w:b/>
          <w:lang w:val="en-US"/>
        </w:rPr>
      </w:pPr>
    </w:p>
    <w:p w14:paraId="21C569D7" w14:textId="698F57AA" w:rsidR="003A15D3" w:rsidRPr="002D2D39" w:rsidRDefault="003A15D3" w:rsidP="003A15D3">
      <w:pPr>
        <w:spacing w:line="360" w:lineRule="auto"/>
        <w:jc w:val="both"/>
        <w:rPr>
          <w:rFonts w:ascii="Arial" w:hAnsi="Arial" w:cs="Arial"/>
          <w:lang w:val="es-MX"/>
        </w:rPr>
      </w:pPr>
      <w:r w:rsidRPr="00841DD6">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6CB5225E" w14:textId="4B8BBF86" w:rsidR="00460E62" w:rsidRPr="002D2D39" w:rsidRDefault="00460E62" w:rsidP="00A8137D">
      <w:pPr>
        <w:spacing w:line="360" w:lineRule="auto"/>
        <w:jc w:val="center"/>
        <w:rPr>
          <w:rFonts w:ascii="Arial" w:hAnsi="Arial" w:cs="Arial"/>
        </w:rPr>
      </w:pPr>
      <w:r w:rsidRPr="002D2D39">
        <w:rPr>
          <w:rFonts w:ascii="Arial" w:hAnsi="Arial" w:cs="Arial"/>
        </w:rPr>
        <w:t>Monterrey, Nuevo León</w:t>
      </w:r>
      <w:r w:rsidR="00370BB1">
        <w:rPr>
          <w:rFonts w:ascii="Arial" w:hAnsi="Arial" w:cs="Arial"/>
        </w:rPr>
        <w:t xml:space="preserve"> a </w:t>
      </w:r>
      <w:r w:rsidR="004A78D2">
        <w:rPr>
          <w:rFonts w:ascii="Arial" w:hAnsi="Arial" w:cs="Arial"/>
        </w:rPr>
        <w:t xml:space="preserve"> </w:t>
      </w:r>
    </w:p>
    <w:p w14:paraId="7BF464BC" w14:textId="77777777" w:rsidR="00460E62" w:rsidRPr="002D2D39" w:rsidRDefault="00460E62" w:rsidP="00A8137D">
      <w:pPr>
        <w:pStyle w:val="Ttulo1"/>
      </w:pPr>
      <w:r w:rsidRPr="002D2D39">
        <w:t>COMISIÓN DE DESARROLLO URBANO</w:t>
      </w: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0CB60DCE"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Pr="002D2D39"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AE4FBE">
        <w:trPr>
          <w:jc w:val="center"/>
        </w:trPr>
        <w:tc>
          <w:tcPr>
            <w:tcW w:w="3995" w:type="dxa"/>
          </w:tcPr>
          <w:p w14:paraId="5EF2A941" w14:textId="77777777" w:rsidR="00D330AA" w:rsidRPr="002D2D39" w:rsidRDefault="00D330AA" w:rsidP="00AE4FBE">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lastRenderedPageBreak/>
              <w:t>VICEPRESIDENTE</w:t>
            </w:r>
          </w:p>
          <w:p w14:paraId="1E5405AC"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p>
          <w:p w14:paraId="186A4FE8" w14:textId="4171EAC5" w:rsidR="00D330AA" w:rsidRDefault="00D330AA"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DF41B3">
            <w:pPr>
              <w:pStyle w:val="NormalWeb"/>
              <w:spacing w:before="0" w:beforeAutospacing="0" w:after="0" w:afterAutospacing="0" w:line="360" w:lineRule="auto"/>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053F8F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t>SECRETARIO</w:t>
            </w:r>
          </w:p>
          <w:p w14:paraId="727C01E2"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1A614293"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2043C477" w14:textId="34CC8AAD"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872FF5">
              <w:rPr>
                <w:rFonts w:ascii="Arial" w:hAnsi="Arial" w:cs="Arial"/>
                <w:lang w:val="it-IT"/>
              </w:rPr>
              <w:t xml:space="preserve">MARIELA SALDIVAR VILLALOBOS </w:t>
            </w:r>
          </w:p>
        </w:tc>
      </w:tr>
      <w:tr w:rsidR="00D330AA" w:rsidRPr="002D2D39" w14:paraId="2A2667D6" w14:textId="77777777" w:rsidTr="00AE4FBE">
        <w:trPr>
          <w:trHeight w:val="2308"/>
          <w:jc w:val="center"/>
        </w:trPr>
        <w:tc>
          <w:tcPr>
            <w:tcW w:w="3995" w:type="dxa"/>
          </w:tcPr>
          <w:p w14:paraId="199CB7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AE4FBE">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AE4FBE">
        <w:trPr>
          <w:jc w:val="center"/>
        </w:trPr>
        <w:tc>
          <w:tcPr>
            <w:tcW w:w="3995" w:type="dxa"/>
          </w:tcPr>
          <w:p w14:paraId="4D231EF9" w14:textId="59633340" w:rsidR="00D330AA" w:rsidRPr="002D2D39" w:rsidRDefault="00D330AA" w:rsidP="00AE4FBE">
            <w:pPr>
              <w:pStyle w:val="NormalWeb"/>
              <w:spacing w:before="0" w:beforeAutospacing="0" w:after="0" w:afterAutospacing="0" w:line="360" w:lineRule="auto"/>
              <w:jc w:val="center"/>
              <w:rPr>
                <w:rFonts w:ascii="Arial" w:hAnsi="Arial" w:cs="Arial"/>
                <w:lang w:val="pt-BR"/>
              </w:rPr>
            </w:pPr>
            <w:r w:rsidRPr="002D2D39">
              <w:rPr>
                <w:rFonts w:ascii="Arial" w:hAnsi="Arial" w:cs="Arial"/>
                <w:lang w:val="pt-BR"/>
              </w:rPr>
              <w:br w:type="page"/>
            </w:r>
          </w:p>
          <w:p w14:paraId="5768044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C7A19F9"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AE4FBE">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6030BF4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AE4FBE">
        <w:trPr>
          <w:jc w:val="center"/>
        </w:trPr>
        <w:tc>
          <w:tcPr>
            <w:tcW w:w="3995" w:type="dxa"/>
          </w:tcPr>
          <w:p w14:paraId="3D470EF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23639773"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AE4FBE">
        <w:trPr>
          <w:jc w:val="center"/>
        </w:trPr>
        <w:tc>
          <w:tcPr>
            <w:tcW w:w="3995" w:type="dxa"/>
          </w:tcPr>
          <w:p w14:paraId="74F75436"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lastRenderedPageBreak/>
              <w:t>VOCAL</w:t>
            </w:r>
          </w:p>
          <w:p w14:paraId="29BFFAA6"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AE4FBE">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2C9F8D5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bookmarkStart w:id="10" w:name="_GoBack"/>
            <w:bookmarkEnd w:id="10"/>
            <w:r w:rsidRPr="002D2D39">
              <w:rPr>
                <w:rFonts w:ascii="Arial" w:eastAsia="Times New Roman" w:hAnsi="Arial" w:cs="Arial"/>
                <w:b/>
                <w:lang w:val="pt-BR"/>
              </w:rPr>
              <w:lastRenderedPageBreak/>
              <w:t>VOCAL</w:t>
            </w:r>
          </w:p>
          <w:p w14:paraId="338B8CF5"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AE4FBE">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footerReference w:type="even" r:id="rId9"/>
      <w:footerReference w:type="default" r:id="rId10"/>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3777" w14:textId="77777777" w:rsidR="001825C5" w:rsidRDefault="001825C5" w:rsidP="00B04E91">
      <w:r>
        <w:separator/>
      </w:r>
    </w:p>
  </w:endnote>
  <w:endnote w:type="continuationSeparator" w:id="0">
    <w:p w14:paraId="14D41682" w14:textId="77777777" w:rsidR="001825C5" w:rsidRDefault="001825C5"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2710AE" w:rsidRDefault="002710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2710AE" w:rsidRDefault="002710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257F7246" w:rsidR="002710AE" w:rsidRDefault="002710AE">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4A78D2">
      <w:rPr>
        <w:rStyle w:val="Nmerodepgina"/>
        <w:rFonts w:ascii="Century Gothic" w:hAnsi="Century Gothic"/>
        <w:noProof/>
        <w:sz w:val="20"/>
      </w:rPr>
      <w:t>24</w:t>
    </w:r>
    <w:r>
      <w:rPr>
        <w:rStyle w:val="Nmerodepgina"/>
        <w:rFonts w:ascii="Century Gothic" w:hAnsi="Century Gothic"/>
        <w:sz w:val="20"/>
      </w:rPr>
      <w:fldChar w:fldCharType="end"/>
    </w:r>
  </w:p>
  <w:p w14:paraId="460B3C72" w14:textId="2D6ACAE8" w:rsidR="002710AE" w:rsidRDefault="002710AE"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D46429">
      <w:rPr>
        <w:rFonts w:ascii="Century Gothic" w:hAnsi="Century Gothic"/>
        <w:b/>
        <w:smallCaps/>
        <w:sz w:val="20"/>
        <w:szCs w:val="20"/>
      </w:rPr>
      <w:t>1122</w:t>
    </w:r>
    <w:r w:rsidR="00AB0234">
      <w:rPr>
        <w:rFonts w:ascii="Century Gothic" w:hAnsi="Century Gothic"/>
        <w:b/>
        <w:smallCaps/>
        <w:sz w:val="20"/>
        <w:szCs w:val="20"/>
      </w:rPr>
      <w:t>1</w:t>
    </w:r>
    <w:r>
      <w:rPr>
        <w:rFonts w:ascii="Century Gothic" w:hAnsi="Century Gothic"/>
        <w:b/>
        <w:smallCaps/>
        <w:sz w:val="20"/>
        <w:szCs w:val="20"/>
      </w:rPr>
      <w:t>/Lxxiv</w:t>
    </w:r>
  </w:p>
  <w:p w14:paraId="381ACAC4" w14:textId="77777777" w:rsidR="002710AE" w:rsidRDefault="002710AE"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2710AE" w:rsidRDefault="002710AE" w:rsidP="004F118C">
    <w:pPr>
      <w:pStyle w:val="Piedepgina"/>
      <w:ind w:right="360"/>
      <w:jc w:val="center"/>
      <w:rPr>
        <w:rFonts w:ascii="Century Gothic" w:hAnsi="Century Gothic"/>
        <w:b/>
        <w:smallCaps/>
        <w:sz w:val="20"/>
        <w:szCs w:val="20"/>
      </w:rPr>
    </w:pPr>
  </w:p>
  <w:p w14:paraId="447F2F47" w14:textId="77777777" w:rsidR="002710AE" w:rsidRDefault="002710AE" w:rsidP="004F118C">
    <w:pPr>
      <w:pStyle w:val="Piedepgina"/>
      <w:ind w:right="360"/>
      <w:jc w:val="center"/>
      <w:rPr>
        <w:rFonts w:ascii="Century Gothic" w:hAnsi="Century Gothic"/>
        <w:b/>
        <w:smallCaps/>
        <w:sz w:val="20"/>
        <w:szCs w:val="20"/>
      </w:rPr>
    </w:pPr>
  </w:p>
  <w:p w14:paraId="5E4585D7" w14:textId="77777777" w:rsidR="002710AE" w:rsidRDefault="002710A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735F" w14:textId="77777777" w:rsidR="001825C5" w:rsidRDefault="001825C5" w:rsidP="00B04E91">
      <w:r>
        <w:separator/>
      </w:r>
    </w:p>
  </w:footnote>
  <w:footnote w:type="continuationSeparator" w:id="0">
    <w:p w14:paraId="5F7CDBC3" w14:textId="77777777" w:rsidR="001825C5" w:rsidRDefault="001825C5"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13DC"/>
    <w:rsid w:val="00005A41"/>
    <w:rsid w:val="000069CC"/>
    <w:rsid w:val="0000743E"/>
    <w:rsid w:val="0003295D"/>
    <w:rsid w:val="00051086"/>
    <w:rsid w:val="00060DCC"/>
    <w:rsid w:val="00061D18"/>
    <w:rsid w:val="00065637"/>
    <w:rsid w:val="00067274"/>
    <w:rsid w:val="00073500"/>
    <w:rsid w:val="000A0060"/>
    <w:rsid w:val="000B7EB5"/>
    <w:rsid w:val="000C07E0"/>
    <w:rsid w:val="000C0800"/>
    <w:rsid w:val="000C46C7"/>
    <w:rsid w:val="000C4767"/>
    <w:rsid w:val="000D14F6"/>
    <w:rsid w:val="000E5609"/>
    <w:rsid w:val="000F0BD0"/>
    <w:rsid w:val="000F3D7C"/>
    <w:rsid w:val="000F3DA6"/>
    <w:rsid w:val="000F56F4"/>
    <w:rsid w:val="001014E7"/>
    <w:rsid w:val="00114918"/>
    <w:rsid w:val="00117468"/>
    <w:rsid w:val="0013102B"/>
    <w:rsid w:val="001406DD"/>
    <w:rsid w:val="00152FDC"/>
    <w:rsid w:val="00155B00"/>
    <w:rsid w:val="001825C5"/>
    <w:rsid w:val="00196607"/>
    <w:rsid w:val="00196626"/>
    <w:rsid w:val="001B01AF"/>
    <w:rsid w:val="001B2870"/>
    <w:rsid w:val="001C1F72"/>
    <w:rsid w:val="001C35F1"/>
    <w:rsid w:val="001C58E2"/>
    <w:rsid w:val="001D1543"/>
    <w:rsid w:val="001D2D05"/>
    <w:rsid w:val="001E175A"/>
    <w:rsid w:val="001E684C"/>
    <w:rsid w:val="001F1C49"/>
    <w:rsid w:val="001F4F32"/>
    <w:rsid w:val="001F7EE8"/>
    <w:rsid w:val="001F7F4F"/>
    <w:rsid w:val="00201D17"/>
    <w:rsid w:val="00213029"/>
    <w:rsid w:val="002210A4"/>
    <w:rsid w:val="002234AC"/>
    <w:rsid w:val="0022708A"/>
    <w:rsid w:val="00232107"/>
    <w:rsid w:val="00245549"/>
    <w:rsid w:val="00246F5B"/>
    <w:rsid w:val="0025062E"/>
    <w:rsid w:val="0026391D"/>
    <w:rsid w:val="002710AE"/>
    <w:rsid w:val="0027115F"/>
    <w:rsid w:val="00285C41"/>
    <w:rsid w:val="00286DBD"/>
    <w:rsid w:val="00297B1B"/>
    <w:rsid w:val="002B2372"/>
    <w:rsid w:val="002B4083"/>
    <w:rsid w:val="002B584F"/>
    <w:rsid w:val="002C77C1"/>
    <w:rsid w:val="002D2D39"/>
    <w:rsid w:val="002E114B"/>
    <w:rsid w:val="002E4851"/>
    <w:rsid w:val="002F0CC0"/>
    <w:rsid w:val="003168D9"/>
    <w:rsid w:val="00346872"/>
    <w:rsid w:val="00352DA7"/>
    <w:rsid w:val="00353ABC"/>
    <w:rsid w:val="00357C81"/>
    <w:rsid w:val="0036179B"/>
    <w:rsid w:val="003640B0"/>
    <w:rsid w:val="00366394"/>
    <w:rsid w:val="0036667D"/>
    <w:rsid w:val="00370BB1"/>
    <w:rsid w:val="00373F95"/>
    <w:rsid w:val="003761A9"/>
    <w:rsid w:val="00380116"/>
    <w:rsid w:val="00392664"/>
    <w:rsid w:val="003937CB"/>
    <w:rsid w:val="003A15D3"/>
    <w:rsid w:val="003B034D"/>
    <w:rsid w:val="003B5BBE"/>
    <w:rsid w:val="003C2D99"/>
    <w:rsid w:val="003C4F11"/>
    <w:rsid w:val="003C7FFA"/>
    <w:rsid w:val="003D6C51"/>
    <w:rsid w:val="003E14EB"/>
    <w:rsid w:val="003E19E0"/>
    <w:rsid w:val="00400548"/>
    <w:rsid w:val="004100C8"/>
    <w:rsid w:val="004168F6"/>
    <w:rsid w:val="00417744"/>
    <w:rsid w:val="00421A71"/>
    <w:rsid w:val="00422132"/>
    <w:rsid w:val="004245E2"/>
    <w:rsid w:val="00424C0C"/>
    <w:rsid w:val="004461F5"/>
    <w:rsid w:val="00460E62"/>
    <w:rsid w:val="00463985"/>
    <w:rsid w:val="004856DE"/>
    <w:rsid w:val="00496680"/>
    <w:rsid w:val="004A78D2"/>
    <w:rsid w:val="004B2C66"/>
    <w:rsid w:val="004C5CF5"/>
    <w:rsid w:val="004C74A9"/>
    <w:rsid w:val="004D653F"/>
    <w:rsid w:val="004F118C"/>
    <w:rsid w:val="00502F51"/>
    <w:rsid w:val="00513FE8"/>
    <w:rsid w:val="005160DE"/>
    <w:rsid w:val="00522C39"/>
    <w:rsid w:val="005501F2"/>
    <w:rsid w:val="00554E93"/>
    <w:rsid w:val="00557414"/>
    <w:rsid w:val="00564048"/>
    <w:rsid w:val="00565F4D"/>
    <w:rsid w:val="0057161A"/>
    <w:rsid w:val="0057176B"/>
    <w:rsid w:val="00572890"/>
    <w:rsid w:val="00595DEA"/>
    <w:rsid w:val="005A1CBB"/>
    <w:rsid w:val="005B21FA"/>
    <w:rsid w:val="005E0FB8"/>
    <w:rsid w:val="00606382"/>
    <w:rsid w:val="0061309B"/>
    <w:rsid w:val="006313B0"/>
    <w:rsid w:val="0064320D"/>
    <w:rsid w:val="00654240"/>
    <w:rsid w:val="00656389"/>
    <w:rsid w:val="0067090A"/>
    <w:rsid w:val="006A0518"/>
    <w:rsid w:val="006A073F"/>
    <w:rsid w:val="006E76E7"/>
    <w:rsid w:val="006E7763"/>
    <w:rsid w:val="006F4C0E"/>
    <w:rsid w:val="00704DF9"/>
    <w:rsid w:val="00710E11"/>
    <w:rsid w:val="00713354"/>
    <w:rsid w:val="007263AF"/>
    <w:rsid w:val="007477E7"/>
    <w:rsid w:val="00770B4B"/>
    <w:rsid w:val="0078499F"/>
    <w:rsid w:val="00784AF9"/>
    <w:rsid w:val="0078610D"/>
    <w:rsid w:val="007A5A75"/>
    <w:rsid w:val="007B37E5"/>
    <w:rsid w:val="007D5279"/>
    <w:rsid w:val="007E7BA8"/>
    <w:rsid w:val="007F2CB1"/>
    <w:rsid w:val="00803F60"/>
    <w:rsid w:val="00807DCF"/>
    <w:rsid w:val="00812919"/>
    <w:rsid w:val="00812ECC"/>
    <w:rsid w:val="00841DD6"/>
    <w:rsid w:val="0084251B"/>
    <w:rsid w:val="008472ED"/>
    <w:rsid w:val="008555DE"/>
    <w:rsid w:val="00857501"/>
    <w:rsid w:val="008612FC"/>
    <w:rsid w:val="00870D05"/>
    <w:rsid w:val="00872FF5"/>
    <w:rsid w:val="008748C4"/>
    <w:rsid w:val="00896A9B"/>
    <w:rsid w:val="008B13F4"/>
    <w:rsid w:val="008B1F64"/>
    <w:rsid w:val="008B724F"/>
    <w:rsid w:val="008C68FB"/>
    <w:rsid w:val="008D5A00"/>
    <w:rsid w:val="008E4297"/>
    <w:rsid w:val="008F4650"/>
    <w:rsid w:val="0092026F"/>
    <w:rsid w:val="00923840"/>
    <w:rsid w:val="00925B51"/>
    <w:rsid w:val="00945062"/>
    <w:rsid w:val="009530BF"/>
    <w:rsid w:val="00962A3E"/>
    <w:rsid w:val="00962DA5"/>
    <w:rsid w:val="009706A2"/>
    <w:rsid w:val="009745D5"/>
    <w:rsid w:val="009745E1"/>
    <w:rsid w:val="00975E3A"/>
    <w:rsid w:val="0097641C"/>
    <w:rsid w:val="00987B72"/>
    <w:rsid w:val="00996FE4"/>
    <w:rsid w:val="009A0DCD"/>
    <w:rsid w:val="009A4382"/>
    <w:rsid w:val="009B15EF"/>
    <w:rsid w:val="009B2B94"/>
    <w:rsid w:val="009C6CEE"/>
    <w:rsid w:val="009D5672"/>
    <w:rsid w:val="00A15561"/>
    <w:rsid w:val="00A245E1"/>
    <w:rsid w:val="00A25E17"/>
    <w:rsid w:val="00A27925"/>
    <w:rsid w:val="00A30067"/>
    <w:rsid w:val="00A30877"/>
    <w:rsid w:val="00A4062D"/>
    <w:rsid w:val="00A43B7B"/>
    <w:rsid w:val="00A52D35"/>
    <w:rsid w:val="00A8137D"/>
    <w:rsid w:val="00AB0234"/>
    <w:rsid w:val="00AC52F7"/>
    <w:rsid w:val="00AD0E28"/>
    <w:rsid w:val="00AD6C93"/>
    <w:rsid w:val="00AE4FBE"/>
    <w:rsid w:val="00AE5BB0"/>
    <w:rsid w:val="00AE63BA"/>
    <w:rsid w:val="00B04E91"/>
    <w:rsid w:val="00B356F9"/>
    <w:rsid w:val="00B362F2"/>
    <w:rsid w:val="00B37B43"/>
    <w:rsid w:val="00B5108E"/>
    <w:rsid w:val="00B55F54"/>
    <w:rsid w:val="00B66B7D"/>
    <w:rsid w:val="00B77A93"/>
    <w:rsid w:val="00B8337B"/>
    <w:rsid w:val="00B841F6"/>
    <w:rsid w:val="00B9777A"/>
    <w:rsid w:val="00B97C33"/>
    <w:rsid w:val="00BB1E44"/>
    <w:rsid w:val="00BB2011"/>
    <w:rsid w:val="00BB418A"/>
    <w:rsid w:val="00BB7E04"/>
    <w:rsid w:val="00BC6ABB"/>
    <w:rsid w:val="00BC6F88"/>
    <w:rsid w:val="00BD1169"/>
    <w:rsid w:val="00BE217F"/>
    <w:rsid w:val="00BE232C"/>
    <w:rsid w:val="00BE33D0"/>
    <w:rsid w:val="00BF0D79"/>
    <w:rsid w:val="00BF159A"/>
    <w:rsid w:val="00BF5EBE"/>
    <w:rsid w:val="00C016F7"/>
    <w:rsid w:val="00C068AC"/>
    <w:rsid w:val="00C14CF1"/>
    <w:rsid w:val="00C215B3"/>
    <w:rsid w:val="00C27525"/>
    <w:rsid w:val="00C27E2C"/>
    <w:rsid w:val="00C35326"/>
    <w:rsid w:val="00C46826"/>
    <w:rsid w:val="00C50ED1"/>
    <w:rsid w:val="00C530C9"/>
    <w:rsid w:val="00C55714"/>
    <w:rsid w:val="00C577D8"/>
    <w:rsid w:val="00C80006"/>
    <w:rsid w:val="00C80F7B"/>
    <w:rsid w:val="00C82923"/>
    <w:rsid w:val="00C964B0"/>
    <w:rsid w:val="00C96FB6"/>
    <w:rsid w:val="00CB37A2"/>
    <w:rsid w:val="00CC510C"/>
    <w:rsid w:val="00CD616D"/>
    <w:rsid w:val="00CE0E35"/>
    <w:rsid w:val="00CE4C63"/>
    <w:rsid w:val="00CE616A"/>
    <w:rsid w:val="00CE6B8A"/>
    <w:rsid w:val="00D330AA"/>
    <w:rsid w:val="00D35457"/>
    <w:rsid w:val="00D46429"/>
    <w:rsid w:val="00D50112"/>
    <w:rsid w:val="00D55895"/>
    <w:rsid w:val="00D56916"/>
    <w:rsid w:val="00D63038"/>
    <w:rsid w:val="00D6598F"/>
    <w:rsid w:val="00D6623F"/>
    <w:rsid w:val="00D82491"/>
    <w:rsid w:val="00D843AF"/>
    <w:rsid w:val="00D8670D"/>
    <w:rsid w:val="00D87938"/>
    <w:rsid w:val="00D94EBC"/>
    <w:rsid w:val="00DC220B"/>
    <w:rsid w:val="00DC2D26"/>
    <w:rsid w:val="00DC58A2"/>
    <w:rsid w:val="00DC6D36"/>
    <w:rsid w:val="00DD0C19"/>
    <w:rsid w:val="00DD41DC"/>
    <w:rsid w:val="00DE0452"/>
    <w:rsid w:val="00DE37B8"/>
    <w:rsid w:val="00DE3E84"/>
    <w:rsid w:val="00DE7E2B"/>
    <w:rsid w:val="00DF41B3"/>
    <w:rsid w:val="00E16FB0"/>
    <w:rsid w:val="00E17B92"/>
    <w:rsid w:val="00E2174B"/>
    <w:rsid w:val="00E32523"/>
    <w:rsid w:val="00E33B52"/>
    <w:rsid w:val="00E45EF2"/>
    <w:rsid w:val="00E504C4"/>
    <w:rsid w:val="00E53B97"/>
    <w:rsid w:val="00E54EE7"/>
    <w:rsid w:val="00E7325C"/>
    <w:rsid w:val="00E80E55"/>
    <w:rsid w:val="00E843AA"/>
    <w:rsid w:val="00E879ED"/>
    <w:rsid w:val="00E9058E"/>
    <w:rsid w:val="00E91184"/>
    <w:rsid w:val="00E949ED"/>
    <w:rsid w:val="00EB3110"/>
    <w:rsid w:val="00EB6239"/>
    <w:rsid w:val="00EC11FB"/>
    <w:rsid w:val="00EC53F3"/>
    <w:rsid w:val="00EE0828"/>
    <w:rsid w:val="00EE1A5A"/>
    <w:rsid w:val="00EE3B6F"/>
    <w:rsid w:val="00EF05CF"/>
    <w:rsid w:val="00EF44F4"/>
    <w:rsid w:val="00EF6DDF"/>
    <w:rsid w:val="00F21126"/>
    <w:rsid w:val="00F25004"/>
    <w:rsid w:val="00F3491F"/>
    <w:rsid w:val="00F37087"/>
    <w:rsid w:val="00F513F6"/>
    <w:rsid w:val="00F51567"/>
    <w:rsid w:val="00F55BA4"/>
    <w:rsid w:val="00F72E53"/>
    <w:rsid w:val="00F86B3D"/>
    <w:rsid w:val="00F948B8"/>
    <w:rsid w:val="00FB039A"/>
    <w:rsid w:val="00FB2750"/>
    <w:rsid w:val="00FD046C"/>
    <w:rsid w:val="00FD127D"/>
    <w:rsid w:val="00FD16D7"/>
    <w:rsid w:val="00FD59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1406DD"/>
    <w:rPr>
      <w:sz w:val="16"/>
      <w:szCs w:val="16"/>
    </w:rPr>
  </w:style>
  <w:style w:type="paragraph" w:styleId="Textocomentario">
    <w:name w:val="annotation text"/>
    <w:basedOn w:val="Normal"/>
    <w:link w:val="TextocomentarioCar"/>
    <w:uiPriority w:val="99"/>
    <w:semiHidden/>
    <w:unhideWhenUsed/>
    <w:rsid w:val="001406DD"/>
    <w:rPr>
      <w:sz w:val="20"/>
      <w:szCs w:val="20"/>
    </w:rPr>
  </w:style>
  <w:style w:type="character" w:customStyle="1" w:styleId="TextocomentarioCar">
    <w:name w:val="Texto comentario Car"/>
    <w:basedOn w:val="Fuentedeprrafopredeter"/>
    <w:link w:val="Textocomentario"/>
    <w:uiPriority w:val="99"/>
    <w:semiHidden/>
    <w:rsid w:val="00140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06DD"/>
    <w:rPr>
      <w:b/>
      <w:bCs/>
    </w:rPr>
  </w:style>
  <w:style w:type="character" w:customStyle="1" w:styleId="AsuntodelcomentarioCar">
    <w:name w:val="Asunto del comentario Car"/>
    <w:basedOn w:val="TextocomentarioCar"/>
    <w:link w:val="Asuntodelcomentario"/>
    <w:uiPriority w:val="99"/>
    <w:semiHidden/>
    <w:rsid w:val="001406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21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DA76-26B8-4D0C-8A03-AA50E592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4866</Words>
  <Characters>26764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2017-12-08T19:14:00Z</cp:lastPrinted>
  <dcterms:created xsi:type="dcterms:W3CDTF">2017-12-08T19:13:00Z</dcterms:created>
  <dcterms:modified xsi:type="dcterms:W3CDTF">2017-12-08T19:14:00Z</dcterms:modified>
</cp:coreProperties>
</file>