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BE" w:rsidRPr="008E19BC" w:rsidRDefault="000F3CBE" w:rsidP="000F3CBE">
      <w:pPr>
        <w:pStyle w:val="Texto"/>
        <w:widowControl w:val="0"/>
        <w:spacing w:after="0" w:line="240" w:lineRule="auto"/>
        <w:ind w:firstLine="0"/>
        <w:jc w:val="left"/>
        <w:rPr>
          <w:b/>
          <w:bCs/>
          <w:sz w:val="22"/>
          <w:szCs w:val="22"/>
        </w:rPr>
      </w:pPr>
      <w:r>
        <w:rPr>
          <w:b/>
          <w:bCs/>
          <w:sz w:val="22"/>
          <w:szCs w:val="22"/>
        </w:rPr>
        <w:t>LEY DE IN</w:t>
      </w:r>
      <w:r w:rsidRPr="00867964">
        <w:rPr>
          <w:b/>
          <w:bCs/>
          <w:sz w:val="22"/>
          <w:szCs w:val="22"/>
        </w:rPr>
        <w:t>GRESOS DEL ESTADO DE NUEVO LEÓN</w:t>
      </w:r>
      <w:r w:rsidRPr="008E19BC">
        <w:rPr>
          <w:b/>
          <w:bCs/>
          <w:sz w:val="22"/>
          <w:szCs w:val="22"/>
        </w:rPr>
        <w:t xml:space="preserve"> PARA EL EJERCICIO FISCAL 2018</w:t>
      </w:r>
      <w:r>
        <w:rPr>
          <w:b/>
          <w:bCs/>
          <w:sz w:val="22"/>
          <w:szCs w:val="22"/>
        </w:rPr>
        <w:t>.</w:t>
      </w:r>
    </w:p>
    <w:p w:rsidR="000F3CBE" w:rsidRDefault="000F3CBE" w:rsidP="000F3CBE">
      <w:pPr>
        <w:tabs>
          <w:tab w:val="left" w:pos="1400"/>
        </w:tabs>
        <w:autoSpaceDE w:val="0"/>
        <w:autoSpaceDN w:val="0"/>
        <w:adjustRightInd w:val="0"/>
        <w:spacing w:line="240" w:lineRule="auto"/>
        <w:ind w:right="-20"/>
        <w:rPr>
          <w:rFonts w:cs="Arial"/>
          <w:b/>
          <w:position w:val="-1"/>
        </w:rPr>
      </w:pPr>
      <w:r>
        <w:rPr>
          <w:rFonts w:cs="Arial"/>
          <w:b/>
          <w:position w:val="-1"/>
        </w:rPr>
        <w:t>TEXTO ORIGINAL.</w:t>
      </w:r>
    </w:p>
    <w:p w:rsidR="000F3CBE" w:rsidRPr="002E3C4A" w:rsidRDefault="000F3CBE" w:rsidP="000F3CBE">
      <w:pPr>
        <w:tabs>
          <w:tab w:val="left" w:pos="1400"/>
        </w:tabs>
        <w:autoSpaceDE w:val="0"/>
        <w:autoSpaceDN w:val="0"/>
        <w:adjustRightInd w:val="0"/>
        <w:spacing w:line="240" w:lineRule="auto"/>
        <w:ind w:right="-20"/>
        <w:rPr>
          <w:rFonts w:cs="Arial"/>
          <w:b/>
          <w:position w:val="-1"/>
        </w:rPr>
      </w:pPr>
    </w:p>
    <w:p w:rsidR="000F3CBE" w:rsidRPr="00651F1E" w:rsidRDefault="000F3CBE" w:rsidP="000F3CBE">
      <w:pPr>
        <w:pStyle w:val="Textoindependiente"/>
        <w:spacing w:line="240" w:lineRule="auto"/>
        <w:ind w:right="-20"/>
        <w:rPr>
          <w:rFonts w:cs="Arial"/>
          <w:b/>
          <w:position w:val="-1"/>
          <w:sz w:val="22"/>
        </w:rPr>
      </w:pPr>
      <w:r w:rsidRPr="00651F1E">
        <w:rPr>
          <w:rFonts w:cs="Arial"/>
          <w:b/>
          <w:position w:val="-1"/>
          <w:sz w:val="22"/>
        </w:rPr>
        <w:t xml:space="preserve">LEY PUBLICADA EN EL P.O. # </w:t>
      </w:r>
      <w:r>
        <w:rPr>
          <w:rFonts w:cs="Arial"/>
          <w:b/>
          <w:position w:val="-1"/>
          <w:sz w:val="22"/>
        </w:rPr>
        <w:t>160</w:t>
      </w:r>
      <w:r w:rsidRPr="00651F1E">
        <w:rPr>
          <w:rFonts w:cs="Arial"/>
          <w:b/>
          <w:position w:val="-1"/>
          <w:sz w:val="22"/>
        </w:rPr>
        <w:t>-I</w:t>
      </w:r>
      <w:r>
        <w:rPr>
          <w:rFonts w:cs="Arial"/>
          <w:b/>
          <w:position w:val="-1"/>
          <w:sz w:val="22"/>
        </w:rPr>
        <w:t>I</w:t>
      </w:r>
      <w:r w:rsidRPr="00651F1E">
        <w:rPr>
          <w:rFonts w:cs="Arial"/>
          <w:b/>
          <w:position w:val="-1"/>
          <w:sz w:val="22"/>
        </w:rPr>
        <w:t xml:space="preserve">I DE FECHA </w:t>
      </w:r>
      <w:r>
        <w:rPr>
          <w:rFonts w:cs="Arial"/>
          <w:b/>
          <w:position w:val="-1"/>
          <w:sz w:val="22"/>
        </w:rPr>
        <w:t>29 DE DICIEMBRE DE 2017.</w:t>
      </w:r>
    </w:p>
    <w:p w:rsidR="000F3CBE" w:rsidRPr="002E3C4A" w:rsidRDefault="000F3CBE" w:rsidP="000F3CBE">
      <w:pPr>
        <w:pStyle w:val="Textoindependiente"/>
        <w:spacing w:line="240" w:lineRule="auto"/>
        <w:ind w:right="-20"/>
        <w:rPr>
          <w:rFonts w:cs="Arial"/>
          <w:position w:val="-1"/>
        </w:rPr>
      </w:pPr>
    </w:p>
    <w:p w:rsidR="000F3CBE" w:rsidRPr="002E3C4A" w:rsidRDefault="000F3CBE" w:rsidP="000F3CBE">
      <w:pPr>
        <w:tabs>
          <w:tab w:val="left" w:pos="7513"/>
        </w:tabs>
        <w:spacing w:line="240" w:lineRule="auto"/>
        <w:ind w:right="-20"/>
        <w:rPr>
          <w:rFonts w:cs="Arial"/>
        </w:rPr>
      </w:pPr>
      <w:r w:rsidRPr="002E3C4A">
        <w:rPr>
          <w:rFonts w:cs="Arial"/>
        </w:rPr>
        <w:t>JAIME HELIODORO RODRÍGUEZ CALDERÓN, GOBERNADOR CONSTITUCIONAL DEL ESTADO LIBRE Y SOBERANO DE NUEVO LEÓN, A TODOS SUS HABITANTES HAGO SABER: Que el H. Congreso del Estado ha tenido a bien decretar lo que sigue:</w:t>
      </w:r>
    </w:p>
    <w:p w:rsidR="000F3CBE" w:rsidRPr="002E3C4A" w:rsidRDefault="000F3CBE" w:rsidP="000F3CBE">
      <w:pPr>
        <w:pStyle w:val="Textoindependiente"/>
        <w:spacing w:line="240" w:lineRule="auto"/>
        <w:ind w:right="-20"/>
        <w:rPr>
          <w:rFonts w:cs="Arial"/>
          <w:b/>
          <w:sz w:val="22"/>
          <w:szCs w:val="22"/>
        </w:rPr>
      </w:pPr>
    </w:p>
    <w:p w:rsidR="000F3CBE" w:rsidRPr="002E3C4A" w:rsidRDefault="000F3CBE" w:rsidP="000F3CBE">
      <w:pPr>
        <w:pStyle w:val="Textoindependiente"/>
        <w:spacing w:line="240" w:lineRule="auto"/>
        <w:ind w:right="-20"/>
        <w:rPr>
          <w:rFonts w:cs="Arial"/>
          <w:b/>
          <w:sz w:val="22"/>
          <w:szCs w:val="22"/>
        </w:rPr>
      </w:pPr>
    </w:p>
    <w:p w:rsidR="001331C8" w:rsidRDefault="001331C8" w:rsidP="000F3CBE">
      <w:pPr>
        <w:pStyle w:val="Textoindependiente"/>
        <w:spacing w:line="240" w:lineRule="auto"/>
        <w:jc w:val="center"/>
        <w:rPr>
          <w:rFonts w:cs="Arial"/>
          <w:b/>
          <w:sz w:val="22"/>
          <w:szCs w:val="22"/>
        </w:rPr>
      </w:pPr>
    </w:p>
    <w:p w:rsidR="003B03C2" w:rsidRPr="00A105D1" w:rsidRDefault="005A5C61" w:rsidP="000F3CBE">
      <w:pPr>
        <w:pStyle w:val="Textoindependiente"/>
        <w:spacing w:line="240" w:lineRule="auto"/>
        <w:jc w:val="center"/>
        <w:rPr>
          <w:rFonts w:cs="Arial"/>
          <w:b/>
          <w:sz w:val="22"/>
          <w:szCs w:val="22"/>
        </w:rPr>
      </w:pPr>
      <w:r>
        <w:rPr>
          <w:rFonts w:cs="Arial"/>
          <w:b/>
          <w:sz w:val="22"/>
          <w:szCs w:val="22"/>
        </w:rPr>
        <w:t>DECRETO</w:t>
      </w:r>
    </w:p>
    <w:p w:rsidR="003B03C2" w:rsidRPr="00A105D1" w:rsidRDefault="003B03C2" w:rsidP="000F3CBE">
      <w:pPr>
        <w:pStyle w:val="Textoindependiente"/>
        <w:spacing w:line="240" w:lineRule="auto"/>
        <w:jc w:val="center"/>
        <w:rPr>
          <w:rFonts w:cs="Arial"/>
          <w:b/>
          <w:sz w:val="22"/>
          <w:szCs w:val="22"/>
        </w:rPr>
      </w:pPr>
    </w:p>
    <w:p w:rsidR="003B03C2" w:rsidRDefault="003B03C2" w:rsidP="000F3CBE">
      <w:pPr>
        <w:pStyle w:val="Textoindependiente"/>
        <w:spacing w:line="240" w:lineRule="auto"/>
        <w:jc w:val="center"/>
        <w:rPr>
          <w:rFonts w:cs="Arial"/>
          <w:b/>
          <w:sz w:val="22"/>
          <w:szCs w:val="22"/>
        </w:rPr>
      </w:pPr>
      <w:r w:rsidRPr="00A105D1">
        <w:rPr>
          <w:rFonts w:cs="Arial"/>
          <w:b/>
          <w:sz w:val="22"/>
          <w:szCs w:val="22"/>
        </w:rPr>
        <w:t xml:space="preserve">NÚM…… </w:t>
      </w:r>
      <w:r w:rsidR="00D24C56">
        <w:rPr>
          <w:rFonts w:cs="Arial"/>
          <w:b/>
          <w:sz w:val="22"/>
          <w:szCs w:val="22"/>
        </w:rPr>
        <w:t>331</w:t>
      </w:r>
    </w:p>
    <w:p w:rsidR="002F0987" w:rsidRDefault="002F0987" w:rsidP="000F3CBE">
      <w:pPr>
        <w:spacing w:line="240" w:lineRule="auto"/>
        <w:ind w:right="708"/>
        <w:rPr>
          <w:rFonts w:cs="Arial"/>
          <w:b/>
          <w:bCs/>
          <w:szCs w:val="22"/>
        </w:rPr>
      </w:pPr>
    </w:p>
    <w:p w:rsidR="00446252" w:rsidRPr="00881D7B" w:rsidRDefault="00446252" w:rsidP="000F3CBE">
      <w:pPr>
        <w:spacing w:line="240" w:lineRule="auto"/>
        <w:rPr>
          <w:rFonts w:cs="Arial"/>
          <w:b/>
          <w:bCs/>
          <w:szCs w:val="22"/>
        </w:rPr>
      </w:pPr>
    </w:p>
    <w:p w:rsidR="006401DF" w:rsidRPr="006401DF" w:rsidRDefault="00D24C56" w:rsidP="000F3CBE">
      <w:pPr>
        <w:pStyle w:val="Text"/>
        <w:widowControl w:val="0"/>
        <w:suppressAutoHyphens w:val="0"/>
        <w:spacing w:after="0" w:line="240" w:lineRule="auto"/>
        <w:ind w:firstLine="0"/>
        <w:rPr>
          <w:rFonts w:eastAsia="Times New Roman"/>
          <w:sz w:val="22"/>
          <w:szCs w:val="22"/>
          <w:lang w:val="es-MX" w:eastAsia="en-CA"/>
        </w:rPr>
      </w:pPr>
      <w:r>
        <w:rPr>
          <w:b/>
          <w:sz w:val="22"/>
          <w:szCs w:val="22"/>
        </w:rPr>
        <w:t xml:space="preserve">Artículo </w:t>
      </w:r>
      <w:proofErr w:type="gramStart"/>
      <w:r>
        <w:rPr>
          <w:b/>
          <w:sz w:val="22"/>
          <w:szCs w:val="22"/>
        </w:rPr>
        <w:t>Único</w:t>
      </w:r>
      <w:r w:rsidR="006401DF" w:rsidRPr="006401DF">
        <w:rPr>
          <w:b/>
          <w:sz w:val="22"/>
          <w:szCs w:val="22"/>
        </w:rPr>
        <w:t>.-</w:t>
      </w:r>
      <w:proofErr w:type="gramEnd"/>
      <w:r w:rsidR="006401DF" w:rsidRPr="006401DF">
        <w:rPr>
          <w:sz w:val="22"/>
          <w:szCs w:val="22"/>
        </w:rPr>
        <w:t xml:space="preserve"> </w:t>
      </w:r>
      <w:r w:rsidR="006401DF" w:rsidRPr="006401DF">
        <w:rPr>
          <w:rFonts w:eastAsia="Times New Roman"/>
          <w:sz w:val="22"/>
          <w:szCs w:val="22"/>
          <w:lang w:val="es-MX" w:eastAsia="en-CA"/>
        </w:rPr>
        <w:t>Se expide la Ley de Ingresos del Estado de Nuevo León para el año 2018, en los siguientes términos:</w:t>
      </w:r>
    </w:p>
    <w:p w:rsidR="006401DF" w:rsidRDefault="006401DF" w:rsidP="000F3CBE">
      <w:pPr>
        <w:pStyle w:val="Text"/>
        <w:widowControl w:val="0"/>
        <w:suppressAutoHyphens w:val="0"/>
        <w:spacing w:after="0" w:line="240" w:lineRule="auto"/>
        <w:ind w:firstLine="0"/>
        <w:rPr>
          <w:sz w:val="22"/>
          <w:szCs w:val="22"/>
        </w:rPr>
      </w:pPr>
    </w:p>
    <w:p w:rsidR="006401DF" w:rsidRPr="006401DF" w:rsidRDefault="006401DF" w:rsidP="000F3CBE">
      <w:pPr>
        <w:pStyle w:val="Text"/>
        <w:widowControl w:val="0"/>
        <w:suppressAutoHyphens w:val="0"/>
        <w:spacing w:after="0" w:line="240" w:lineRule="auto"/>
        <w:ind w:firstLine="0"/>
        <w:rPr>
          <w:sz w:val="22"/>
          <w:szCs w:val="22"/>
        </w:rPr>
      </w:pPr>
    </w:p>
    <w:p w:rsidR="006401DF" w:rsidRDefault="006401DF" w:rsidP="000F3CBE">
      <w:pPr>
        <w:pStyle w:val="Texto"/>
        <w:widowControl w:val="0"/>
        <w:spacing w:after="0" w:line="240" w:lineRule="auto"/>
        <w:ind w:firstLine="0"/>
        <w:jc w:val="center"/>
        <w:rPr>
          <w:b/>
          <w:bCs/>
          <w:sz w:val="22"/>
          <w:szCs w:val="22"/>
        </w:rPr>
      </w:pPr>
      <w:r w:rsidRPr="00237B3B">
        <w:rPr>
          <w:b/>
          <w:bCs/>
          <w:sz w:val="22"/>
          <w:szCs w:val="22"/>
        </w:rPr>
        <w:t xml:space="preserve">LEY DE </w:t>
      </w:r>
      <w:r>
        <w:rPr>
          <w:b/>
          <w:bCs/>
          <w:sz w:val="22"/>
          <w:szCs w:val="22"/>
        </w:rPr>
        <w:t>IN</w:t>
      </w:r>
      <w:r w:rsidRPr="00237B3B">
        <w:rPr>
          <w:b/>
          <w:bCs/>
          <w:sz w:val="22"/>
          <w:szCs w:val="22"/>
        </w:rPr>
        <w:t>GRESOS DEL ESTADO DE NUEVO LEÓN</w:t>
      </w:r>
    </w:p>
    <w:p w:rsidR="006401DF" w:rsidRPr="00237B3B" w:rsidRDefault="006401DF" w:rsidP="000F3CBE">
      <w:pPr>
        <w:pStyle w:val="Texto"/>
        <w:widowControl w:val="0"/>
        <w:spacing w:after="0" w:line="240" w:lineRule="auto"/>
        <w:ind w:firstLine="0"/>
        <w:jc w:val="center"/>
        <w:rPr>
          <w:b/>
          <w:bCs/>
          <w:sz w:val="22"/>
          <w:szCs w:val="22"/>
        </w:rPr>
      </w:pPr>
      <w:r w:rsidRPr="00237B3B">
        <w:rPr>
          <w:b/>
          <w:bCs/>
          <w:sz w:val="22"/>
          <w:szCs w:val="22"/>
        </w:rPr>
        <w:t xml:space="preserve"> PARA EL EJERCICIO FISCAL 2018</w:t>
      </w:r>
    </w:p>
    <w:p w:rsidR="006401DF" w:rsidRDefault="006401DF" w:rsidP="000F3CBE">
      <w:pPr>
        <w:widowControl w:val="0"/>
        <w:spacing w:line="240" w:lineRule="auto"/>
        <w:rPr>
          <w:rFonts w:cs="Arial"/>
          <w:b/>
          <w:szCs w:val="24"/>
        </w:rPr>
      </w:pPr>
    </w:p>
    <w:p w:rsidR="000F3CBE" w:rsidRPr="00AD68B8" w:rsidRDefault="000F3CBE" w:rsidP="000F3CBE">
      <w:pPr>
        <w:widowControl w:val="0"/>
        <w:spacing w:line="240" w:lineRule="auto"/>
        <w:rPr>
          <w:rFonts w:cs="Arial"/>
          <w:b/>
          <w:szCs w:val="24"/>
        </w:rPr>
      </w:pPr>
    </w:p>
    <w:p w:rsidR="006401DF" w:rsidRDefault="006401DF" w:rsidP="000F3CBE">
      <w:pPr>
        <w:widowControl w:val="0"/>
        <w:spacing w:line="240" w:lineRule="auto"/>
        <w:rPr>
          <w:rFonts w:cs="Arial"/>
          <w:szCs w:val="24"/>
        </w:rPr>
      </w:pPr>
      <w:r w:rsidRPr="00E72682">
        <w:rPr>
          <w:rFonts w:cs="Arial"/>
          <w:b/>
          <w:szCs w:val="24"/>
        </w:rPr>
        <w:t>Artículo 1.-</w:t>
      </w:r>
      <w:r w:rsidRPr="001A6D61">
        <w:rPr>
          <w:rFonts w:cs="Arial"/>
          <w:szCs w:val="24"/>
        </w:rPr>
        <w:t xml:space="preserve"> En el ejercicio fiscal del año 2018 la Hacienda Pública del Estado de Nuevo</w:t>
      </w:r>
      <w:r>
        <w:rPr>
          <w:rFonts w:cs="Arial"/>
          <w:szCs w:val="24"/>
        </w:rPr>
        <w:t xml:space="preserve"> </w:t>
      </w:r>
      <w:r w:rsidRPr="001A6D61">
        <w:rPr>
          <w:rFonts w:cs="Arial"/>
          <w:szCs w:val="24"/>
        </w:rPr>
        <w:t xml:space="preserve">León, </w:t>
      </w:r>
      <w:r>
        <w:rPr>
          <w:rFonts w:cs="Arial"/>
          <w:szCs w:val="24"/>
        </w:rPr>
        <w:t xml:space="preserve">sin incluir EDEFAS, </w:t>
      </w:r>
      <w:r w:rsidRPr="001A6D61">
        <w:rPr>
          <w:rFonts w:cs="Arial"/>
          <w:szCs w:val="24"/>
        </w:rPr>
        <w:t>percibirá los ingresos estimados en pesos que a continuación se enumeran:</w:t>
      </w:r>
    </w:p>
    <w:p w:rsidR="006401DF" w:rsidRDefault="006401DF" w:rsidP="000F3CBE">
      <w:pPr>
        <w:widowControl w:val="0"/>
        <w:spacing w:line="240" w:lineRule="auto"/>
        <w:rPr>
          <w:rFonts w:cs="Arial"/>
          <w:szCs w:val="24"/>
        </w:rPr>
      </w:pPr>
    </w:p>
    <w:tbl>
      <w:tblPr>
        <w:tblW w:w="8917" w:type="dxa"/>
        <w:tblInd w:w="-567" w:type="dxa"/>
        <w:tblCellMar>
          <w:left w:w="70" w:type="dxa"/>
          <w:right w:w="70" w:type="dxa"/>
        </w:tblCellMar>
        <w:tblLook w:val="04A0" w:firstRow="1" w:lastRow="0" w:firstColumn="1" w:lastColumn="0" w:noHBand="0" w:noVBand="1"/>
      </w:tblPr>
      <w:tblGrid>
        <w:gridCol w:w="471"/>
        <w:gridCol w:w="146"/>
        <w:gridCol w:w="324"/>
        <w:gridCol w:w="360"/>
        <w:gridCol w:w="5592"/>
        <w:gridCol w:w="263"/>
        <w:gridCol w:w="1761"/>
      </w:tblGrid>
      <w:tr w:rsidR="006401DF" w:rsidRPr="00F520CE" w:rsidTr="006401DF">
        <w:trPr>
          <w:trHeight w:val="315"/>
        </w:trPr>
        <w:tc>
          <w:tcPr>
            <w:tcW w:w="471" w:type="dxa"/>
            <w:tcBorders>
              <w:top w:val="nil"/>
              <w:left w:val="nil"/>
              <w:bottom w:val="nil"/>
              <w:right w:val="nil"/>
            </w:tcBorders>
            <w:shd w:val="clear" w:color="auto" w:fill="auto"/>
            <w:noWrap/>
            <w:vAlign w:val="bottom"/>
            <w:hideMark/>
          </w:tcPr>
          <w:p w:rsidR="006401DF" w:rsidRPr="00F520CE" w:rsidRDefault="006401DF" w:rsidP="000F3CBE">
            <w:pPr>
              <w:spacing w:line="240" w:lineRule="auto"/>
              <w:jc w:val="right"/>
              <w:rPr>
                <w:rFonts w:cs="Arial"/>
                <w:b/>
                <w:bCs/>
              </w:rPr>
            </w:pPr>
            <w:r w:rsidRPr="00F520CE">
              <w:rPr>
                <w:rFonts w:cs="Arial"/>
                <w:b/>
                <w:bCs/>
              </w:rPr>
              <w:t>A.</w:t>
            </w:r>
          </w:p>
        </w:tc>
        <w:tc>
          <w:tcPr>
            <w:tcW w:w="6422" w:type="dxa"/>
            <w:gridSpan w:val="4"/>
            <w:tcBorders>
              <w:top w:val="nil"/>
              <w:left w:val="nil"/>
              <w:bottom w:val="nil"/>
              <w:right w:val="nil"/>
            </w:tcBorders>
            <w:shd w:val="clear" w:color="auto" w:fill="auto"/>
            <w:noWrap/>
            <w:vAlign w:val="bottom"/>
            <w:hideMark/>
          </w:tcPr>
          <w:p w:rsidR="006401DF" w:rsidRPr="00F520CE" w:rsidRDefault="006401DF" w:rsidP="000F3CBE">
            <w:pPr>
              <w:spacing w:line="240" w:lineRule="auto"/>
              <w:rPr>
                <w:rFonts w:cs="Arial"/>
                <w:b/>
                <w:bCs/>
              </w:rPr>
            </w:pPr>
            <w:r w:rsidRPr="00F520CE">
              <w:rPr>
                <w:rFonts w:cs="Arial"/>
                <w:b/>
                <w:bCs/>
              </w:rPr>
              <w:t>INGRESOS.</w:t>
            </w:r>
          </w:p>
        </w:tc>
        <w:tc>
          <w:tcPr>
            <w:tcW w:w="263" w:type="dxa"/>
            <w:tcBorders>
              <w:top w:val="nil"/>
              <w:left w:val="nil"/>
              <w:bottom w:val="nil"/>
              <w:right w:val="nil"/>
            </w:tcBorders>
            <w:shd w:val="clear" w:color="auto" w:fill="auto"/>
            <w:noWrap/>
            <w:vAlign w:val="bottom"/>
            <w:hideMark/>
          </w:tcPr>
          <w:p w:rsidR="006401DF" w:rsidRPr="009B50F3" w:rsidRDefault="006401DF" w:rsidP="000F3CBE">
            <w:pPr>
              <w:spacing w:line="240" w:lineRule="auto"/>
              <w:rPr>
                <w:rFonts w:cs="Arial"/>
                <w:bCs/>
              </w:rPr>
            </w:pPr>
          </w:p>
        </w:tc>
        <w:tc>
          <w:tcPr>
            <w:tcW w:w="1761" w:type="dxa"/>
            <w:tcBorders>
              <w:top w:val="nil"/>
              <w:left w:val="nil"/>
              <w:bottom w:val="nil"/>
              <w:right w:val="nil"/>
            </w:tcBorders>
            <w:shd w:val="clear" w:color="auto" w:fill="auto"/>
            <w:noWrap/>
            <w:vAlign w:val="bottom"/>
            <w:hideMark/>
          </w:tcPr>
          <w:p w:rsidR="006401DF" w:rsidRPr="00F520CE" w:rsidRDefault="006401DF" w:rsidP="000F3CBE">
            <w:pPr>
              <w:spacing w:line="240" w:lineRule="auto"/>
              <w:jc w:val="right"/>
              <w:rPr>
                <w:rFonts w:cs="Arial"/>
                <w:b/>
                <w:bCs/>
              </w:rPr>
            </w:pP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I.</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r w:rsidRPr="00F520CE">
              <w:rPr>
                <w:rFonts w:cs="Arial"/>
                <w:b/>
                <w:bCs/>
              </w:rPr>
              <w:t>Impuestos.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r w:rsidRPr="009B50F3">
              <w:rPr>
                <w:rFonts w:cs="Arial"/>
                <w:bCs/>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8,883,508,727</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Impuestos sobre los ingresos.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a.</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Impuesto por obtención de premios.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264,834,887</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Impuestos sobre el patrimonio.</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a.</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Impuesto sobre tenencia o uso de vehículos.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133,179,587</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3.</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Impuestos sobre la producción, el consumo y las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transacciones.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a.</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Impuesto sobre hospedaje.</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125,503,892</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b.</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Impuesto sobre transmisión de propiedad de</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vehículos automotores usados.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229,576,356</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c.</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Impuesto a las erogaciones en juegos con apuestas.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531,073,296</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d.</w:t>
            </w:r>
          </w:p>
        </w:tc>
        <w:tc>
          <w:tcPr>
            <w:tcW w:w="6215" w:type="dxa"/>
            <w:gridSpan w:val="3"/>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Impuesto por la realización de juegos con apuestas</w:t>
            </w:r>
          </w:p>
        </w:tc>
        <w:tc>
          <w:tcPr>
            <w:tcW w:w="1761" w:type="dxa"/>
            <w:tcBorders>
              <w:top w:val="nil"/>
              <w:left w:val="nil"/>
              <w:bottom w:val="nil"/>
              <w:right w:val="nil"/>
            </w:tcBorders>
            <w:shd w:val="clear" w:color="auto" w:fill="auto"/>
            <w:noWrap/>
            <w:vAlign w:val="bottom"/>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y sorteos.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99,791,865</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4.</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Impuestos al comercio exterior.</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5.</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Impuestos sobre nóminas y asimilables.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a.</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Impuesto sobre nóminas.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7,468,248,568</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lastRenderedPageBreak/>
              <w:t>6.</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Impuestos ecológicos.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7.</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Accesorios de impuestos.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31,300,276</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8.</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Otros impuestos.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9.</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Impuestos no comprendidos en las fracciones de la</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8446" w:type="dxa"/>
            <w:gridSpan w:val="6"/>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Ley de Ingresos causadas en ejercicios fiscales anteriores</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pendientes de liquidación o pago.</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II.</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r w:rsidRPr="00F520CE">
              <w:rPr>
                <w:rFonts w:cs="Arial"/>
                <w:b/>
                <w:bCs/>
              </w:rPr>
              <w:t>Cuotas y aportaciones de seguridad social.</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r w:rsidRPr="009B50F3">
              <w:rPr>
                <w:rFonts w:cs="Arial"/>
                <w:bCs/>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Aportaciones para fondos de vivienda.</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Cuotas para el seguro social.</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3.</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Cuotas de ahorro para el retiro.</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4.</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Otras cuotas y aportaciones para la seguridad social.</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5.</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Accesorios.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III.</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r w:rsidRPr="00F520CE">
              <w:rPr>
                <w:rFonts w:cs="Arial"/>
                <w:b/>
                <w:bCs/>
              </w:rPr>
              <w:t>Contribuciones de mejoras.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r w:rsidRPr="009B50F3">
              <w:rPr>
                <w:rFonts w:cs="Arial"/>
                <w:bCs/>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Contribuciones de mejoras por obras públicas.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Contribuciones de Mejoras no comprendidas en las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6685" w:type="dxa"/>
            <w:gridSpan w:val="5"/>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fracciones de la Ley de Ingresos causadas en ejercicios</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fiscales anteriores pendientes de liquidación o pago.</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IV.</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r w:rsidRPr="00F520CE">
              <w:rPr>
                <w:rFonts w:cs="Arial"/>
                <w:b/>
                <w:bCs/>
              </w:rPr>
              <w:t>Derechos.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r w:rsidRPr="009B50F3">
              <w:rPr>
                <w:rFonts w:cs="Arial"/>
                <w:bCs/>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1,445,216,620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w:t>
            </w:r>
          </w:p>
        </w:tc>
        <w:tc>
          <w:tcPr>
            <w:tcW w:w="8446" w:type="dxa"/>
            <w:gridSpan w:val="6"/>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Derechos por el uso, goce, aprovechamiento o explotación</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de bienes de dominio público.</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33,810,473</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Derechos a los hidrocarburos.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3.</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Derechos por prestación de servicios.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a.</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Por servicios prestados por la Secretaría del Trabajo.</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b.</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Por servicios prestados por la Secretaría General</w:t>
            </w:r>
          </w:p>
        </w:tc>
        <w:tc>
          <w:tcPr>
            <w:tcW w:w="263" w:type="dxa"/>
            <w:tcBorders>
              <w:top w:val="nil"/>
              <w:left w:val="nil"/>
              <w:bottom w:val="nil"/>
              <w:right w:val="nil"/>
            </w:tcBorders>
            <w:shd w:val="clear" w:color="auto" w:fill="auto"/>
            <w:noWrap/>
            <w:vAlign w:val="bottom"/>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vAlign w:val="bottom"/>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de Gobierno.</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237,735,601</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c.</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Por servicios prestados por la Secretaría de Educación.</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23,607,176</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d.</w:t>
            </w:r>
          </w:p>
        </w:tc>
        <w:tc>
          <w:tcPr>
            <w:tcW w:w="7976" w:type="dxa"/>
            <w:gridSpan w:val="4"/>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Por servicios prestados por la Secretaría de Finanzas</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y Tesorería General del Estado.</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1,005,179,517</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e.</w:t>
            </w:r>
          </w:p>
        </w:tc>
        <w:tc>
          <w:tcPr>
            <w:tcW w:w="7976" w:type="dxa"/>
            <w:gridSpan w:val="4"/>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Por servicios prestados por la Secretaría de Desarrollo</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Sustentable.</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74,358,813</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f.</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Por servicios prestados por diversas dependencias.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69,839,865</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4.</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Otros derechos.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5.</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Accesorios.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685,175</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6.</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Derechos no comprendidos en las fracciones de la</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8446" w:type="dxa"/>
            <w:gridSpan w:val="6"/>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Ley de Ingresos causadas en ejercicios fiscales anteriores</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pendientes de liquidación o pago.</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V.</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r w:rsidRPr="00F520CE">
              <w:rPr>
                <w:rFonts w:cs="Arial"/>
                <w:b/>
                <w:bCs/>
              </w:rPr>
              <w:t>Productos.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r w:rsidRPr="009B50F3">
              <w:rPr>
                <w:rFonts w:cs="Arial"/>
                <w:bCs/>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264,866,810</w:t>
            </w: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Productos de tipo corriente.</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a.</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Enajenación de bienes muebles o inmuebles.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4,402,573</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b.</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Arrendamiento o explotación de bienes muebles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o inmuebles del dominio privado.</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18,823,476</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c.</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Intereses.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240,334,365</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d.</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Los procedentes de los medios de comunicación</w:t>
            </w:r>
          </w:p>
        </w:tc>
        <w:tc>
          <w:tcPr>
            <w:tcW w:w="263" w:type="dxa"/>
            <w:tcBorders>
              <w:top w:val="nil"/>
              <w:left w:val="nil"/>
              <w:bottom w:val="nil"/>
              <w:right w:val="nil"/>
            </w:tcBorders>
            <w:shd w:val="clear" w:color="auto" w:fill="auto"/>
            <w:noWrap/>
            <w:vAlign w:val="bottom"/>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vAlign w:val="bottom"/>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social del Estado.</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e.</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Venta de impresos y papel especial.</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7,362</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f.</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Ingresos de organismos desconcentrados</w:t>
            </w:r>
          </w:p>
        </w:tc>
        <w:tc>
          <w:tcPr>
            <w:tcW w:w="263" w:type="dxa"/>
            <w:tcBorders>
              <w:top w:val="nil"/>
              <w:left w:val="nil"/>
              <w:bottom w:val="nil"/>
              <w:right w:val="nil"/>
            </w:tcBorders>
            <w:shd w:val="clear" w:color="auto" w:fill="auto"/>
            <w:noWrap/>
            <w:vAlign w:val="bottom"/>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vAlign w:val="bottom"/>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y diversas entidades.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1,299,034</w:t>
            </w: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Productos de capital.</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3.</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Productos no comprendidos en las fracciones de la</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8446" w:type="dxa"/>
            <w:gridSpan w:val="6"/>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Ley de Ingresos causadas en ejercicios fiscales anteriores</w:t>
            </w: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pendientes de liquidación o pago.</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VI.</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r w:rsidRPr="00F520CE">
              <w:rPr>
                <w:rFonts w:cs="Arial"/>
                <w:b/>
                <w:bCs/>
              </w:rPr>
              <w:t>Aprovechamientos.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r w:rsidRPr="009B50F3">
              <w:rPr>
                <w:rFonts w:cs="Arial"/>
                <w:bCs/>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4,858,258,764</w:t>
            </w:r>
          </w:p>
        </w:tc>
      </w:tr>
      <w:tr w:rsidR="006401DF" w:rsidRPr="000B4F88" w:rsidTr="006401DF">
        <w:trPr>
          <w:trHeight w:val="300"/>
        </w:trPr>
        <w:tc>
          <w:tcPr>
            <w:tcW w:w="471" w:type="dxa"/>
            <w:tcBorders>
              <w:top w:val="nil"/>
              <w:left w:val="nil"/>
              <w:bottom w:val="nil"/>
              <w:right w:val="nil"/>
            </w:tcBorders>
            <w:shd w:val="clear" w:color="auto" w:fill="auto"/>
            <w:noWrap/>
            <w:hideMark/>
          </w:tcPr>
          <w:p w:rsidR="006401DF" w:rsidRPr="00600360" w:rsidRDefault="006401DF" w:rsidP="000F3CBE">
            <w:pPr>
              <w:spacing w:line="240" w:lineRule="auto"/>
              <w:jc w:val="right"/>
              <w:rPr>
                <w:rFonts w:cs="Arial"/>
              </w:rPr>
            </w:pPr>
            <w:r w:rsidRPr="00600360">
              <w:rPr>
                <w:rFonts w:cs="Arial"/>
              </w:rPr>
              <w:t>1.</w:t>
            </w:r>
          </w:p>
        </w:tc>
        <w:tc>
          <w:tcPr>
            <w:tcW w:w="6422" w:type="dxa"/>
            <w:gridSpan w:val="4"/>
            <w:tcBorders>
              <w:top w:val="nil"/>
              <w:left w:val="nil"/>
              <w:bottom w:val="nil"/>
              <w:right w:val="nil"/>
            </w:tcBorders>
            <w:shd w:val="clear" w:color="auto" w:fill="auto"/>
            <w:noWrap/>
            <w:hideMark/>
          </w:tcPr>
          <w:p w:rsidR="006401DF" w:rsidRPr="00600360" w:rsidRDefault="006401DF" w:rsidP="000F3CBE">
            <w:pPr>
              <w:spacing w:line="240" w:lineRule="auto"/>
              <w:rPr>
                <w:rFonts w:cs="Arial"/>
              </w:rPr>
            </w:pPr>
            <w:r w:rsidRPr="00600360">
              <w:rPr>
                <w:rFonts w:cs="Arial"/>
              </w:rPr>
              <w:t>Aprovechamientos de tipo corriente.</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600360" w:rsidRDefault="006401DF" w:rsidP="000F3CBE">
            <w:pPr>
              <w:spacing w:line="240" w:lineRule="auto"/>
              <w:jc w:val="right"/>
              <w:rPr>
                <w:rFonts w:cs="Arial"/>
              </w:rPr>
            </w:pPr>
          </w:p>
        </w:tc>
      </w:tr>
      <w:tr w:rsidR="006401DF" w:rsidRPr="000B4F88" w:rsidTr="006401DF">
        <w:trPr>
          <w:trHeight w:val="300"/>
        </w:trPr>
        <w:tc>
          <w:tcPr>
            <w:tcW w:w="471" w:type="dxa"/>
            <w:tcBorders>
              <w:top w:val="nil"/>
              <w:left w:val="nil"/>
              <w:bottom w:val="nil"/>
              <w:right w:val="nil"/>
            </w:tcBorders>
            <w:shd w:val="clear" w:color="auto" w:fill="auto"/>
            <w:noWrap/>
            <w:hideMark/>
          </w:tcPr>
          <w:p w:rsidR="006401DF" w:rsidRPr="00600360"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600360"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600360" w:rsidRDefault="006401DF" w:rsidP="000F3CBE">
            <w:pPr>
              <w:spacing w:line="240" w:lineRule="auto"/>
              <w:jc w:val="center"/>
              <w:rPr>
                <w:rFonts w:cs="Arial"/>
              </w:rPr>
            </w:pPr>
            <w:r w:rsidRPr="00600360">
              <w:rPr>
                <w:rFonts w:cs="Arial"/>
              </w:rPr>
              <w:t>a.</w:t>
            </w:r>
          </w:p>
        </w:tc>
        <w:tc>
          <w:tcPr>
            <w:tcW w:w="5952" w:type="dxa"/>
            <w:gridSpan w:val="2"/>
            <w:tcBorders>
              <w:top w:val="nil"/>
              <w:left w:val="nil"/>
              <w:bottom w:val="nil"/>
              <w:right w:val="nil"/>
            </w:tcBorders>
            <w:shd w:val="clear" w:color="auto" w:fill="auto"/>
            <w:noWrap/>
            <w:hideMark/>
          </w:tcPr>
          <w:p w:rsidR="006401DF" w:rsidRPr="00600360" w:rsidRDefault="006401DF" w:rsidP="000F3CBE">
            <w:pPr>
              <w:spacing w:line="240" w:lineRule="auto"/>
              <w:rPr>
                <w:rFonts w:cs="Arial"/>
              </w:rPr>
            </w:pPr>
            <w:r w:rsidRPr="00600360">
              <w:rPr>
                <w:rFonts w:cs="Arial"/>
              </w:rPr>
              <w:t>Incentivos en contribuciones federales.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600360" w:rsidRDefault="006401DF" w:rsidP="000F3CBE">
            <w:pPr>
              <w:spacing w:line="240" w:lineRule="auto"/>
              <w:jc w:val="right"/>
              <w:rPr>
                <w:rFonts w:cs="Arial"/>
              </w:rPr>
            </w:pPr>
            <w:r w:rsidRPr="00600360">
              <w:rPr>
                <w:rFonts w:cs="Arial"/>
              </w:rPr>
              <w:t>2,805,740,788</w:t>
            </w:r>
          </w:p>
        </w:tc>
      </w:tr>
      <w:tr w:rsidR="006401DF" w:rsidRPr="000B4F88" w:rsidTr="006401DF">
        <w:trPr>
          <w:trHeight w:val="300"/>
        </w:trPr>
        <w:tc>
          <w:tcPr>
            <w:tcW w:w="471" w:type="dxa"/>
            <w:tcBorders>
              <w:top w:val="nil"/>
              <w:left w:val="nil"/>
              <w:bottom w:val="nil"/>
              <w:right w:val="nil"/>
            </w:tcBorders>
            <w:shd w:val="clear" w:color="auto" w:fill="auto"/>
            <w:noWrap/>
            <w:hideMark/>
          </w:tcPr>
          <w:p w:rsidR="006401DF" w:rsidRPr="00600360"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600360"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600360" w:rsidRDefault="006401DF" w:rsidP="000F3CBE">
            <w:pPr>
              <w:spacing w:line="240" w:lineRule="auto"/>
              <w:jc w:val="center"/>
              <w:rPr>
                <w:rFonts w:cs="Arial"/>
              </w:rPr>
            </w:pPr>
            <w:r w:rsidRPr="00600360">
              <w:rPr>
                <w:rFonts w:cs="Arial"/>
              </w:rPr>
              <w:t>b.</w:t>
            </w:r>
          </w:p>
        </w:tc>
        <w:tc>
          <w:tcPr>
            <w:tcW w:w="5952" w:type="dxa"/>
            <w:gridSpan w:val="2"/>
            <w:tcBorders>
              <w:top w:val="nil"/>
              <w:left w:val="nil"/>
              <w:bottom w:val="nil"/>
              <w:right w:val="nil"/>
            </w:tcBorders>
            <w:shd w:val="clear" w:color="auto" w:fill="auto"/>
            <w:noWrap/>
            <w:hideMark/>
          </w:tcPr>
          <w:p w:rsidR="006401DF" w:rsidRPr="00600360" w:rsidRDefault="006401DF" w:rsidP="000F3CBE">
            <w:pPr>
              <w:spacing w:line="240" w:lineRule="auto"/>
              <w:rPr>
                <w:rFonts w:cs="Arial"/>
              </w:rPr>
            </w:pPr>
            <w:r w:rsidRPr="00600360">
              <w:rPr>
                <w:rFonts w:cs="Arial"/>
              </w:rPr>
              <w:t>Multas.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600360" w:rsidRDefault="006401DF" w:rsidP="000F3CBE">
            <w:pPr>
              <w:spacing w:line="240" w:lineRule="auto"/>
              <w:jc w:val="right"/>
              <w:rPr>
                <w:rFonts w:cs="Arial"/>
              </w:rPr>
            </w:pPr>
            <w:r w:rsidRPr="00600360">
              <w:rPr>
                <w:rFonts w:cs="Arial"/>
              </w:rPr>
              <w:t>37,334,495</w:t>
            </w:r>
          </w:p>
        </w:tc>
      </w:tr>
      <w:tr w:rsidR="006401DF" w:rsidRPr="000B4F88" w:rsidTr="006401DF">
        <w:trPr>
          <w:trHeight w:val="300"/>
        </w:trPr>
        <w:tc>
          <w:tcPr>
            <w:tcW w:w="471" w:type="dxa"/>
            <w:tcBorders>
              <w:top w:val="nil"/>
              <w:left w:val="nil"/>
              <w:bottom w:val="nil"/>
              <w:right w:val="nil"/>
            </w:tcBorders>
            <w:shd w:val="clear" w:color="auto" w:fill="auto"/>
            <w:noWrap/>
            <w:hideMark/>
          </w:tcPr>
          <w:p w:rsidR="006401DF" w:rsidRPr="00600360"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600360"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600360" w:rsidRDefault="006401DF" w:rsidP="000F3CBE">
            <w:pPr>
              <w:spacing w:line="240" w:lineRule="auto"/>
              <w:jc w:val="center"/>
              <w:rPr>
                <w:rFonts w:cs="Arial"/>
              </w:rPr>
            </w:pPr>
            <w:r w:rsidRPr="00600360">
              <w:rPr>
                <w:rFonts w:cs="Arial"/>
              </w:rPr>
              <w:t>c.</w:t>
            </w:r>
          </w:p>
        </w:tc>
        <w:tc>
          <w:tcPr>
            <w:tcW w:w="5952" w:type="dxa"/>
            <w:gridSpan w:val="2"/>
            <w:tcBorders>
              <w:top w:val="nil"/>
              <w:left w:val="nil"/>
              <w:bottom w:val="nil"/>
              <w:right w:val="nil"/>
            </w:tcBorders>
            <w:shd w:val="clear" w:color="auto" w:fill="auto"/>
            <w:noWrap/>
            <w:hideMark/>
          </w:tcPr>
          <w:p w:rsidR="006401DF" w:rsidRPr="00600360" w:rsidRDefault="006401DF" w:rsidP="000F3CBE">
            <w:pPr>
              <w:spacing w:line="240" w:lineRule="auto"/>
              <w:rPr>
                <w:rFonts w:cs="Arial"/>
              </w:rPr>
            </w:pPr>
            <w:r w:rsidRPr="00600360">
              <w:rPr>
                <w:rFonts w:cs="Arial"/>
              </w:rPr>
              <w:t>Accesorios de aprovechamientos.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600360" w:rsidRDefault="006401DF" w:rsidP="000F3CBE">
            <w:pPr>
              <w:spacing w:line="240" w:lineRule="auto"/>
              <w:jc w:val="right"/>
              <w:rPr>
                <w:rFonts w:cs="Arial"/>
              </w:rPr>
            </w:pPr>
            <w:r w:rsidRPr="00600360">
              <w:rPr>
                <w:rFonts w:cs="Arial"/>
              </w:rPr>
              <w:t>320,976</w:t>
            </w:r>
          </w:p>
        </w:tc>
      </w:tr>
      <w:tr w:rsidR="006401DF" w:rsidRPr="000B4F88" w:rsidTr="006401DF">
        <w:trPr>
          <w:trHeight w:val="300"/>
        </w:trPr>
        <w:tc>
          <w:tcPr>
            <w:tcW w:w="471" w:type="dxa"/>
            <w:tcBorders>
              <w:top w:val="nil"/>
              <w:left w:val="nil"/>
              <w:bottom w:val="nil"/>
              <w:right w:val="nil"/>
            </w:tcBorders>
            <w:shd w:val="clear" w:color="auto" w:fill="auto"/>
            <w:noWrap/>
            <w:hideMark/>
          </w:tcPr>
          <w:p w:rsidR="006401DF" w:rsidRPr="00600360"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600360"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600360" w:rsidRDefault="006401DF" w:rsidP="000F3CBE">
            <w:pPr>
              <w:spacing w:line="240" w:lineRule="auto"/>
              <w:jc w:val="center"/>
              <w:rPr>
                <w:rFonts w:cs="Arial"/>
              </w:rPr>
            </w:pPr>
            <w:r w:rsidRPr="00600360">
              <w:rPr>
                <w:rFonts w:cs="Arial"/>
              </w:rPr>
              <w:t>d.</w:t>
            </w:r>
          </w:p>
        </w:tc>
        <w:tc>
          <w:tcPr>
            <w:tcW w:w="5952" w:type="dxa"/>
            <w:gridSpan w:val="2"/>
            <w:tcBorders>
              <w:top w:val="nil"/>
              <w:left w:val="nil"/>
              <w:bottom w:val="nil"/>
              <w:right w:val="nil"/>
            </w:tcBorders>
            <w:shd w:val="clear" w:color="auto" w:fill="auto"/>
            <w:noWrap/>
            <w:hideMark/>
          </w:tcPr>
          <w:p w:rsidR="006401DF" w:rsidRPr="00600360" w:rsidRDefault="006401DF" w:rsidP="000F3CBE">
            <w:pPr>
              <w:spacing w:line="240" w:lineRule="auto"/>
              <w:rPr>
                <w:rFonts w:cs="Arial"/>
              </w:rPr>
            </w:pPr>
            <w:r w:rsidRPr="00600360">
              <w:rPr>
                <w:rFonts w:cs="Arial"/>
              </w:rPr>
              <w:t>Aprovechamientos del Instituto de Control Vehicular</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600360" w:rsidRDefault="006401DF" w:rsidP="000F3CBE">
            <w:pPr>
              <w:spacing w:line="240" w:lineRule="auto"/>
              <w:jc w:val="right"/>
              <w:rPr>
                <w:rFonts w:cs="Arial"/>
              </w:rPr>
            </w:pPr>
            <w:r w:rsidRPr="00600360">
              <w:rPr>
                <w:rFonts w:cs="Arial"/>
              </w:rPr>
              <w:t>1,678,684,612</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600360"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600360"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600360" w:rsidRDefault="006401DF" w:rsidP="000F3CBE">
            <w:pPr>
              <w:spacing w:line="240" w:lineRule="auto"/>
              <w:jc w:val="center"/>
              <w:rPr>
                <w:rFonts w:cs="Arial"/>
              </w:rPr>
            </w:pPr>
            <w:r w:rsidRPr="00600360">
              <w:rPr>
                <w:rFonts w:cs="Arial"/>
              </w:rPr>
              <w:t>e.</w:t>
            </w:r>
          </w:p>
        </w:tc>
        <w:tc>
          <w:tcPr>
            <w:tcW w:w="5952" w:type="dxa"/>
            <w:gridSpan w:val="2"/>
            <w:tcBorders>
              <w:top w:val="nil"/>
              <w:left w:val="nil"/>
              <w:bottom w:val="nil"/>
              <w:right w:val="nil"/>
            </w:tcBorders>
            <w:shd w:val="clear" w:color="auto" w:fill="auto"/>
            <w:noWrap/>
            <w:hideMark/>
          </w:tcPr>
          <w:p w:rsidR="006401DF" w:rsidRPr="00600360" w:rsidRDefault="006401DF" w:rsidP="000F3CBE">
            <w:pPr>
              <w:spacing w:line="240" w:lineRule="auto"/>
              <w:rPr>
                <w:rFonts w:cs="Arial"/>
              </w:rPr>
            </w:pPr>
            <w:r w:rsidRPr="00600360">
              <w:rPr>
                <w:rFonts w:cs="Arial"/>
              </w:rPr>
              <w:t>Diversos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600360" w:rsidRDefault="006401DF" w:rsidP="000F3CBE">
            <w:pPr>
              <w:spacing w:line="240" w:lineRule="auto"/>
              <w:jc w:val="right"/>
              <w:rPr>
                <w:rFonts w:cs="Arial"/>
              </w:rPr>
            </w:pPr>
            <w:r w:rsidRPr="00600360">
              <w:rPr>
                <w:rFonts w:cs="Arial"/>
              </w:rPr>
              <w:t>336,177,893</w:t>
            </w: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Aprovechamientos de capital.</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3.</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Aprovechamientos no comprendidos en las fracciones de la</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8446" w:type="dxa"/>
            <w:gridSpan w:val="6"/>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Ley de Ingresos causadas en ejercicios fiscales anteriores</w:t>
            </w: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pendientes de liquidación o pago.</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VII.</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r w:rsidRPr="00F520CE">
              <w:rPr>
                <w:rFonts w:cs="Arial"/>
                <w:b/>
                <w:bCs/>
              </w:rPr>
              <w:t>Ingresos por ventas de bienes y servicios.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r w:rsidRPr="009B50F3">
              <w:rPr>
                <w:rFonts w:cs="Arial"/>
                <w:bCs/>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w:t>
            </w:r>
          </w:p>
        </w:tc>
        <w:tc>
          <w:tcPr>
            <w:tcW w:w="6685" w:type="dxa"/>
            <w:gridSpan w:val="5"/>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Ingresos por ventas de bienes y servicios de organismos</w:t>
            </w:r>
          </w:p>
        </w:tc>
        <w:tc>
          <w:tcPr>
            <w:tcW w:w="1761" w:type="dxa"/>
            <w:tcBorders>
              <w:top w:val="nil"/>
              <w:left w:val="nil"/>
              <w:bottom w:val="nil"/>
              <w:right w:val="nil"/>
            </w:tcBorders>
            <w:shd w:val="clear" w:color="auto" w:fill="auto"/>
            <w:noWrap/>
            <w:vAlign w:val="bottom"/>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descentralizados.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Ingresos de operación de entidades paraestatales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empresariales.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3.</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Ingresos por ventas de bienes y servicios producidos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en establecimientos del Gobierno Central.</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B.</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r w:rsidRPr="00F520CE">
              <w:rPr>
                <w:rFonts w:cs="Arial"/>
                <w:b/>
                <w:bCs/>
              </w:rPr>
              <w:t>PARTICIPACIONES, APORTACIONES,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r w:rsidRPr="00F520CE">
              <w:rPr>
                <w:rFonts w:cs="Arial"/>
                <w:b/>
                <w:bCs/>
              </w:rPr>
              <w:t>TRANSFERENCIAS, ASIGNACIONES, SUBSIDIOS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r w:rsidRPr="00F520CE">
              <w:rPr>
                <w:rFonts w:cs="Arial"/>
                <w:b/>
                <w:bCs/>
              </w:rPr>
              <w:t>Y OTRAS AYUDAS.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I.</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r w:rsidRPr="00F520CE">
              <w:rPr>
                <w:rFonts w:cs="Arial"/>
                <w:b/>
                <w:bCs/>
              </w:rPr>
              <w:t>Participaciones, Aportaciones y Convenios Federales.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r w:rsidRPr="009B50F3">
              <w:rPr>
                <w:rFonts w:cs="Arial"/>
                <w:bCs/>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69,490,117,546</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Participaciones.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35,718,965,400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a.</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Fondo General de Participaciones.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27,271,267,025</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b.</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Fondo de Fomento Municipal.</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732,417,891</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c.</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Fondo de Fiscalización y Recaudación.</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1,231,021,790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d.</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Impuesto Especial Sobre Producción y Servicios.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1,234,364,986</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e.</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Impuesto Sobre Automóviles Nuevos.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978,136,756</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f.</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Venta Final de Gasolinas y Diésel.</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1,204,871,189</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g.</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Fondo ISR.</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2,892,321,472</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h.</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Fondo de Compensación de REPECOS-Intermedios.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69,820,111</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i.</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Fondo de Extracción de Hidrocarburos.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104,744,180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Aportaciones.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22,974,408,105</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a.</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Fondo de Aportaciones para la Nómina Educativa</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y Gasto Operativo (FONE).</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i.</w:t>
            </w: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FONE Servicios Personales.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12,928,385,544</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ii.</w:t>
            </w: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FONE Otros de Gasto de Corriente.</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iii.</w:t>
            </w: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FONE Gastos de Operación.</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1,034,722,426</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iv.</w:t>
            </w: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FONE Fondo de Compensación.</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b.</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Fondo de Aportaciones para los Servicios de</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de Salud (FASSA).</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2,590,445,985</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c.</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Fondo de Aportaciones para la Infraestructura</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Social (FAIS).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i.</w:t>
            </w: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Fondo de Aportaciones para la Infraestructura</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Social Estatal (FISE).</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107,797,401</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ii.</w:t>
            </w: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Fondo de Aportaciones para la Infraestructura</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Social Municipal (FISM).</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781,513,581</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d.</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Fondo de Aportaciones para el Fortalecimiento</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de los Municipios (FORTAMUN).</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3,104,137,042</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e.</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Fondo de Aportaciones Múltiples (FAM).</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i.</w:t>
            </w: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FAM Asistencia Social.</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279,998,617</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ii.</w:t>
            </w: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FAM Infraestructura Educativa Básica.</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242,473,157</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iii.</w:t>
            </w: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FAM Infraestructura Educativa Media Superior.</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24,061,431</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iv.</w:t>
            </w: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FAM Infraestructura Educativa Superior.</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126,527,598</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f.</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Fondo de Aportaciones para la Educación</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Tecnológica y de Adultos (FAETA).</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i.</w:t>
            </w: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FAETA Educación Tecnológica.</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213,046,125</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ii.</w:t>
            </w: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FAETA Educación de Adultos.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g.</w:t>
            </w:r>
          </w:p>
        </w:tc>
        <w:tc>
          <w:tcPr>
            <w:tcW w:w="6215" w:type="dxa"/>
            <w:gridSpan w:val="3"/>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Fondo de Aportaciones para la Seguridad Pública</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de los Estados (FASP).</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281,232,730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r w:rsidRPr="00F520CE">
              <w:rPr>
                <w:rFonts w:cs="Arial"/>
              </w:rPr>
              <w:t>h.</w:t>
            </w: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Fondo de Aportaciones para el Fortalecimiento</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jc w:val="center"/>
              <w:rPr>
                <w:rFonts w:cs="Arial"/>
              </w:rPr>
            </w:pPr>
          </w:p>
        </w:tc>
        <w:tc>
          <w:tcPr>
            <w:tcW w:w="5952" w:type="dxa"/>
            <w:gridSpan w:val="2"/>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de las Entidades Federativas (FAFEF).</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1,260,066,468</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3.</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Convenios.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10,796,744,041</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II.</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r w:rsidRPr="00F520CE">
              <w:rPr>
                <w:rFonts w:cs="Arial"/>
                <w:b/>
                <w:bCs/>
              </w:rPr>
              <w:t>Transferencias, asignaciones, subsidios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r w:rsidRPr="00F520CE">
              <w:rPr>
                <w:rFonts w:cs="Arial"/>
                <w:b/>
                <w:bCs/>
              </w:rPr>
              <w:t>y otras ayudas.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r w:rsidRPr="009B50F3">
              <w:rPr>
                <w:rFonts w:cs="Arial"/>
                <w:bCs/>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Transferencias Internas y Asignaciones al Sector Público.</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lastRenderedPageBreak/>
              <w:t>2.</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Transferencias al Resto del Sector Público.</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3.</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Subsidios y Subvenciones.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4.</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Ayudas sociales.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5.</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Pensiones y Jubilaciones.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6.</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Transferencias a Fideicomisos, mandatos y análogos.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0</w:t>
            </w: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C.</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r w:rsidRPr="00F520CE">
              <w:rPr>
                <w:rFonts w:cs="Arial"/>
                <w:b/>
                <w:bCs/>
              </w:rPr>
              <w:t>INGRESOS DERIVADOS DE FINANCIAMIENTOS.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I.</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r w:rsidRPr="00F520CE">
              <w:rPr>
                <w:rFonts w:cs="Arial"/>
                <w:b/>
                <w:bCs/>
              </w:rPr>
              <w:t>Endeudamiento interno.</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r w:rsidRPr="009B50F3">
              <w:rPr>
                <w:rFonts w:cs="Arial"/>
                <w:bCs/>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6,381,451,337</w:t>
            </w:r>
          </w:p>
        </w:tc>
      </w:tr>
      <w:tr w:rsidR="006401DF" w:rsidRPr="00F520CE" w:rsidTr="006401DF">
        <w:trPr>
          <w:trHeight w:val="300"/>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1.</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rPr>
            </w:pPr>
            <w:r w:rsidRPr="00F520CE">
              <w:rPr>
                <w:rFonts w:cs="Arial"/>
              </w:rPr>
              <w:t>Financiamiento público bruto de largo plazo.</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rPr>
            </w:pPr>
            <w:r w:rsidRPr="00F520CE">
              <w:rPr>
                <w:rFonts w:cs="Arial"/>
              </w:rPr>
              <w:t>2,550,000,000</w:t>
            </w:r>
          </w:p>
        </w:tc>
      </w:tr>
      <w:tr w:rsidR="006401DF" w:rsidRPr="00600360" w:rsidTr="006401DF">
        <w:trPr>
          <w:trHeight w:val="300"/>
        </w:trPr>
        <w:tc>
          <w:tcPr>
            <w:tcW w:w="471" w:type="dxa"/>
            <w:tcBorders>
              <w:top w:val="nil"/>
              <w:left w:val="nil"/>
              <w:bottom w:val="nil"/>
              <w:right w:val="nil"/>
            </w:tcBorders>
            <w:shd w:val="clear" w:color="auto" w:fill="auto"/>
            <w:noWrap/>
            <w:hideMark/>
          </w:tcPr>
          <w:p w:rsidR="006401DF" w:rsidRPr="00600360" w:rsidRDefault="006401DF" w:rsidP="000F3CBE">
            <w:pPr>
              <w:spacing w:line="240" w:lineRule="auto"/>
              <w:jc w:val="right"/>
              <w:rPr>
                <w:rFonts w:cs="Arial"/>
              </w:rPr>
            </w:pPr>
            <w:r w:rsidRPr="00600360">
              <w:rPr>
                <w:rFonts w:cs="Arial"/>
              </w:rPr>
              <w:t>2.</w:t>
            </w:r>
          </w:p>
        </w:tc>
        <w:tc>
          <w:tcPr>
            <w:tcW w:w="6422" w:type="dxa"/>
            <w:gridSpan w:val="4"/>
            <w:tcBorders>
              <w:top w:val="nil"/>
              <w:left w:val="nil"/>
              <w:bottom w:val="nil"/>
              <w:right w:val="nil"/>
            </w:tcBorders>
            <w:shd w:val="clear" w:color="auto" w:fill="auto"/>
            <w:noWrap/>
            <w:hideMark/>
          </w:tcPr>
          <w:p w:rsidR="006401DF" w:rsidRPr="00600360" w:rsidRDefault="006401DF" w:rsidP="000F3CBE">
            <w:pPr>
              <w:spacing w:line="240" w:lineRule="auto"/>
              <w:rPr>
                <w:rFonts w:cs="Arial"/>
              </w:rPr>
            </w:pPr>
            <w:r w:rsidRPr="00600360">
              <w:rPr>
                <w:rFonts w:cs="Arial"/>
              </w:rPr>
              <w:t>Financiamiento público bruto de corto plazo.</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rPr>
            </w:pPr>
            <w:r w:rsidRPr="009B50F3">
              <w:rPr>
                <w:rFonts w:cs="Arial"/>
              </w:rPr>
              <w:t>$</w:t>
            </w:r>
          </w:p>
        </w:tc>
        <w:tc>
          <w:tcPr>
            <w:tcW w:w="1761" w:type="dxa"/>
            <w:tcBorders>
              <w:top w:val="nil"/>
              <w:left w:val="nil"/>
              <w:bottom w:val="nil"/>
              <w:right w:val="nil"/>
            </w:tcBorders>
            <w:shd w:val="clear" w:color="auto" w:fill="auto"/>
            <w:noWrap/>
            <w:hideMark/>
          </w:tcPr>
          <w:p w:rsidR="006401DF" w:rsidRPr="00600360" w:rsidRDefault="006401DF" w:rsidP="000F3CBE">
            <w:pPr>
              <w:spacing w:line="240" w:lineRule="auto"/>
              <w:jc w:val="right"/>
              <w:rPr>
                <w:rFonts w:cs="Arial"/>
              </w:rPr>
            </w:pPr>
            <w:r w:rsidRPr="00600360">
              <w:rPr>
                <w:rFonts w:cs="Arial"/>
              </w:rPr>
              <w:t>3,831,451,337</w:t>
            </w: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600360" w:rsidRDefault="006401DF" w:rsidP="000F3CBE">
            <w:pPr>
              <w:spacing w:line="240" w:lineRule="auto"/>
              <w:jc w:val="right"/>
              <w:rPr>
                <w:rFonts w:cs="Arial"/>
                <w:b/>
                <w:bCs/>
              </w:rPr>
            </w:pPr>
            <w:r w:rsidRPr="00600360">
              <w:rPr>
                <w:rFonts w:cs="Arial"/>
                <w:b/>
                <w:bCs/>
              </w:rPr>
              <w:t>II.</w:t>
            </w:r>
          </w:p>
        </w:tc>
        <w:tc>
          <w:tcPr>
            <w:tcW w:w="6422" w:type="dxa"/>
            <w:gridSpan w:val="4"/>
            <w:tcBorders>
              <w:top w:val="nil"/>
              <w:left w:val="nil"/>
              <w:bottom w:val="nil"/>
              <w:right w:val="nil"/>
            </w:tcBorders>
            <w:shd w:val="clear" w:color="auto" w:fill="auto"/>
            <w:noWrap/>
            <w:hideMark/>
          </w:tcPr>
          <w:p w:rsidR="006401DF" w:rsidRPr="00600360" w:rsidRDefault="006401DF" w:rsidP="000F3CBE">
            <w:pPr>
              <w:spacing w:line="240" w:lineRule="auto"/>
              <w:rPr>
                <w:rFonts w:cs="Arial"/>
                <w:b/>
                <w:bCs/>
              </w:rPr>
            </w:pPr>
            <w:r w:rsidRPr="00600360">
              <w:rPr>
                <w:rFonts w:cs="Arial"/>
                <w:b/>
                <w:bCs/>
              </w:rPr>
              <w:t>Endeudamiento externo.</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r w:rsidRPr="009B50F3">
              <w:rPr>
                <w:rFonts w:cs="Arial"/>
                <w:bCs/>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600360">
              <w:rPr>
                <w:rFonts w:cs="Arial"/>
                <w:b/>
                <w:bCs/>
              </w:rPr>
              <w:t>0</w:t>
            </w: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r w:rsidRPr="00F520CE">
              <w:rPr>
                <w:rFonts w:cs="Arial"/>
                <w:b/>
                <w:bCs/>
              </w:rPr>
              <w:t>Total de Ingresos autorizados en Ley antes de</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r w:rsidRPr="009B50F3">
              <w:rPr>
                <w:rFonts w:cs="Arial"/>
                <w:bCs/>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91,323,419,804</w:t>
            </w: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c>
          <w:tcPr>
            <w:tcW w:w="8446" w:type="dxa"/>
            <w:gridSpan w:val="6"/>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r w:rsidRPr="009B50F3">
              <w:rPr>
                <w:rFonts w:cs="Arial"/>
                <w:bCs/>
              </w:rPr>
              <w:t>Excedentes de Ejercicios Fiscales Anteriores (EDEFAS).</w:t>
            </w: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D.</w:t>
            </w: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r w:rsidRPr="00F520CE">
              <w:rPr>
                <w:rFonts w:cs="Arial"/>
                <w:b/>
                <w:bCs/>
              </w:rPr>
              <w:t>EDEFAS.</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r w:rsidRPr="009B50F3">
              <w:rPr>
                <w:rFonts w:cs="Arial"/>
                <w:bCs/>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4,332,442,171</w:t>
            </w: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c>
          <w:tcPr>
            <w:tcW w:w="146"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p>
        </w:tc>
        <w:tc>
          <w:tcPr>
            <w:tcW w:w="324"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p>
        </w:tc>
        <w:tc>
          <w:tcPr>
            <w:tcW w:w="360"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p>
        </w:tc>
        <w:tc>
          <w:tcPr>
            <w:tcW w:w="5592" w:type="dxa"/>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r>
      <w:tr w:rsidR="006401DF" w:rsidRPr="00F520CE" w:rsidTr="006401DF">
        <w:trPr>
          <w:trHeight w:val="315"/>
        </w:trPr>
        <w:tc>
          <w:tcPr>
            <w:tcW w:w="47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p>
        </w:tc>
        <w:tc>
          <w:tcPr>
            <w:tcW w:w="6422" w:type="dxa"/>
            <w:gridSpan w:val="4"/>
            <w:tcBorders>
              <w:top w:val="nil"/>
              <w:left w:val="nil"/>
              <w:bottom w:val="nil"/>
              <w:right w:val="nil"/>
            </w:tcBorders>
            <w:shd w:val="clear" w:color="auto" w:fill="auto"/>
            <w:noWrap/>
            <w:hideMark/>
          </w:tcPr>
          <w:p w:rsidR="006401DF" w:rsidRPr="00F520CE" w:rsidRDefault="006401DF" w:rsidP="000F3CBE">
            <w:pPr>
              <w:spacing w:line="240" w:lineRule="auto"/>
              <w:rPr>
                <w:rFonts w:cs="Arial"/>
                <w:b/>
                <w:bCs/>
              </w:rPr>
            </w:pPr>
            <w:r w:rsidRPr="00F520CE">
              <w:rPr>
                <w:rFonts w:cs="Arial"/>
                <w:b/>
                <w:bCs/>
              </w:rPr>
              <w:t>TOTAL GENERAL</w:t>
            </w:r>
          </w:p>
        </w:tc>
        <w:tc>
          <w:tcPr>
            <w:tcW w:w="263" w:type="dxa"/>
            <w:tcBorders>
              <w:top w:val="nil"/>
              <w:left w:val="nil"/>
              <w:bottom w:val="nil"/>
              <w:right w:val="nil"/>
            </w:tcBorders>
            <w:shd w:val="clear" w:color="auto" w:fill="auto"/>
            <w:noWrap/>
            <w:hideMark/>
          </w:tcPr>
          <w:p w:rsidR="006401DF" w:rsidRPr="009B50F3" w:rsidRDefault="006401DF" w:rsidP="000F3CBE">
            <w:pPr>
              <w:spacing w:line="240" w:lineRule="auto"/>
              <w:rPr>
                <w:rFonts w:cs="Arial"/>
                <w:bCs/>
              </w:rPr>
            </w:pPr>
            <w:r w:rsidRPr="009B50F3">
              <w:rPr>
                <w:rFonts w:cs="Arial"/>
                <w:bCs/>
              </w:rPr>
              <w:t>$</w:t>
            </w:r>
          </w:p>
        </w:tc>
        <w:tc>
          <w:tcPr>
            <w:tcW w:w="1761" w:type="dxa"/>
            <w:tcBorders>
              <w:top w:val="nil"/>
              <w:left w:val="nil"/>
              <w:bottom w:val="nil"/>
              <w:right w:val="nil"/>
            </w:tcBorders>
            <w:shd w:val="clear" w:color="auto" w:fill="auto"/>
            <w:noWrap/>
            <w:hideMark/>
          </w:tcPr>
          <w:p w:rsidR="006401DF" w:rsidRPr="00F520CE" w:rsidRDefault="006401DF" w:rsidP="000F3CBE">
            <w:pPr>
              <w:spacing w:line="240" w:lineRule="auto"/>
              <w:jc w:val="right"/>
              <w:rPr>
                <w:rFonts w:cs="Arial"/>
                <w:b/>
                <w:bCs/>
              </w:rPr>
            </w:pPr>
            <w:r w:rsidRPr="00F520CE">
              <w:rPr>
                <w:rFonts w:cs="Arial"/>
                <w:b/>
                <w:bCs/>
              </w:rPr>
              <w:t>95,655,861,975</w:t>
            </w:r>
          </w:p>
        </w:tc>
      </w:tr>
    </w:tbl>
    <w:p w:rsidR="006401DF" w:rsidRDefault="006401DF" w:rsidP="000F3CBE">
      <w:pPr>
        <w:spacing w:before="240" w:after="240" w:line="240" w:lineRule="auto"/>
        <w:rPr>
          <w:rFonts w:cs="Arial"/>
          <w:b/>
          <w:lang w:val="es-ES" w:eastAsia="es-ES"/>
        </w:rPr>
      </w:pPr>
    </w:p>
    <w:p w:rsidR="006401DF" w:rsidRPr="006401DF" w:rsidRDefault="006401DF" w:rsidP="000F3CBE">
      <w:pPr>
        <w:spacing w:line="240" w:lineRule="auto"/>
        <w:rPr>
          <w:rFonts w:cs="Arial"/>
          <w:lang w:val="es-ES" w:eastAsia="es-ES"/>
        </w:rPr>
      </w:pPr>
      <w:r w:rsidRPr="006401DF">
        <w:rPr>
          <w:rFonts w:cs="Arial"/>
          <w:b/>
          <w:lang w:val="es-ES" w:eastAsia="es-ES"/>
        </w:rPr>
        <w:t>Artículo 2.-</w:t>
      </w:r>
      <w:r w:rsidRPr="006401DF">
        <w:rPr>
          <w:rFonts w:cs="Arial"/>
          <w:lang w:val="es-ES" w:eastAsia="es-ES"/>
        </w:rPr>
        <w:t xml:space="preserve"> Una vez realizado el análisis de la capacidad de pago del Estado y del destino de los recursos a obtenerse, se autoriza al Ejecutivo del Estado para que por conducto de la Secretaría de Finanzas y Tesorería General obtenga mediante una o más operaciones de financiamiento un monto de hasta 2,550,000,000.00 (Dos mil quinientos cincuenta millones de pesos 00/100 M.N.), más los gastos o accesorios financieros correspondientes a comisiones, primas por contratación de operaciones de cobertura o derivados, constitución de reservas, gastos, accesorios financieros y demás relativos a la  celebración, obtención y disposición de los financiamientos, destinado a  las obras y acciones de inversión pública productiva que en seguida se señalan, y previstos en el Presupuesto de Egresos del Estado de Nuevo León para el Ejercicio</w:t>
      </w:r>
      <w:r w:rsidR="000F3CBE">
        <w:rPr>
          <w:rFonts w:cs="Arial"/>
          <w:lang w:val="es-ES" w:eastAsia="es-ES"/>
        </w:rPr>
        <w:t xml:space="preserve"> Fiscal 2018.</w:t>
      </w:r>
    </w:p>
    <w:p w:rsidR="006401DF" w:rsidRPr="006F2DA7" w:rsidRDefault="004329B3" w:rsidP="000F3CBE">
      <w:pPr>
        <w:pStyle w:val="Prrafodelista"/>
        <w:spacing w:line="240" w:lineRule="auto"/>
        <w:ind w:left="0"/>
        <w:rPr>
          <w:rFonts w:ascii="Arial" w:hAnsi="Arial" w:cs="Arial"/>
          <w:lang w:val="es-ES" w:eastAsia="es-ES"/>
        </w:rPr>
      </w:pPr>
      <w:r w:rsidRPr="00F06734">
        <w:rPr>
          <w:noProof/>
          <w:lang w:eastAsia="es-MX"/>
        </w:rPr>
        <w:lastRenderedPageBreak/>
        <w:drawing>
          <wp:inline distT="0" distB="0" distL="0" distR="0">
            <wp:extent cx="5705475" cy="320992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3209925"/>
                    </a:xfrm>
                    <a:prstGeom prst="rect">
                      <a:avLst/>
                    </a:prstGeom>
                    <a:noFill/>
                    <a:ln>
                      <a:noFill/>
                    </a:ln>
                  </pic:spPr>
                </pic:pic>
              </a:graphicData>
            </a:graphic>
          </wp:inline>
        </w:drawing>
      </w:r>
    </w:p>
    <w:p w:rsidR="006401DF" w:rsidRDefault="006401DF" w:rsidP="000F3CBE">
      <w:pPr>
        <w:pStyle w:val="Prrafodelista"/>
        <w:spacing w:before="240" w:after="240" w:line="240" w:lineRule="auto"/>
        <w:ind w:left="0"/>
        <w:rPr>
          <w:rFonts w:ascii="Arial" w:hAnsi="Arial" w:cs="Arial"/>
          <w:lang w:val="es-ES" w:eastAsia="es-ES"/>
        </w:rPr>
      </w:pPr>
    </w:p>
    <w:p w:rsidR="006401DF" w:rsidRDefault="006401DF" w:rsidP="000F3CBE">
      <w:pPr>
        <w:pStyle w:val="Prrafodelista"/>
        <w:spacing w:before="240" w:after="240" w:line="240" w:lineRule="auto"/>
        <w:ind w:left="0"/>
        <w:rPr>
          <w:rFonts w:ascii="Arial" w:hAnsi="Arial" w:cs="Arial"/>
          <w:lang w:val="es-ES" w:eastAsia="es-ES"/>
        </w:rPr>
      </w:pPr>
    </w:p>
    <w:p w:rsidR="006401DF" w:rsidRPr="006401DF" w:rsidRDefault="006401DF" w:rsidP="000F3CBE">
      <w:pPr>
        <w:pStyle w:val="Prrafodelista"/>
        <w:spacing w:after="0" w:line="240" w:lineRule="auto"/>
        <w:ind w:left="0"/>
        <w:contextualSpacing w:val="0"/>
        <w:rPr>
          <w:rFonts w:ascii="Arial" w:hAnsi="Arial" w:cs="Arial"/>
          <w:lang w:val="es-ES" w:eastAsia="es-ES"/>
        </w:rPr>
      </w:pPr>
      <w:r w:rsidRPr="006401DF">
        <w:rPr>
          <w:rFonts w:ascii="Arial" w:hAnsi="Arial" w:cs="Arial"/>
          <w:lang w:val="es-ES" w:eastAsia="es-ES"/>
        </w:rPr>
        <w:t>El plazo para cubrir las operaciones de crédito autorizadas no excederá de 25 (veinticinco) años contados a partir de su formalización.</w:t>
      </w:r>
    </w:p>
    <w:p w:rsidR="006401DF" w:rsidRPr="006401DF" w:rsidRDefault="006401DF" w:rsidP="000F3CBE">
      <w:pPr>
        <w:pStyle w:val="Prrafodelista"/>
        <w:spacing w:after="0" w:line="240" w:lineRule="auto"/>
        <w:ind w:left="0"/>
        <w:contextualSpacing w:val="0"/>
        <w:rPr>
          <w:rFonts w:ascii="Arial" w:hAnsi="Arial" w:cs="Arial"/>
          <w:lang w:val="es-ES" w:eastAsia="es-ES"/>
        </w:rPr>
      </w:pPr>
    </w:p>
    <w:p w:rsidR="006401DF" w:rsidRPr="006401DF" w:rsidRDefault="006401DF" w:rsidP="000F3CBE">
      <w:pPr>
        <w:pStyle w:val="Prrafodelista"/>
        <w:spacing w:after="0" w:line="240" w:lineRule="auto"/>
        <w:ind w:left="0"/>
        <w:contextualSpacing w:val="0"/>
        <w:rPr>
          <w:rFonts w:ascii="Arial" w:hAnsi="Arial" w:cs="Arial"/>
          <w:lang w:val="es-ES" w:eastAsia="es-ES"/>
        </w:rPr>
      </w:pPr>
      <w:r w:rsidRPr="006401DF">
        <w:rPr>
          <w:rFonts w:ascii="Arial" w:hAnsi="Arial" w:cs="Arial"/>
          <w:lang w:val="es-ES" w:eastAsia="es-ES"/>
        </w:rPr>
        <w:t>Así mismo, como fuente de pago y/o garantía del cumplimiento de todas y cada una de las obligaciones que asuma directamente el Estado, se autoriza la afectación del porcentaje necesario y suficiente de las participaciones presentes y futuras que en ingresos federales le correspondan del Fondo General de Participaciones, de los ingresos a que se refiere el artículo 4º-A, fracción I, de la Ley de Coordinación Fiscal, de las aportaciones federales susceptibles de afectación, los ingresos propios del Estado y/o de los remanentes de la normal operación de mecanismos de fuente de pago o garantía de la deuda pública, al fideicomiso irrevocable de administración o fuente de pago que, como mecanismo de fuente de pago se constituya o bien, mediante la inscripción de las operaciones autorizadas a los fideicomisos irrevocables de administración o fuente de pago previamente constituidos, autorizándose las adecuaciones jurídicas y financieras que se requieran para ejercer la presente autorización.</w:t>
      </w:r>
    </w:p>
    <w:p w:rsidR="006401DF" w:rsidRPr="006401DF" w:rsidRDefault="006401DF" w:rsidP="000F3CBE">
      <w:pPr>
        <w:pStyle w:val="Prrafodelista"/>
        <w:spacing w:after="0" w:line="240" w:lineRule="auto"/>
        <w:ind w:left="0"/>
        <w:contextualSpacing w:val="0"/>
        <w:rPr>
          <w:rFonts w:ascii="Arial" w:hAnsi="Arial" w:cs="Arial"/>
          <w:lang w:val="es-ES" w:eastAsia="es-ES"/>
        </w:rPr>
      </w:pPr>
    </w:p>
    <w:p w:rsidR="006401DF" w:rsidRPr="006401DF" w:rsidRDefault="006401DF" w:rsidP="000F3CBE">
      <w:pPr>
        <w:pStyle w:val="Prrafodelista"/>
        <w:spacing w:after="0" w:line="240" w:lineRule="auto"/>
        <w:ind w:left="0"/>
        <w:contextualSpacing w:val="0"/>
        <w:rPr>
          <w:rFonts w:ascii="Arial" w:hAnsi="Arial" w:cs="Arial"/>
          <w:lang w:val="es-ES" w:eastAsia="es-ES"/>
        </w:rPr>
      </w:pPr>
      <w:r w:rsidRPr="006401DF">
        <w:rPr>
          <w:rFonts w:ascii="Arial" w:hAnsi="Arial" w:cs="Arial"/>
          <w:lang w:val="es-ES" w:eastAsia="es-ES"/>
        </w:rPr>
        <w:t xml:space="preserve">Al servicio de los créditos que se contraigan con base en la presente autorización, el Gobierno del Estado por conducto de la Secretaría de Finanzas y Tesorería General del Estado podrá contraer una o más garantías de pago oportuno, instrumentos de coberturas y/o adherirse al esquema de deuda estatal garantizada que instrumente el Gobierno Federal, siempre que se acredite la mejora en las condiciones crediticias o de sostenibilidad financiera del financiamiento, operaciones de garantía o cobertura a la cual se podrán afectar como fuente de pago los ingresos previstos en el párrafo anterior. </w:t>
      </w:r>
    </w:p>
    <w:p w:rsidR="006401DF" w:rsidRDefault="006401DF" w:rsidP="000F3CBE">
      <w:pPr>
        <w:pStyle w:val="Prrafodelista"/>
        <w:spacing w:after="0" w:line="240" w:lineRule="auto"/>
        <w:ind w:left="0"/>
        <w:contextualSpacing w:val="0"/>
        <w:rPr>
          <w:rFonts w:ascii="Arial" w:hAnsi="Arial" w:cs="Arial"/>
          <w:lang w:val="es-ES" w:eastAsia="es-ES"/>
        </w:rPr>
      </w:pPr>
    </w:p>
    <w:p w:rsidR="006401DF" w:rsidRPr="006401DF" w:rsidRDefault="006401DF" w:rsidP="000F3CBE">
      <w:pPr>
        <w:pStyle w:val="Prrafodelista"/>
        <w:spacing w:after="0" w:line="240" w:lineRule="auto"/>
        <w:ind w:left="0"/>
        <w:contextualSpacing w:val="0"/>
        <w:rPr>
          <w:rFonts w:ascii="Arial" w:hAnsi="Arial" w:cs="Arial"/>
          <w:lang w:val="es-ES" w:eastAsia="es-ES"/>
        </w:rPr>
      </w:pPr>
      <w:r w:rsidRPr="006401DF">
        <w:rPr>
          <w:rFonts w:ascii="Arial" w:hAnsi="Arial" w:cs="Arial"/>
          <w:lang w:val="es-ES" w:eastAsia="es-ES"/>
        </w:rPr>
        <w:t xml:space="preserve">Se autoriza la celebración de las adecuaciones jurídicas, financieras y convenios a las operaciones de crédito y mecanismos de fuente de pago previamente celebrados, que resulten necesarios para la adquisición y disposición del monto de financiamiento autorizado, así como en su caso, la celebración del convenio a que se refiere el artículo </w:t>
      </w:r>
      <w:r w:rsidRPr="006401DF">
        <w:rPr>
          <w:rFonts w:ascii="Arial" w:hAnsi="Arial" w:cs="Arial"/>
          <w:lang w:val="es-ES" w:eastAsia="es-ES"/>
        </w:rPr>
        <w:lastRenderedPageBreak/>
        <w:t>34 de la Ley de Disciplina Financiera para las Entidades Federativas y los Municipios con la Secretaría de Hacienda y Crédito Público.</w:t>
      </w:r>
    </w:p>
    <w:p w:rsidR="006401DF" w:rsidRDefault="006401DF" w:rsidP="000F3CBE">
      <w:pPr>
        <w:pStyle w:val="Prrafodelista"/>
        <w:spacing w:after="0" w:line="240" w:lineRule="auto"/>
        <w:ind w:left="0"/>
        <w:contextualSpacing w:val="0"/>
        <w:rPr>
          <w:rFonts w:ascii="Arial" w:hAnsi="Arial" w:cs="Arial"/>
          <w:lang w:val="es-ES" w:eastAsia="es-ES"/>
        </w:rPr>
      </w:pPr>
    </w:p>
    <w:p w:rsidR="006401DF" w:rsidRPr="006401DF" w:rsidRDefault="006401DF" w:rsidP="000F3CBE">
      <w:pPr>
        <w:pStyle w:val="Prrafodelista"/>
        <w:spacing w:after="0" w:line="240" w:lineRule="auto"/>
        <w:ind w:left="0"/>
        <w:contextualSpacing w:val="0"/>
        <w:rPr>
          <w:rFonts w:ascii="Arial" w:hAnsi="Arial" w:cs="Arial"/>
          <w:lang w:val="es-ES" w:eastAsia="es-ES"/>
        </w:rPr>
      </w:pPr>
      <w:r w:rsidRPr="006401DF">
        <w:rPr>
          <w:rFonts w:ascii="Arial" w:hAnsi="Arial" w:cs="Arial"/>
          <w:lang w:val="es-ES" w:eastAsia="es-ES"/>
        </w:rPr>
        <w:t>Los gastos y costos, incluyendo instrumentos derivados y garantía de pago no podrán exceder de lo previsto por el artículo 27 del Reglamento del Registro Público Único de Financiamientos y Obligaciones de Entidades Federativas y Municipios.</w:t>
      </w:r>
    </w:p>
    <w:p w:rsidR="006401DF" w:rsidRDefault="006401DF" w:rsidP="000F3CBE">
      <w:pPr>
        <w:pStyle w:val="Prrafodelista"/>
        <w:spacing w:after="0" w:line="240" w:lineRule="auto"/>
        <w:ind w:left="0"/>
        <w:contextualSpacing w:val="0"/>
        <w:rPr>
          <w:rFonts w:ascii="Arial" w:hAnsi="Arial" w:cs="Arial"/>
          <w:lang w:val="es-ES" w:eastAsia="es-ES"/>
        </w:rPr>
      </w:pPr>
    </w:p>
    <w:p w:rsidR="006401DF" w:rsidRPr="006401DF" w:rsidRDefault="006401DF" w:rsidP="000F3CBE">
      <w:pPr>
        <w:pStyle w:val="Prrafodelista"/>
        <w:spacing w:after="0" w:line="240" w:lineRule="auto"/>
        <w:ind w:left="0"/>
        <w:contextualSpacing w:val="0"/>
        <w:rPr>
          <w:rFonts w:ascii="Arial" w:hAnsi="Arial" w:cs="Arial"/>
          <w:lang w:val="es-ES" w:eastAsia="es-ES"/>
        </w:rPr>
      </w:pPr>
      <w:r w:rsidRPr="006401DF">
        <w:rPr>
          <w:rFonts w:ascii="Arial" w:hAnsi="Arial" w:cs="Arial"/>
          <w:lang w:val="es-ES" w:eastAsia="es-ES"/>
        </w:rPr>
        <w:t>El Ejecutivo del Estado está facultado para realizar los ajustes y las modificaciones que estime necesarias, en las obras y acciones de inversión pública productiva, hasta por un 30% del importe señalado en este artículo, siempre que estén previstos en el Presupuesto de Egresos del Estado de Nuevo León para el Ejercicio Fiscal 2018 y que sean destinados estrictamente a proyectos de inversión pública productiva, debiendo el Ejecutivo informar al Congreso del Estado, sobre los ajustes efectuados conforme a esta Ley, al presentar los Informes trimestrales de Avance de Gestión Financiera, relativos a la Cuenta Pública 2018.</w:t>
      </w:r>
    </w:p>
    <w:p w:rsidR="006401DF" w:rsidRDefault="006401DF" w:rsidP="000F3CBE">
      <w:pPr>
        <w:pStyle w:val="Prrafodelista"/>
        <w:spacing w:after="0" w:line="240" w:lineRule="auto"/>
        <w:ind w:left="0"/>
        <w:contextualSpacing w:val="0"/>
        <w:rPr>
          <w:rFonts w:ascii="Arial" w:hAnsi="Arial" w:cs="Arial"/>
          <w:b/>
          <w:lang w:val="es-ES" w:eastAsia="es-ES"/>
        </w:rPr>
      </w:pPr>
    </w:p>
    <w:p w:rsidR="006401DF" w:rsidRDefault="006401DF" w:rsidP="000F3CBE">
      <w:pPr>
        <w:pStyle w:val="Prrafodelista"/>
        <w:spacing w:after="0" w:line="240" w:lineRule="auto"/>
        <w:ind w:left="0"/>
        <w:contextualSpacing w:val="0"/>
        <w:rPr>
          <w:rFonts w:ascii="Arial" w:hAnsi="Arial" w:cs="Arial"/>
          <w:lang w:val="es-ES" w:eastAsia="es-ES"/>
        </w:rPr>
      </w:pPr>
      <w:r w:rsidRPr="006401DF">
        <w:rPr>
          <w:rFonts w:ascii="Arial" w:hAnsi="Arial" w:cs="Arial"/>
          <w:b/>
          <w:lang w:val="es-ES" w:eastAsia="es-ES"/>
        </w:rPr>
        <w:t>Artículo 3.-</w:t>
      </w:r>
      <w:r w:rsidRPr="006401DF">
        <w:rPr>
          <w:rFonts w:ascii="Arial" w:hAnsi="Arial" w:cs="Arial"/>
          <w:lang w:val="es-ES" w:eastAsia="es-ES"/>
        </w:rPr>
        <w:t xml:space="preserve"> Una vez analizada la capacidad de pago del Estado de Nuevo León, se autoriza al Poder Ejecutivo del Estado para que, en caso de contraer obligaciones de corto plazo en los límites y montos establecidos en el artículo 30 de la Ley de Disciplina Financiera de las Entidades Federativas y los Municipios, equivalente al 6 por ciento de los ingresos totales autorizados para el ejercicio fiscal 2017, a efecto de garantizar su pago oportuno, así como obtener una mejora en las condiciones de tasa o costo financiero, se autoriza la afectación como fuente de pago de dichas obligaciones el porcentaje necesario y suficiente de sus ingresos y derechos por concepto de (a) participaciones en ingresos federales y/o (b) remanentes o ingresos percibidos de la normal operación de mecanismos de fuente de pago o garantía constituidos para el servicio de la deuda pública, y/o (c) ingresos derivados de contribuciones, productos y aprovechamientos estatales, a través de la afectación o aportación de dichos derechos e ingresos al patrimonio de los fideicomisos irrevocables de administración y fuente de pago previamente constituidos para el servicio de la deuda pública o bien, de aquellos fideicomisos que para el efecto se constituyan.</w:t>
      </w:r>
    </w:p>
    <w:p w:rsidR="000F3CBE" w:rsidRPr="006401DF" w:rsidRDefault="000F3CBE" w:rsidP="000F3CBE">
      <w:pPr>
        <w:pStyle w:val="Prrafodelista"/>
        <w:spacing w:after="0" w:line="240" w:lineRule="auto"/>
        <w:ind w:left="0"/>
        <w:contextualSpacing w:val="0"/>
        <w:rPr>
          <w:rFonts w:ascii="Arial" w:hAnsi="Arial" w:cs="Arial"/>
          <w:lang w:val="es-ES" w:eastAsia="es-ES"/>
        </w:rPr>
      </w:pPr>
    </w:p>
    <w:p w:rsidR="006401DF" w:rsidRPr="006401DF" w:rsidRDefault="006401DF" w:rsidP="000F3CBE">
      <w:pPr>
        <w:pStyle w:val="Prrafodelista"/>
        <w:spacing w:after="0" w:line="240" w:lineRule="auto"/>
        <w:ind w:left="0"/>
        <w:contextualSpacing w:val="0"/>
        <w:rPr>
          <w:rFonts w:ascii="Arial" w:hAnsi="Arial" w:cs="Arial"/>
          <w:lang w:val="es-ES" w:eastAsia="es-ES"/>
        </w:rPr>
      </w:pPr>
      <w:r w:rsidRPr="006401DF">
        <w:rPr>
          <w:rFonts w:ascii="Arial" w:hAnsi="Arial" w:cs="Arial"/>
          <w:lang w:val="es-ES" w:eastAsia="es-ES"/>
        </w:rPr>
        <w:t>En el supuesto de que requiera adquirir obligaciones de corto plazo, las mismas se adquirirán hasta por el monto equivalente al 6 por ciento del total de los ingresos previstos en la presente Ley de Ingresos, sin incluir financiamiento, y se autoriza que dichos ingresos se destinen a cubrir necesidades urgentes de liquidez del Estado y/o a financiar las obras o acciones de inversión pública productiva incluidas en el programa estatal de obras o adquisiciones autorizado en el Presupuesto de Egresos del presente ejercicio fiscal o para proyectos de inversión pública productiva convenidos con el Gobierno Federal o con Gobiernos Municipales y/o prepagos de otros financiamientos que sean necesarios para el adecuado desarrollo de las finanzas públicas.</w:t>
      </w:r>
    </w:p>
    <w:p w:rsidR="006401DF" w:rsidRDefault="006401DF" w:rsidP="000F3CBE">
      <w:pPr>
        <w:pStyle w:val="Prrafodelista"/>
        <w:spacing w:after="0" w:line="240" w:lineRule="auto"/>
        <w:ind w:left="0"/>
        <w:contextualSpacing w:val="0"/>
        <w:rPr>
          <w:rFonts w:ascii="Arial" w:hAnsi="Arial" w:cs="Arial"/>
          <w:b/>
          <w:lang w:val="es-ES" w:eastAsia="es-ES"/>
        </w:rPr>
      </w:pPr>
    </w:p>
    <w:p w:rsidR="006401DF" w:rsidRPr="006401DF" w:rsidRDefault="006401DF" w:rsidP="000F3CBE">
      <w:pPr>
        <w:pStyle w:val="Prrafodelista"/>
        <w:spacing w:after="0" w:line="240" w:lineRule="auto"/>
        <w:ind w:left="0"/>
        <w:contextualSpacing w:val="0"/>
        <w:rPr>
          <w:rFonts w:ascii="Arial" w:hAnsi="Arial" w:cs="Arial"/>
          <w:lang w:val="es-ES" w:eastAsia="es-ES"/>
        </w:rPr>
      </w:pPr>
      <w:r w:rsidRPr="006401DF">
        <w:rPr>
          <w:rFonts w:ascii="Arial" w:hAnsi="Arial" w:cs="Arial"/>
          <w:b/>
          <w:lang w:val="es-ES" w:eastAsia="es-ES"/>
        </w:rPr>
        <w:t>Artículo 4.-</w:t>
      </w:r>
      <w:r w:rsidRPr="006401DF">
        <w:rPr>
          <w:rFonts w:ascii="Arial" w:hAnsi="Arial" w:cs="Arial"/>
          <w:lang w:val="es-ES" w:eastAsia="es-ES"/>
        </w:rPr>
        <w:t xml:space="preserve"> Se autoriza a que durante el ejercicio fiscal 2018, el Poder Ejecutivo del Estado, por conducto de la Secretaría de Finanzas y Tesorería General del Estado ejerza el total de las autorizaciones a que se refiere el Decreto No. 129 publicado en el Periódico Oficial el 1º de julio de 2016, a efecto de concluir con la reestructura o refinanciamiento integral de la deuda directa del Estado en mejores condiciones financieras a las originalmente pactadas.</w:t>
      </w:r>
    </w:p>
    <w:p w:rsidR="006401DF" w:rsidRDefault="006401DF" w:rsidP="000F3CBE">
      <w:pPr>
        <w:pStyle w:val="Textoindependiente"/>
        <w:tabs>
          <w:tab w:val="left" w:pos="6840"/>
        </w:tabs>
        <w:spacing w:line="240" w:lineRule="auto"/>
        <w:rPr>
          <w:rFonts w:cs="Arial"/>
          <w:b/>
          <w:bCs/>
          <w:sz w:val="22"/>
          <w:szCs w:val="22"/>
        </w:rPr>
      </w:pPr>
    </w:p>
    <w:p w:rsidR="006401DF" w:rsidRPr="006401DF" w:rsidRDefault="006401DF" w:rsidP="000F3CBE">
      <w:pPr>
        <w:pStyle w:val="Textoindependiente"/>
        <w:tabs>
          <w:tab w:val="left" w:pos="6840"/>
        </w:tabs>
        <w:spacing w:line="240" w:lineRule="auto"/>
        <w:rPr>
          <w:rFonts w:cs="Arial"/>
          <w:bCs/>
          <w:sz w:val="22"/>
          <w:szCs w:val="22"/>
        </w:rPr>
      </w:pPr>
      <w:r w:rsidRPr="006401DF">
        <w:rPr>
          <w:rFonts w:cs="Arial"/>
          <w:b/>
          <w:bCs/>
          <w:sz w:val="22"/>
          <w:szCs w:val="22"/>
        </w:rPr>
        <w:lastRenderedPageBreak/>
        <w:t>Artículo 5.-</w:t>
      </w:r>
      <w:r w:rsidRPr="006401DF">
        <w:rPr>
          <w:rFonts w:cs="Arial"/>
          <w:bCs/>
          <w:sz w:val="22"/>
          <w:szCs w:val="22"/>
        </w:rPr>
        <w:t xml:space="preserve"> La falta de pago puntual de cualquiera de los impuestos, derechos, contribuciones diversas o aprovechamientos, dará lugar a la imposición de un recargo del 1.2 por ciento por cada mes o fracción que se retarde el pago, independientemente de la sanción a que haya lugar. Si el pago se efectúa en forma espontánea, el recargo será del 1 por ciento por cada mes o fracción.</w:t>
      </w:r>
    </w:p>
    <w:p w:rsidR="006401DF" w:rsidRDefault="006401DF" w:rsidP="000F3CBE">
      <w:pPr>
        <w:pStyle w:val="Textoindependiente"/>
        <w:tabs>
          <w:tab w:val="left" w:pos="6840"/>
        </w:tabs>
        <w:spacing w:line="240" w:lineRule="auto"/>
        <w:rPr>
          <w:rFonts w:cs="Arial"/>
          <w:b/>
          <w:bCs/>
          <w:sz w:val="22"/>
          <w:szCs w:val="22"/>
        </w:rPr>
      </w:pPr>
    </w:p>
    <w:p w:rsidR="006401DF" w:rsidRPr="006401DF" w:rsidRDefault="006401DF" w:rsidP="000F3CBE">
      <w:pPr>
        <w:pStyle w:val="Textoindependiente"/>
        <w:tabs>
          <w:tab w:val="left" w:pos="6840"/>
        </w:tabs>
        <w:spacing w:line="240" w:lineRule="auto"/>
        <w:rPr>
          <w:rFonts w:cs="Arial"/>
          <w:bCs/>
          <w:sz w:val="22"/>
          <w:szCs w:val="22"/>
        </w:rPr>
      </w:pPr>
      <w:r w:rsidRPr="006401DF">
        <w:rPr>
          <w:rFonts w:cs="Arial"/>
          <w:b/>
          <w:bCs/>
          <w:sz w:val="22"/>
          <w:szCs w:val="22"/>
        </w:rPr>
        <w:t>Artículo 6.-</w:t>
      </w:r>
      <w:r w:rsidRPr="006401DF">
        <w:rPr>
          <w:rFonts w:cs="Arial"/>
          <w:bCs/>
          <w:sz w:val="22"/>
          <w:szCs w:val="22"/>
        </w:rPr>
        <w:t xml:space="preserve"> Los ingresos excedentes de libre disposición se destinarán a los fines que establece la Ley de Disciplina Financiera de las Entidades Federativas y los Municipios.</w:t>
      </w:r>
    </w:p>
    <w:p w:rsidR="006401DF" w:rsidRDefault="006401DF" w:rsidP="000F3CBE">
      <w:pPr>
        <w:pStyle w:val="Textoindependiente"/>
        <w:tabs>
          <w:tab w:val="left" w:pos="6840"/>
        </w:tabs>
        <w:spacing w:line="240" w:lineRule="auto"/>
        <w:rPr>
          <w:rFonts w:cs="Arial"/>
          <w:b/>
          <w:bCs/>
          <w:sz w:val="22"/>
          <w:szCs w:val="22"/>
        </w:rPr>
      </w:pPr>
    </w:p>
    <w:p w:rsidR="006401DF" w:rsidRPr="006401DF" w:rsidRDefault="006401DF" w:rsidP="000F3CBE">
      <w:pPr>
        <w:pStyle w:val="Textoindependiente"/>
        <w:tabs>
          <w:tab w:val="left" w:pos="6840"/>
        </w:tabs>
        <w:spacing w:line="240" w:lineRule="auto"/>
        <w:rPr>
          <w:rFonts w:cs="Arial"/>
          <w:bCs/>
          <w:sz w:val="22"/>
          <w:szCs w:val="22"/>
        </w:rPr>
      </w:pPr>
      <w:r w:rsidRPr="006401DF">
        <w:rPr>
          <w:rFonts w:cs="Arial"/>
          <w:b/>
          <w:bCs/>
          <w:sz w:val="22"/>
          <w:szCs w:val="22"/>
        </w:rPr>
        <w:t>Artículo 7.-</w:t>
      </w:r>
      <w:r w:rsidRPr="006401DF">
        <w:rPr>
          <w:rFonts w:cs="Arial"/>
          <w:bCs/>
          <w:sz w:val="22"/>
          <w:szCs w:val="22"/>
        </w:rPr>
        <w:t xml:space="preserve"> Cuando se otorgue prórroga en los términos del Código Fiscal del Estado, se causarán intereses a razón del 0.8 por ciento mensual sobre saldos insolutos, del monto total de los créditos fiscales por los cuales se haya otorgado la prórroga y durante el tiempo que opere </w:t>
      </w:r>
      <w:proofErr w:type="gramStart"/>
      <w:r w:rsidRPr="006401DF">
        <w:rPr>
          <w:rFonts w:cs="Arial"/>
          <w:bCs/>
          <w:sz w:val="22"/>
          <w:szCs w:val="22"/>
        </w:rPr>
        <w:t>la  misma</w:t>
      </w:r>
      <w:proofErr w:type="gramEnd"/>
      <w:r w:rsidRPr="006401DF">
        <w:rPr>
          <w:rFonts w:cs="Arial"/>
          <w:bCs/>
          <w:sz w:val="22"/>
          <w:szCs w:val="22"/>
        </w:rPr>
        <w:t>.</w:t>
      </w:r>
    </w:p>
    <w:p w:rsidR="006401DF" w:rsidRDefault="006401DF" w:rsidP="000F3CBE">
      <w:pPr>
        <w:pStyle w:val="Textoindependiente"/>
        <w:tabs>
          <w:tab w:val="left" w:pos="6840"/>
        </w:tabs>
        <w:spacing w:line="240" w:lineRule="auto"/>
        <w:rPr>
          <w:rFonts w:cs="Arial"/>
          <w:b/>
          <w:bCs/>
          <w:sz w:val="22"/>
          <w:szCs w:val="22"/>
        </w:rPr>
      </w:pPr>
    </w:p>
    <w:p w:rsidR="006401DF" w:rsidRPr="006401DF" w:rsidRDefault="006401DF" w:rsidP="000F3CBE">
      <w:pPr>
        <w:pStyle w:val="Textoindependiente"/>
        <w:tabs>
          <w:tab w:val="left" w:pos="6840"/>
        </w:tabs>
        <w:spacing w:line="240" w:lineRule="auto"/>
        <w:rPr>
          <w:rFonts w:cs="Arial"/>
          <w:bCs/>
          <w:sz w:val="22"/>
          <w:szCs w:val="22"/>
        </w:rPr>
      </w:pPr>
      <w:r w:rsidRPr="006401DF">
        <w:rPr>
          <w:rFonts w:cs="Arial"/>
          <w:b/>
          <w:bCs/>
          <w:sz w:val="22"/>
          <w:szCs w:val="22"/>
        </w:rPr>
        <w:t xml:space="preserve">Artículo 8.- </w:t>
      </w:r>
      <w:r w:rsidRPr="006401DF">
        <w:rPr>
          <w:rFonts w:cs="Arial"/>
          <w:bCs/>
          <w:sz w:val="22"/>
          <w:szCs w:val="22"/>
        </w:rPr>
        <w:t>La liquidación de créditos fiscales que arroje fracción en décimas o centésimas de peso, se ajustará elevando o disminuyendo los centavos, a la unidad, dependiendo si la fracción excede o no de cincuenta centavos.</w:t>
      </w:r>
    </w:p>
    <w:p w:rsidR="006401DF" w:rsidRDefault="006401DF" w:rsidP="000F3CBE">
      <w:pPr>
        <w:pStyle w:val="Textoindependiente"/>
        <w:tabs>
          <w:tab w:val="left" w:pos="6840"/>
        </w:tabs>
        <w:spacing w:line="240" w:lineRule="auto"/>
        <w:rPr>
          <w:rFonts w:cs="Arial"/>
          <w:b/>
          <w:bCs/>
          <w:sz w:val="22"/>
          <w:szCs w:val="22"/>
        </w:rPr>
      </w:pPr>
    </w:p>
    <w:p w:rsidR="006401DF" w:rsidRPr="006401DF" w:rsidRDefault="006401DF" w:rsidP="000F3CBE">
      <w:pPr>
        <w:pStyle w:val="Textoindependiente"/>
        <w:tabs>
          <w:tab w:val="left" w:pos="6840"/>
        </w:tabs>
        <w:spacing w:line="240" w:lineRule="auto"/>
        <w:rPr>
          <w:rFonts w:cs="Arial"/>
          <w:bCs/>
          <w:sz w:val="22"/>
          <w:szCs w:val="22"/>
        </w:rPr>
      </w:pPr>
      <w:r w:rsidRPr="006401DF">
        <w:rPr>
          <w:rFonts w:cs="Arial"/>
          <w:b/>
          <w:bCs/>
          <w:sz w:val="22"/>
          <w:szCs w:val="22"/>
        </w:rPr>
        <w:t>Artículo 9.-</w:t>
      </w:r>
      <w:r w:rsidRPr="006401DF">
        <w:rPr>
          <w:rFonts w:cs="Arial"/>
          <w:bCs/>
          <w:sz w:val="22"/>
          <w:szCs w:val="22"/>
        </w:rPr>
        <w:t xml:space="preserve"> Se faculta al Titular del Ejecutivo Estatal por conducto de la Secretaría de Finanzas y Tesorería General del Estado, para que celebre los convenios necesarios, para la recaudación, fiscalización y administración de ingresos federales, estatales o municipales.</w:t>
      </w:r>
    </w:p>
    <w:p w:rsidR="006401DF" w:rsidRDefault="006401DF" w:rsidP="000F3CBE">
      <w:pPr>
        <w:pStyle w:val="Prrafodelista"/>
        <w:spacing w:after="0" w:line="240" w:lineRule="auto"/>
        <w:ind w:left="0"/>
        <w:contextualSpacing w:val="0"/>
        <w:rPr>
          <w:rFonts w:ascii="Arial" w:hAnsi="Arial" w:cs="Arial"/>
          <w:b/>
          <w:bCs/>
          <w:lang w:eastAsia="es-ES"/>
        </w:rPr>
      </w:pPr>
    </w:p>
    <w:p w:rsidR="006401DF" w:rsidRPr="006401DF" w:rsidRDefault="006401DF" w:rsidP="000F3CBE">
      <w:pPr>
        <w:pStyle w:val="Prrafodelista"/>
        <w:spacing w:after="0" w:line="240" w:lineRule="auto"/>
        <w:ind w:left="0"/>
        <w:contextualSpacing w:val="0"/>
        <w:rPr>
          <w:rFonts w:ascii="Arial" w:hAnsi="Arial" w:cs="Arial"/>
          <w:lang w:val="es-ES" w:eastAsia="es-ES"/>
        </w:rPr>
      </w:pPr>
      <w:r w:rsidRPr="006401DF">
        <w:rPr>
          <w:rFonts w:ascii="Arial" w:hAnsi="Arial" w:cs="Arial"/>
          <w:b/>
          <w:bCs/>
          <w:lang w:eastAsia="es-ES"/>
        </w:rPr>
        <w:t>Artículo 10.-</w:t>
      </w:r>
      <w:r w:rsidRPr="006401DF">
        <w:rPr>
          <w:rFonts w:ascii="Arial" w:hAnsi="Arial" w:cs="Arial"/>
          <w:bCs/>
        </w:rPr>
        <w:t xml:space="preserve"> </w:t>
      </w:r>
      <w:r w:rsidRPr="006401DF">
        <w:rPr>
          <w:rFonts w:ascii="Arial" w:hAnsi="Arial" w:cs="Arial"/>
          <w:lang w:val="es-ES" w:eastAsia="es-ES"/>
        </w:rPr>
        <w:t>Se faculta a la Secretaría de Finanzas y Tesorería General del Estado, para que celebre con las autoridades federales, estatales, municipales o con personas físicas o morales de naturaleza privada, en los términos de las disposiciones legales respectivas, los convenios que considere necesarios para la recaudación, fiscalización y administración de ingresos federales, estatales o municipales.</w:t>
      </w:r>
    </w:p>
    <w:p w:rsidR="006401DF" w:rsidRDefault="006401DF" w:rsidP="000F3CBE">
      <w:pPr>
        <w:pStyle w:val="Prrafodelista"/>
        <w:spacing w:after="0" w:line="240" w:lineRule="auto"/>
        <w:ind w:left="0"/>
        <w:contextualSpacing w:val="0"/>
        <w:rPr>
          <w:rFonts w:ascii="Arial" w:hAnsi="Arial" w:cs="Arial"/>
          <w:b/>
          <w:bCs/>
          <w:lang w:eastAsia="es-ES"/>
        </w:rPr>
      </w:pPr>
    </w:p>
    <w:p w:rsidR="006401DF" w:rsidRPr="006401DF" w:rsidRDefault="006401DF" w:rsidP="000F3CBE">
      <w:pPr>
        <w:pStyle w:val="Prrafodelista"/>
        <w:spacing w:after="0" w:line="240" w:lineRule="auto"/>
        <w:ind w:left="0"/>
        <w:contextualSpacing w:val="0"/>
        <w:rPr>
          <w:rFonts w:ascii="Arial" w:hAnsi="Arial" w:cs="Arial"/>
          <w:lang w:val="es-ES" w:eastAsia="es-ES"/>
        </w:rPr>
      </w:pPr>
      <w:r w:rsidRPr="006401DF">
        <w:rPr>
          <w:rFonts w:ascii="Arial" w:hAnsi="Arial" w:cs="Arial"/>
          <w:b/>
          <w:bCs/>
          <w:lang w:eastAsia="es-ES"/>
        </w:rPr>
        <w:t>Artículo 11.-</w:t>
      </w:r>
      <w:r w:rsidRPr="006401DF">
        <w:rPr>
          <w:rFonts w:ascii="Arial" w:hAnsi="Arial" w:cs="Arial"/>
          <w:bCs/>
        </w:rPr>
        <w:t xml:space="preserve"> </w:t>
      </w:r>
      <w:r w:rsidRPr="006401DF">
        <w:rPr>
          <w:rFonts w:ascii="Arial" w:hAnsi="Arial" w:cs="Arial"/>
          <w:lang w:val="es-ES" w:eastAsia="es-ES"/>
        </w:rPr>
        <w:t>Se autoriza al Ejecutivo del Estado a afectar los ingresos propios o los ingresos por concepto de participaciones o aportaciones federales como garantía o fuente de pago de las obligaciones contraídas.</w:t>
      </w:r>
    </w:p>
    <w:p w:rsidR="006401DF" w:rsidRDefault="006401DF" w:rsidP="000F3CBE">
      <w:pPr>
        <w:pStyle w:val="Prrafodelista"/>
        <w:spacing w:after="0" w:line="240" w:lineRule="auto"/>
        <w:ind w:left="0"/>
        <w:contextualSpacing w:val="0"/>
        <w:rPr>
          <w:rFonts w:ascii="Arial" w:hAnsi="Arial" w:cs="Arial"/>
          <w:b/>
          <w:bCs/>
          <w:lang w:eastAsia="es-ES"/>
        </w:rPr>
      </w:pPr>
    </w:p>
    <w:p w:rsidR="006401DF" w:rsidRPr="006401DF" w:rsidRDefault="006401DF" w:rsidP="000F3CBE">
      <w:pPr>
        <w:pStyle w:val="Prrafodelista"/>
        <w:spacing w:after="0" w:line="240" w:lineRule="auto"/>
        <w:ind w:left="0"/>
        <w:contextualSpacing w:val="0"/>
        <w:rPr>
          <w:rFonts w:ascii="Arial" w:hAnsi="Arial" w:cs="Arial"/>
          <w:bCs/>
        </w:rPr>
      </w:pPr>
      <w:r w:rsidRPr="006401DF">
        <w:rPr>
          <w:rFonts w:ascii="Arial" w:hAnsi="Arial" w:cs="Arial"/>
          <w:b/>
          <w:bCs/>
          <w:lang w:eastAsia="es-ES"/>
        </w:rPr>
        <w:t xml:space="preserve">Artículo 12.- </w:t>
      </w:r>
      <w:r w:rsidRPr="006401DF">
        <w:rPr>
          <w:rFonts w:ascii="Arial" w:hAnsi="Arial" w:cs="Arial"/>
          <w:lang w:val="es-ES" w:eastAsia="es-ES"/>
        </w:rPr>
        <w:t>Los ingresos previstos en esta Ley se causarán, liquidarán y recaudarán, en los términos de la Ley de Hacienda del Estado de Nuevo León y conforme a las disposiciones de las demás leyes, reglamentos, acuerdos y circulares aplicables</w:t>
      </w:r>
      <w:r w:rsidRPr="006401DF">
        <w:rPr>
          <w:rFonts w:ascii="Arial" w:hAnsi="Arial" w:cs="Arial"/>
          <w:bCs/>
        </w:rPr>
        <w:t>.</w:t>
      </w:r>
    </w:p>
    <w:p w:rsidR="006401DF" w:rsidRDefault="006401DF" w:rsidP="000F3CBE">
      <w:pPr>
        <w:spacing w:line="240" w:lineRule="auto"/>
        <w:rPr>
          <w:rFonts w:cs="Arial"/>
          <w:b/>
          <w:bCs/>
          <w:szCs w:val="22"/>
          <w:lang w:eastAsia="es-ES"/>
        </w:rPr>
      </w:pPr>
    </w:p>
    <w:p w:rsidR="006401DF" w:rsidRPr="006401DF" w:rsidRDefault="006401DF" w:rsidP="000F3CBE">
      <w:pPr>
        <w:spacing w:line="240" w:lineRule="auto"/>
        <w:rPr>
          <w:rFonts w:cs="Arial"/>
          <w:szCs w:val="22"/>
        </w:rPr>
      </w:pPr>
      <w:r w:rsidRPr="006401DF">
        <w:rPr>
          <w:rFonts w:cs="Arial"/>
          <w:b/>
          <w:bCs/>
          <w:szCs w:val="22"/>
          <w:lang w:eastAsia="es-ES"/>
        </w:rPr>
        <w:t xml:space="preserve">Artículo 13.- </w:t>
      </w:r>
      <w:r w:rsidRPr="006401DF">
        <w:rPr>
          <w:rFonts w:cs="Arial"/>
          <w:bCs/>
          <w:szCs w:val="22"/>
        </w:rPr>
        <w:t xml:space="preserve">Dentro de los </w:t>
      </w:r>
      <w:r w:rsidRPr="006401DF">
        <w:rPr>
          <w:rFonts w:cs="Arial"/>
          <w:szCs w:val="22"/>
        </w:rPr>
        <w:t>15 días hábiles posteriores a la publicación de esta Ley, se publicará en el Periódico Oficial del Estado el calendario mensual de ingresos derivado de esta Ley. El Ejecutivo del Estado a través de la Secretaría de Finanzas y Tesorería General del Estado, deberá entregar al Congreso del Estado, la metodología y criterios que hubiese utilizado para la estimación de los ingresos, misma que deberá ser incluida en la citada publicación.</w:t>
      </w:r>
    </w:p>
    <w:p w:rsidR="006401DF" w:rsidRDefault="006401DF" w:rsidP="000F3CBE">
      <w:pPr>
        <w:pStyle w:val="Textoindependiente"/>
        <w:tabs>
          <w:tab w:val="left" w:pos="6840"/>
        </w:tabs>
        <w:spacing w:line="240" w:lineRule="auto"/>
        <w:rPr>
          <w:b/>
          <w:bCs/>
          <w:sz w:val="22"/>
          <w:szCs w:val="22"/>
          <w:lang w:val="en-US"/>
        </w:rPr>
      </w:pPr>
    </w:p>
    <w:p w:rsidR="006401DF" w:rsidRPr="00556774" w:rsidRDefault="006401DF" w:rsidP="000F3CBE">
      <w:pPr>
        <w:pStyle w:val="Textoindependiente"/>
        <w:tabs>
          <w:tab w:val="left" w:pos="6840"/>
        </w:tabs>
        <w:spacing w:line="240" w:lineRule="auto"/>
        <w:jc w:val="center"/>
        <w:rPr>
          <w:b/>
          <w:bCs/>
          <w:sz w:val="22"/>
          <w:szCs w:val="22"/>
          <w:lang w:val="en-US"/>
        </w:rPr>
      </w:pPr>
      <w:r w:rsidRPr="00556774">
        <w:rPr>
          <w:b/>
          <w:bCs/>
          <w:sz w:val="22"/>
          <w:szCs w:val="22"/>
          <w:lang w:val="en-US"/>
        </w:rPr>
        <w:t xml:space="preserve">T R </w:t>
      </w:r>
      <w:proofErr w:type="gramStart"/>
      <w:r w:rsidRPr="00556774">
        <w:rPr>
          <w:b/>
          <w:bCs/>
          <w:sz w:val="22"/>
          <w:szCs w:val="22"/>
          <w:lang w:val="en-US"/>
        </w:rPr>
        <w:t>A</w:t>
      </w:r>
      <w:proofErr w:type="gramEnd"/>
      <w:r w:rsidRPr="00556774">
        <w:rPr>
          <w:b/>
          <w:bCs/>
          <w:sz w:val="22"/>
          <w:szCs w:val="22"/>
          <w:lang w:val="en-US"/>
        </w:rPr>
        <w:t xml:space="preserve"> N S I T O R I O S</w:t>
      </w:r>
    </w:p>
    <w:p w:rsidR="006401DF" w:rsidRDefault="006401DF" w:rsidP="000F3CBE">
      <w:pPr>
        <w:pStyle w:val="Textoindependiente"/>
        <w:tabs>
          <w:tab w:val="left" w:pos="6840"/>
        </w:tabs>
        <w:spacing w:line="240" w:lineRule="auto"/>
        <w:rPr>
          <w:b/>
          <w:bCs/>
          <w:sz w:val="22"/>
          <w:szCs w:val="22"/>
          <w:lang w:val="en-US"/>
        </w:rPr>
      </w:pPr>
    </w:p>
    <w:p w:rsidR="006401DF" w:rsidRPr="006F2DA7" w:rsidRDefault="006401DF" w:rsidP="000F3CBE">
      <w:pPr>
        <w:pStyle w:val="Textoindependiente"/>
        <w:tabs>
          <w:tab w:val="left" w:pos="709"/>
        </w:tabs>
        <w:spacing w:line="240" w:lineRule="auto"/>
        <w:rPr>
          <w:bCs/>
          <w:sz w:val="22"/>
          <w:szCs w:val="22"/>
        </w:rPr>
      </w:pPr>
      <w:proofErr w:type="gramStart"/>
      <w:r w:rsidRPr="006F2DA7">
        <w:rPr>
          <w:b/>
          <w:bCs/>
          <w:sz w:val="22"/>
          <w:szCs w:val="22"/>
        </w:rPr>
        <w:t>P</w:t>
      </w:r>
      <w:r>
        <w:rPr>
          <w:b/>
          <w:bCs/>
          <w:sz w:val="22"/>
          <w:szCs w:val="22"/>
        </w:rPr>
        <w:t>rimero</w:t>
      </w:r>
      <w:r w:rsidRPr="006F2DA7">
        <w:rPr>
          <w:b/>
          <w:bCs/>
          <w:sz w:val="22"/>
          <w:szCs w:val="22"/>
        </w:rPr>
        <w:t>.-</w:t>
      </w:r>
      <w:proofErr w:type="gramEnd"/>
      <w:r w:rsidRPr="006F2DA7">
        <w:rPr>
          <w:bCs/>
          <w:sz w:val="22"/>
          <w:szCs w:val="22"/>
        </w:rPr>
        <w:t xml:space="preserve"> Esta Ley entrará en vigor el 1° de enero del año 2018.</w:t>
      </w:r>
    </w:p>
    <w:p w:rsidR="006401DF" w:rsidRDefault="006401DF" w:rsidP="000F3CBE">
      <w:pPr>
        <w:pStyle w:val="Textoindependiente"/>
        <w:tabs>
          <w:tab w:val="left" w:pos="6840"/>
        </w:tabs>
        <w:spacing w:line="240" w:lineRule="auto"/>
        <w:rPr>
          <w:b/>
          <w:bCs/>
          <w:sz w:val="22"/>
          <w:szCs w:val="22"/>
        </w:rPr>
      </w:pPr>
    </w:p>
    <w:p w:rsidR="006401DF" w:rsidRPr="006F2DA7" w:rsidRDefault="006401DF" w:rsidP="000F3CBE">
      <w:pPr>
        <w:pStyle w:val="Textoindependiente"/>
        <w:tabs>
          <w:tab w:val="left" w:pos="709"/>
        </w:tabs>
        <w:spacing w:line="240" w:lineRule="auto"/>
        <w:rPr>
          <w:bCs/>
          <w:sz w:val="22"/>
          <w:szCs w:val="22"/>
        </w:rPr>
      </w:pPr>
      <w:r>
        <w:rPr>
          <w:b/>
          <w:bCs/>
          <w:sz w:val="22"/>
          <w:szCs w:val="22"/>
        </w:rPr>
        <w:t>Segundo</w:t>
      </w:r>
      <w:r w:rsidRPr="006F2DA7">
        <w:rPr>
          <w:b/>
          <w:bCs/>
          <w:sz w:val="22"/>
          <w:szCs w:val="22"/>
        </w:rPr>
        <w:t>.-</w:t>
      </w:r>
      <w:r w:rsidRPr="006F2DA7">
        <w:rPr>
          <w:bCs/>
          <w:sz w:val="22"/>
          <w:szCs w:val="22"/>
        </w:rPr>
        <w:t xml:space="preserve"> Durante el año 2018, y mientras permanezca en vigor la Adhesión del Estado de Nuevo León al Sistema Nacional de Coordinación Fiscal a que se contrae el Convenio </w:t>
      </w:r>
      <w:r w:rsidRPr="006F2DA7">
        <w:rPr>
          <w:bCs/>
          <w:sz w:val="22"/>
          <w:szCs w:val="22"/>
        </w:rPr>
        <w:lastRenderedPageBreak/>
        <w:t xml:space="preserve">de Adhesión al Sistema Nacional de Coordinación Fiscal, publicado en el Diario Oficial de la Federación el 28 de diciembre de 1979, se suspende la vigencia de los impuestos sobre ingresos mercantiles, sobre expendio de bebidas alcohólicas, sobre compraventa o permuta de ganado, sobre venta de gasolina y demás derivados del petróleo y sobre ganado y aves que se sacrifiquen. </w:t>
      </w:r>
    </w:p>
    <w:p w:rsidR="006401DF" w:rsidRDefault="006401DF" w:rsidP="000F3CBE">
      <w:pPr>
        <w:pStyle w:val="Textoindependiente"/>
        <w:tabs>
          <w:tab w:val="left" w:pos="6840"/>
        </w:tabs>
        <w:spacing w:line="240" w:lineRule="auto"/>
        <w:rPr>
          <w:b/>
          <w:bCs/>
          <w:sz w:val="22"/>
          <w:szCs w:val="22"/>
        </w:rPr>
      </w:pPr>
    </w:p>
    <w:p w:rsidR="006401DF" w:rsidRPr="006F2DA7" w:rsidRDefault="006401DF" w:rsidP="000F3CBE">
      <w:pPr>
        <w:pStyle w:val="Textoindependiente"/>
        <w:tabs>
          <w:tab w:val="left" w:pos="709"/>
        </w:tabs>
        <w:spacing w:line="240" w:lineRule="auto"/>
        <w:rPr>
          <w:bCs/>
          <w:sz w:val="22"/>
          <w:szCs w:val="22"/>
        </w:rPr>
      </w:pPr>
      <w:proofErr w:type="gramStart"/>
      <w:r>
        <w:rPr>
          <w:b/>
          <w:bCs/>
          <w:sz w:val="22"/>
          <w:szCs w:val="22"/>
        </w:rPr>
        <w:t>Tercero</w:t>
      </w:r>
      <w:r w:rsidRPr="006F2DA7">
        <w:rPr>
          <w:b/>
          <w:bCs/>
          <w:sz w:val="22"/>
          <w:szCs w:val="22"/>
        </w:rPr>
        <w:t>.-</w:t>
      </w:r>
      <w:proofErr w:type="gramEnd"/>
      <w:r w:rsidRPr="006F2DA7">
        <w:rPr>
          <w:bCs/>
          <w:sz w:val="22"/>
          <w:szCs w:val="22"/>
        </w:rPr>
        <w:t xml:space="preserve"> Si se da por terminado el Convenio de Adhesión al Sistema Nacional de Coordinación Fiscal mencionado en el artículo que antecede, entrarán en vigor nuevamente desde el día siguiente al en que surta sus efectos la terminación de dicho Convenio, los impuestos sobre ingresos mercantiles, sobre expendio de bebidas alcohólicas, sobre compraventa o permuta de ganado, sobre venta de gasolina y demás derivados del petróleo y sobre ganado y aves que se sacrifiquen.</w:t>
      </w:r>
    </w:p>
    <w:p w:rsidR="006401DF" w:rsidRDefault="006401DF" w:rsidP="000F3CBE">
      <w:pPr>
        <w:pStyle w:val="Textoindependiente"/>
        <w:tabs>
          <w:tab w:val="left" w:pos="6840"/>
        </w:tabs>
        <w:spacing w:line="240" w:lineRule="auto"/>
        <w:rPr>
          <w:b/>
          <w:bCs/>
          <w:sz w:val="22"/>
          <w:szCs w:val="22"/>
        </w:rPr>
      </w:pPr>
    </w:p>
    <w:p w:rsidR="006401DF" w:rsidRPr="006F2DA7" w:rsidRDefault="006401DF" w:rsidP="000F3CBE">
      <w:pPr>
        <w:pStyle w:val="Textoindependiente"/>
        <w:tabs>
          <w:tab w:val="left" w:pos="709"/>
        </w:tabs>
        <w:spacing w:line="240" w:lineRule="auto"/>
        <w:rPr>
          <w:bCs/>
          <w:sz w:val="22"/>
          <w:szCs w:val="22"/>
        </w:rPr>
      </w:pPr>
      <w:r>
        <w:rPr>
          <w:b/>
          <w:bCs/>
          <w:sz w:val="22"/>
          <w:szCs w:val="22"/>
        </w:rPr>
        <w:t>Cuarto</w:t>
      </w:r>
      <w:r w:rsidRPr="006F2DA7">
        <w:rPr>
          <w:b/>
          <w:bCs/>
          <w:sz w:val="22"/>
          <w:szCs w:val="22"/>
        </w:rPr>
        <w:t>.-</w:t>
      </w:r>
      <w:r w:rsidRPr="006F2DA7">
        <w:rPr>
          <w:bCs/>
          <w:sz w:val="22"/>
          <w:szCs w:val="22"/>
        </w:rPr>
        <w:t xml:space="preserve"> Durante el año 2018, y mientras permanezca en vigor la Coordinación en Materia Federal de Derechos entre la Federación y el Estado de Nuevo León a que se contrae la Declaratoria emitida por el Secretario de Hacienda y Crédito Público, publicada en el Diario Oficial de la Federación en fecha 04 de octubre de 1994, en los términos previstos en la Ley de Coordinación Fiscal, se suspende la vigencia de los derechos contenidos en los Artículos 267; 268; 275 bis, fracción II y 277, fracciones III, IV, VIII y IX de la Ley de Hacienda del Estado. </w:t>
      </w:r>
    </w:p>
    <w:p w:rsidR="006401DF" w:rsidRDefault="006401DF" w:rsidP="000F3CBE">
      <w:pPr>
        <w:pStyle w:val="Textoindependiente"/>
        <w:tabs>
          <w:tab w:val="left" w:pos="6840"/>
        </w:tabs>
        <w:spacing w:line="240" w:lineRule="auto"/>
        <w:rPr>
          <w:b/>
          <w:bCs/>
          <w:sz w:val="22"/>
          <w:szCs w:val="22"/>
        </w:rPr>
      </w:pPr>
    </w:p>
    <w:p w:rsidR="006401DF" w:rsidRDefault="006401DF" w:rsidP="000F3CBE">
      <w:pPr>
        <w:pStyle w:val="Textoindependiente"/>
        <w:tabs>
          <w:tab w:val="left" w:pos="709"/>
        </w:tabs>
        <w:spacing w:line="240" w:lineRule="auto"/>
        <w:rPr>
          <w:bCs/>
          <w:sz w:val="22"/>
          <w:szCs w:val="22"/>
        </w:rPr>
      </w:pPr>
      <w:r>
        <w:rPr>
          <w:b/>
          <w:bCs/>
          <w:sz w:val="22"/>
          <w:szCs w:val="22"/>
        </w:rPr>
        <w:t>Quinto</w:t>
      </w:r>
      <w:r w:rsidRPr="006F2DA7">
        <w:rPr>
          <w:b/>
          <w:bCs/>
          <w:sz w:val="22"/>
          <w:szCs w:val="22"/>
        </w:rPr>
        <w:t>.-</w:t>
      </w:r>
      <w:r w:rsidRPr="006F2DA7">
        <w:rPr>
          <w:bCs/>
          <w:sz w:val="22"/>
          <w:szCs w:val="22"/>
        </w:rPr>
        <w:t xml:space="preserve"> Si se da por terminada la Coordinación en Materia Federal de Derechos, entre la Federación y el Estado de Nuevo León a que se refiere el transitorio que antecede, entrarán en vigor nuevamente desde el día siguiente al en que surta sus efectos la terminación de la citada Coordinación, los derechos contenidos en los Artículos 267; 268; 275 bis, fracción II, y 277, fracciones III, IV, VIII y IX de la Ley de Hacienda del Estado.</w:t>
      </w:r>
    </w:p>
    <w:p w:rsidR="006401DF" w:rsidRDefault="006401DF" w:rsidP="000F3CBE">
      <w:pPr>
        <w:pStyle w:val="Textoindependiente"/>
        <w:tabs>
          <w:tab w:val="left" w:pos="6840"/>
        </w:tabs>
        <w:spacing w:line="240" w:lineRule="auto"/>
        <w:rPr>
          <w:bCs/>
          <w:sz w:val="22"/>
          <w:szCs w:val="22"/>
        </w:rPr>
      </w:pPr>
    </w:p>
    <w:p w:rsidR="008E5AF6" w:rsidRPr="004863CB" w:rsidRDefault="00A47812" w:rsidP="000F3CBE">
      <w:pPr>
        <w:pStyle w:val="Textoindependiente"/>
        <w:tabs>
          <w:tab w:val="left" w:pos="709"/>
          <w:tab w:val="left" w:pos="2324"/>
        </w:tabs>
        <w:spacing w:line="240" w:lineRule="auto"/>
        <w:rPr>
          <w:rFonts w:cs="Arial"/>
          <w:sz w:val="22"/>
          <w:szCs w:val="22"/>
        </w:rPr>
      </w:pPr>
      <w:r w:rsidRPr="004863CB">
        <w:rPr>
          <w:rFonts w:cs="Arial"/>
          <w:sz w:val="22"/>
          <w:szCs w:val="22"/>
        </w:rPr>
        <w:t xml:space="preserve">Por lo </w:t>
      </w:r>
      <w:r w:rsidR="002316A6" w:rsidRPr="004863CB">
        <w:rPr>
          <w:rFonts w:cs="Arial"/>
          <w:sz w:val="22"/>
          <w:szCs w:val="22"/>
        </w:rPr>
        <w:t>tanto,</w:t>
      </w:r>
      <w:r w:rsidRPr="004863CB">
        <w:rPr>
          <w:rFonts w:cs="Arial"/>
          <w:sz w:val="22"/>
          <w:szCs w:val="22"/>
        </w:rPr>
        <w:t xml:space="preserve"> envíese al Ejecutivo del Estado</w:t>
      </w:r>
      <w:r w:rsidR="008C27D0" w:rsidRPr="004863CB">
        <w:rPr>
          <w:rFonts w:cs="Arial"/>
          <w:sz w:val="22"/>
          <w:szCs w:val="22"/>
        </w:rPr>
        <w:t>,</w:t>
      </w:r>
      <w:r w:rsidRPr="004863CB">
        <w:rPr>
          <w:rFonts w:cs="Arial"/>
          <w:sz w:val="22"/>
          <w:szCs w:val="22"/>
        </w:rPr>
        <w:t xml:space="preserve"> para su</w:t>
      </w:r>
      <w:r w:rsidR="007523FF" w:rsidRPr="004863CB">
        <w:rPr>
          <w:rFonts w:cs="Arial"/>
          <w:sz w:val="22"/>
          <w:szCs w:val="22"/>
        </w:rPr>
        <w:t xml:space="preserve"> promulgación y</w:t>
      </w:r>
      <w:r w:rsidR="009857F6" w:rsidRPr="004863CB">
        <w:rPr>
          <w:rFonts w:cs="Arial"/>
          <w:sz w:val="22"/>
          <w:szCs w:val="22"/>
        </w:rPr>
        <w:t xml:space="preserve"> </w:t>
      </w:r>
      <w:r w:rsidRPr="004863CB">
        <w:rPr>
          <w:rFonts w:cs="Arial"/>
          <w:sz w:val="22"/>
          <w:szCs w:val="22"/>
        </w:rPr>
        <w:t>publicación en el Periódico Oficial del Estado.</w:t>
      </w:r>
    </w:p>
    <w:p w:rsidR="00184206" w:rsidRPr="00184206" w:rsidRDefault="00184206" w:rsidP="000F3CBE">
      <w:pPr>
        <w:pStyle w:val="Textoindependiente"/>
        <w:tabs>
          <w:tab w:val="left" w:pos="709"/>
          <w:tab w:val="left" w:pos="2324"/>
        </w:tabs>
        <w:spacing w:line="240" w:lineRule="auto"/>
        <w:rPr>
          <w:rFonts w:cs="Arial"/>
          <w:sz w:val="22"/>
          <w:szCs w:val="22"/>
        </w:rPr>
      </w:pPr>
    </w:p>
    <w:p w:rsidR="00E54BD4" w:rsidRPr="00426D90" w:rsidRDefault="00E54BD4" w:rsidP="000F3CBE">
      <w:pPr>
        <w:pStyle w:val="Textoindependiente2"/>
        <w:tabs>
          <w:tab w:val="clear" w:pos="1134"/>
          <w:tab w:val="left" w:pos="709"/>
        </w:tabs>
        <w:spacing w:line="240" w:lineRule="auto"/>
        <w:rPr>
          <w:rFonts w:cs="Arial"/>
          <w:i w:val="0"/>
          <w:iCs/>
          <w:sz w:val="22"/>
          <w:szCs w:val="22"/>
        </w:rPr>
      </w:pPr>
      <w:r w:rsidRPr="00A105D1">
        <w:rPr>
          <w:rFonts w:cs="Arial"/>
          <w:i w:val="0"/>
          <w:iCs/>
          <w:sz w:val="22"/>
          <w:szCs w:val="22"/>
        </w:rPr>
        <w:t xml:space="preserve">Dado en el Salón de Sesiones del H. Congreso del Estado Libre y Soberano de Nuevo León, en Monterrey, su Capital </w:t>
      </w:r>
      <w:r w:rsidR="00192E26">
        <w:rPr>
          <w:rFonts w:cs="Arial"/>
          <w:i w:val="0"/>
          <w:iCs/>
          <w:sz w:val="22"/>
          <w:szCs w:val="22"/>
        </w:rPr>
        <w:t xml:space="preserve">a los </w:t>
      </w:r>
      <w:r w:rsidR="002F0987">
        <w:rPr>
          <w:rFonts w:cs="Arial"/>
          <w:i w:val="0"/>
          <w:iCs/>
          <w:sz w:val="22"/>
          <w:szCs w:val="22"/>
        </w:rPr>
        <w:t>doce</w:t>
      </w:r>
      <w:r>
        <w:rPr>
          <w:rFonts w:cs="Arial"/>
          <w:i w:val="0"/>
          <w:iCs/>
          <w:sz w:val="22"/>
          <w:szCs w:val="22"/>
        </w:rPr>
        <w:t xml:space="preserve"> días</w:t>
      </w:r>
      <w:r w:rsidR="00192E26">
        <w:rPr>
          <w:rFonts w:cs="Arial"/>
          <w:i w:val="0"/>
          <w:iCs/>
          <w:sz w:val="22"/>
          <w:szCs w:val="22"/>
        </w:rPr>
        <w:t xml:space="preserve"> del mes de diciembre</w:t>
      </w:r>
      <w:r>
        <w:rPr>
          <w:rFonts w:cs="Arial"/>
          <w:i w:val="0"/>
          <w:iCs/>
          <w:sz w:val="22"/>
          <w:szCs w:val="22"/>
        </w:rPr>
        <w:t xml:space="preserve"> </w:t>
      </w:r>
      <w:r w:rsidRPr="00A105D1">
        <w:rPr>
          <w:rFonts w:cs="Arial"/>
          <w:i w:val="0"/>
          <w:iCs/>
          <w:sz w:val="22"/>
          <w:szCs w:val="22"/>
        </w:rPr>
        <w:t xml:space="preserve">de dos mil </w:t>
      </w:r>
      <w:r>
        <w:rPr>
          <w:rFonts w:cs="Arial"/>
          <w:i w:val="0"/>
          <w:iCs/>
          <w:sz w:val="22"/>
          <w:szCs w:val="22"/>
        </w:rPr>
        <w:t>diecisiete.</w:t>
      </w:r>
    </w:p>
    <w:p w:rsidR="000F3CBE" w:rsidRDefault="000F3CBE" w:rsidP="000F3CBE">
      <w:pPr>
        <w:spacing w:line="240" w:lineRule="auto"/>
        <w:rPr>
          <w:rFonts w:cs="Arial"/>
          <w:szCs w:val="22"/>
          <w:lang w:val="pt-BR"/>
        </w:rPr>
      </w:pPr>
    </w:p>
    <w:p w:rsidR="000F3CBE" w:rsidRDefault="000F3CBE" w:rsidP="000F3CBE">
      <w:pPr>
        <w:spacing w:line="240" w:lineRule="auto"/>
        <w:rPr>
          <w:rFonts w:cs="Arial"/>
          <w:szCs w:val="22"/>
        </w:rPr>
      </w:pPr>
      <w:r>
        <w:rPr>
          <w:rFonts w:cs="Arial"/>
          <w:szCs w:val="22"/>
          <w:lang w:val="pt-BR"/>
        </w:rPr>
        <w:t xml:space="preserve">PRESIDENTA: </w:t>
      </w:r>
      <w:r w:rsidRPr="004F0BE2">
        <w:rPr>
          <w:rFonts w:cs="Arial"/>
          <w:szCs w:val="22"/>
        </w:rPr>
        <w:t>DIP.</w:t>
      </w:r>
      <w:r>
        <w:rPr>
          <w:rFonts w:cs="Arial"/>
          <w:szCs w:val="22"/>
        </w:rPr>
        <w:t xml:space="preserve"> KARINA MARLEN BARRÓN PERALES; </w:t>
      </w:r>
      <w:r>
        <w:rPr>
          <w:rFonts w:cs="Arial"/>
          <w:szCs w:val="22"/>
          <w:lang w:val="pt-BR"/>
        </w:rPr>
        <w:t xml:space="preserve">PRIMERA </w:t>
      </w:r>
      <w:r w:rsidRPr="004F0BE2">
        <w:rPr>
          <w:rFonts w:cs="Arial"/>
          <w:szCs w:val="22"/>
        </w:rPr>
        <w:t>SECRETARI</w:t>
      </w:r>
      <w:r>
        <w:rPr>
          <w:rFonts w:cs="Arial"/>
          <w:szCs w:val="22"/>
        </w:rPr>
        <w:t>A: DIP. LAURA PAULA LÓPEZ SÁNCHEZ; SEGUNDA SECRETARIA: DIP. EVA PATRICIA SALAZAR MARROQUÍN.- RÚBRICAS</w:t>
      </w:r>
    </w:p>
    <w:p w:rsidR="000F3CBE" w:rsidRDefault="000F3CBE" w:rsidP="000F3CBE">
      <w:pPr>
        <w:spacing w:line="240" w:lineRule="auto"/>
        <w:rPr>
          <w:rFonts w:cs="Arial"/>
          <w:szCs w:val="22"/>
        </w:rPr>
      </w:pPr>
    </w:p>
    <w:p w:rsidR="000F3CBE" w:rsidRPr="002E3C4A" w:rsidRDefault="000F3CBE" w:rsidP="000F3CBE">
      <w:pPr>
        <w:spacing w:line="240" w:lineRule="auto"/>
        <w:rPr>
          <w:rFonts w:cs="Arial"/>
        </w:rPr>
      </w:pPr>
      <w:r w:rsidRPr="002E3C4A">
        <w:rPr>
          <w:rFonts w:cs="Arial"/>
        </w:rPr>
        <w:t xml:space="preserve">Por tanto mando se imprima, publique circule y se le dé el debido cumplimiento. Dado en el Despacho del Poder ejecutivo del Estado de Nuevo león, en Monterrey, su Capital, al día </w:t>
      </w:r>
      <w:r>
        <w:rPr>
          <w:rFonts w:cs="Arial"/>
        </w:rPr>
        <w:t>18</w:t>
      </w:r>
      <w:r w:rsidRPr="002E3C4A">
        <w:rPr>
          <w:rFonts w:cs="Arial"/>
        </w:rPr>
        <w:t xml:space="preserve"> de diciembre de 201</w:t>
      </w:r>
      <w:r>
        <w:rPr>
          <w:rFonts w:cs="Arial"/>
        </w:rPr>
        <w:t>7</w:t>
      </w:r>
      <w:r w:rsidRPr="002E3C4A">
        <w:rPr>
          <w:rFonts w:cs="Arial"/>
        </w:rPr>
        <w:t>.</w:t>
      </w:r>
    </w:p>
    <w:p w:rsidR="000F3CBE" w:rsidRPr="002E3C4A" w:rsidRDefault="000F3CBE" w:rsidP="000F3CBE">
      <w:pPr>
        <w:spacing w:line="240" w:lineRule="auto"/>
        <w:rPr>
          <w:rFonts w:cs="Arial"/>
        </w:rPr>
      </w:pPr>
    </w:p>
    <w:p w:rsidR="000F3CBE" w:rsidRPr="002E3C4A" w:rsidRDefault="000F3CBE" w:rsidP="000F3CBE">
      <w:pPr>
        <w:spacing w:line="240" w:lineRule="auto"/>
        <w:rPr>
          <w:rFonts w:cs="Arial"/>
        </w:rPr>
      </w:pPr>
      <w:r w:rsidRPr="002E3C4A">
        <w:rPr>
          <w:rFonts w:cs="Arial"/>
        </w:rPr>
        <w:t>EL C. GOBERNADOR CONSTITUCIONAL DEL ESTADO DE NUEVO LEÓN</w:t>
      </w:r>
    </w:p>
    <w:p w:rsidR="000F3CBE" w:rsidRPr="002E3C4A" w:rsidRDefault="000F3CBE" w:rsidP="000F3CBE">
      <w:pPr>
        <w:spacing w:line="240" w:lineRule="auto"/>
        <w:rPr>
          <w:rFonts w:cs="Arial"/>
        </w:rPr>
      </w:pPr>
      <w:r w:rsidRPr="002E3C4A">
        <w:rPr>
          <w:rFonts w:cs="Arial"/>
        </w:rPr>
        <w:t>JAIME HELIDORO RODRÍGUEZ CALDERÓN.-RÚBRICA</w:t>
      </w:r>
    </w:p>
    <w:p w:rsidR="000F3CBE" w:rsidRPr="002E3C4A" w:rsidRDefault="000F3CBE" w:rsidP="000F3CBE">
      <w:pPr>
        <w:spacing w:line="240" w:lineRule="auto"/>
        <w:rPr>
          <w:rFonts w:cs="Arial"/>
        </w:rPr>
      </w:pPr>
    </w:p>
    <w:p w:rsidR="000F3CBE" w:rsidRPr="002E3C4A" w:rsidRDefault="000F3CBE" w:rsidP="000F3CBE">
      <w:pPr>
        <w:spacing w:line="240" w:lineRule="auto"/>
        <w:rPr>
          <w:rFonts w:cs="Arial"/>
        </w:rPr>
      </w:pPr>
      <w:r w:rsidRPr="002E3C4A">
        <w:rPr>
          <w:rFonts w:cs="Arial"/>
        </w:rPr>
        <w:t xml:space="preserve">EL C. SECRETARIO GENERAL DE GOBIERNO </w:t>
      </w:r>
    </w:p>
    <w:p w:rsidR="000F3CBE" w:rsidRPr="002E3C4A" w:rsidRDefault="000F3CBE" w:rsidP="000F3CBE">
      <w:pPr>
        <w:spacing w:line="240" w:lineRule="auto"/>
        <w:rPr>
          <w:rFonts w:cs="Arial"/>
        </w:rPr>
      </w:pPr>
      <w:r w:rsidRPr="002E3C4A">
        <w:rPr>
          <w:rFonts w:cs="Arial"/>
        </w:rPr>
        <w:t>MANUEL FLORENTINO GONZÁLEZ FLORES.-RÚBRICA</w:t>
      </w:r>
    </w:p>
    <w:p w:rsidR="000F3CBE" w:rsidRPr="002E3C4A" w:rsidRDefault="000F3CBE" w:rsidP="000F3CBE">
      <w:pPr>
        <w:spacing w:line="240" w:lineRule="auto"/>
        <w:rPr>
          <w:rFonts w:cs="Arial"/>
        </w:rPr>
      </w:pPr>
    </w:p>
    <w:p w:rsidR="000F3CBE" w:rsidRPr="002E3C4A" w:rsidRDefault="000F3CBE" w:rsidP="000F3CBE">
      <w:pPr>
        <w:spacing w:line="240" w:lineRule="auto"/>
        <w:rPr>
          <w:rFonts w:cs="Arial"/>
        </w:rPr>
      </w:pPr>
      <w:r w:rsidRPr="002E3C4A">
        <w:rPr>
          <w:rFonts w:cs="Arial"/>
        </w:rPr>
        <w:t>EL C. SECRETARIO DE FINANZAS Y TESORERO GENERAL DEL ESTADO</w:t>
      </w:r>
    </w:p>
    <w:p w:rsidR="000F3CBE" w:rsidRPr="002E3C4A" w:rsidRDefault="000F3CBE" w:rsidP="000F3CBE">
      <w:pPr>
        <w:spacing w:line="240" w:lineRule="auto"/>
        <w:rPr>
          <w:rFonts w:cs="Arial"/>
        </w:rPr>
      </w:pPr>
      <w:r w:rsidRPr="002E3C4A">
        <w:rPr>
          <w:rFonts w:cs="Arial"/>
        </w:rPr>
        <w:t xml:space="preserve">CARLOS ALBERTO GARZA </w:t>
      </w:r>
      <w:proofErr w:type="gramStart"/>
      <w:r w:rsidRPr="002E3C4A">
        <w:rPr>
          <w:rFonts w:cs="Arial"/>
        </w:rPr>
        <w:t>IBARRA.</w:t>
      </w:r>
      <w:proofErr w:type="gramEnd"/>
      <w:r w:rsidRPr="002E3C4A">
        <w:rPr>
          <w:rFonts w:cs="Arial"/>
        </w:rPr>
        <w:t>-RÚBRICA</w:t>
      </w:r>
      <w:r w:rsidR="00C708FF">
        <w:rPr>
          <w:rFonts w:cs="Arial"/>
        </w:rPr>
        <w:t>.</w:t>
      </w:r>
      <w:bookmarkStart w:id="0" w:name="_GoBack"/>
      <w:bookmarkEnd w:id="0"/>
    </w:p>
    <w:sectPr w:rsidR="000F3CBE" w:rsidRPr="002E3C4A" w:rsidSect="00ED3D50">
      <w:headerReference w:type="default" r:id="rId9"/>
      <w:footerReference w:type="even" r:id="rId10"/>
      <w:footerReference w:type="default" r:id="rId11"/>
      <w:pgSz w:w="12240" w:h="15840" w:code="1"/>
      <w:pgMar w:top="1702" w:right="900" w:bottom="1418" w:left="269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A3" w:rsidRDefault="008159A3">
      <w:r>
        <w:separator/>
      </w:r>
    </w:p>
  </w:endnote>
  <w:endnote w:type="continuationSeparator" w:id="0">
    <w:p w:rsidR="008159A3" w:rsidRDefault="0081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DF" w:rsidRDefault="006401DF" w:rsidP="00A27F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401DF" w:rsidRDefault="006401DF" w:rsidP="00E65C1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DF" w:rsidRPr="00E65C17" w:rsidRDefault="006401DF" w:rsidP="00A27F14">
    <w:pPr>
      <w:pStyle w:val="Piedepgina"/>
      <w:framePr w:wrap="around" w:vAnchor="text" w:hAnchor="margin" w:xAlign="right" w:y="1"/>
      <w:rPr>
        <w:rStyle w:val="Nmerodepgina"/>
        <w:rFonts w:cs="Arial"/>
        <w:sz w:val="22"/>
        <w:szCs w:val="22"/>
      </w:rPr>
    </w:pPr>
    <w:r w:rsidRPr="00E65C17">
      <w:rPr>
        <w:rStyle w:val="Nmerodepgina"/>
        <w:rFonts w:cs="Arial"/>
        <w:sz w:val="22"/>
        <w:szCs w:val="22"/>
      </w:rPr>
      <w:fldChar w:fldCharType="begin"/>
    </w:r>
    <w:r w:rsidRPr="00E65C17">
      <w:rPr>
        <w:rStyle w:val="Nmerodepgina"/>
        <w:rFonts w:cs="Arial"/>
        <w:sz w:val="22"/>
        <w:szCs w:val="22"/>
      </w:rPr>
      <w:instrText xml:space="preserve">PAGE  </w:instrText>
    </w:r>
    <w:r w:rsidRPr="00E65C17">
      <w:rPr>
        <w:rStyle w:val="Nmerodepgina"/>
        <w:rFonts w:cs="Arial"/>
        <w:sz w:val="22"/>
        <w:szCs w:val="22"/>
      </w:rPr>
      <w:fldChar w:fldCharType="separate"/>
    </w:r>
    <w:r w:rsidR="00C708FF">
      <w:rPr>
        <w:rStyle w:val="Nmerodepgina"/>
        <w:rFonts w:cs="Arial"/>
        <w:noProof/>
        <w:sz w:val="22"/>
        <w:szCs w:val="22"/>
      </w:rPr>
      <w:t>9</w:t>
    </w:r>
    <w:r w:rsidRPr="00E65C17">
      <w:rPr>
        <w:rStyle w:val="Nmerodepgina"/>
        <w:rFonts w:cs="Arial"/>
        <w:sz w:val="22"/>
        <w:szCs w:val="22"/>
      </w:rPr>
      <w:fldChar w:fldCharType="end"/>
    </w:r>
  </w:p>
  <w:p w:rsidR="006401DF" w:rsidRPr="00E65C17" w:rsidRDefault="006401DF" w:rsidP="00E65C17">
    <w:pPr>
      <w:pStyle w:val="Piedepgina"/>
      <w:ind w:right="360"/>
      <w:rPr>
        <w:rFonts w:cs="Arial"/>
        <w:color w:val="808080"/>
        <w:sz w:val="22"/>
        <w:szCs w:val="22"/>
      </w:rPr>
    </w:pPr>
    <w:r>
      <w:rPr>
        <w:rFonts w:cs="Arial"/>
        <w:color w:val="808080"/>
        <w:sz w:val="22"/>
        <w:szCs w:val="22"/>
      </w:rPr>
      <w:t>Decreto Núm. 33</w:t>
    </w:r>
    <w:r w:rsidR="00D24C56">
      <w:rPr>
        <w:rFonts w:cs="Arial"/>
        <w:color w:val="808080"/>
        <w:sz w:val="22"/>
        <w:szCs w:val="22"/>
      </w:rPr>
      <w:t>1</w:t>
    </w:r>
    <w:r>
      <w:rPr>
        <w:rFonts w:cs="Arial"/>
        <w:color w:val="808080"/>
        <w:sz w:val="22"/>
        <w:szCs w:val="22"/>
      </w:rPr>
      <w:t xml:space="preserve"> </w:t>
    </w:r>
    <w:r w:rsidRPr="00E65C17">
      <w:rPr>
        <w:rFonts w:cs="Arial"/>
        <w:color w:val="808080"/>
        <w:sz w:val="22"/>
        <w:szCs w:val="22"/>
      </w:rPr>
      <w:t>expedido por la LXXI</w:t>
    </w:r>
    <w:r>
      <w:rPr>
        <w:rFonts w:cs="Arial"/>
        <w:color w:val="808080"/>
        <w:sz w:val="22"/>
        <w:szCs w:val="22"/>
      </w:rPr>
      <w:t>V</w:t>
    </w:r>
    <w:r w:rsidRPr="00E65C17">
      <w:rPr>
        <w:rFonts w:cs="Arial"/>
        <w:color w:val="808080"/>
        <w:sz w:val="22"/>
        <w:szCs w:val="22"/>
      </w:rPr>
      <w:t xml:space="preserve"> Legislatura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A3" w:rsidRDefault="008159A3">
      <w:r>
        <w:separator/>
      </w:r>
    </w:p>
  </w:footnote>
  <w:footnote w:type="continuationSeparator" w:id="0">
    <w:p w:rsidR="008159A3" w:rsidRDefault="008159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DF" w:rsidRPr="00500953" w:rsidRDefault="006401DF" w:rsidP="00EC7B78">
    <w:pPr>
      <w:pStyle w:val="Encabezado"/>
      <w:jc w:val="center"/>
      <w:rPr>
        <w:rFonts w:cs="Arial"/>
        <w:b/>
        <w:color w:val="808080"/>
        <w:szCs w:val="22"/>
      </w:rPr>
    </w:pPr>
    <w:r w:rsidRPr="00500953">
      <w:rPr>
        <w:rFonts w:cs="Arial"/>
        <w:b/>
        <w:color w:val="808080"/>
        <w:szCs w:val="22"/>
      </w:rPr>
      <w:t>“2017, CENTENARIO DE LAS CONSTITUCIONES”</w:t>
    </w:r>
  </w:p>
  <w:p w:rsidR="006401DF" w:rsidRDefault="006401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776"/>
        </w:tabs>
      </w:pPr>
      <w:rPr>
        <w:rFonts w:ascii="Symbol" w:hAnsi="Symbol"/>
      </w:rPr>
    </w:lvl>
  </w:abstractNum>
  <w:abstractNum w:abstractNumId="1" w15:restartNumberingAfterBreak="0">
    <w:nsid w:val="00000003"/>
    <w:multiLevelType w:val="singleLevel"/>
    <w:tmpl w:val="5A525E6E"/>
    <w:name w:val="WW8Num3"/>
    <w:lvl w:ilvl="0">
      <w:start w:val="2"/>
      <w:numFmt w:val="lowerLetter"/>
      <w:lvlText w:val="%1)"/>
      <w:lvlJc w:val="left"/>
      <w:pPr>
        <w:tabs>
          <w:tab w:val="num" w:pos="2061"/>
        </w:tabs>
      </w:pPr>
      <w:rPr>
        <w:b w:val="0"/>
      </w:rPr>
    </w:lvl>
  </w:abstractNum>
  <w:abstractNum w:abstractNumId="2" w15:restartNumberingAfterBreak="0">
    <w:nsid w:val="00000004"/>
    <w:multiLevelType w:val="singleLevel"/>
    <w:tmpl w:val="00000004"/>
    <w:name w:val="WW8Num4"/>
    <w:lvl w:ilvl="0">
      <w:start w:val="3"/>
      <w:numFmt w:val="lowerLetter"/>
      <w:lvlText w:val="%1) "/>
      <w:lvlJc w:val="left"/>
      <w:pPr>
        <w:tabs>
          <w:tab w:val="num" w:pos="1984"/>
        </w:tabs>
      </w:pPr>
      <w:rPr>
        <w:rFonts w:ascii="Times New Roman" w:hAnsi="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1776"/>
        </w:tabs>
      </w:pPr>
      <w:rPr>
        <w:rFonts w:ascii="Symbol" w:hAnsi="Symbol"/>
        <w:b w:val="0"/>
        <w:i w:val="0"/>
        <w:sz w:val="24"/>
        <w:u w:val="none"/>
      </w:rPr>
    </w:lvl>
  </w:abstractNum>
  <w:abstractNum w:abstractNumId="4" w15:restartNumberingAfterBreak="0">
    <w:nsid w:val="00000006"/>
    <w:multiLevelType w:val="multilevel"/>
    <w:tmpl w:val="00000006"/>
    <w:name w:val="WW8Num6"/>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7"/>
    <w:multiLevelType w:val="multilevel"/>
    <w:tmpl w:val="00000007"/>
    <w:name w:val="WW8Num7"/>
    <w:lvl w:ilvl="0">
      <w:start w:val="10"/>
      <w:numFmt w:val="upperRoman"/>
      <w:lvlText w:val="%1."/>
      <w:lvlJc w:val="left"/>
      <w:pPr>
        <w:tabs>
          <w:tab w:val="num" w:pos="2974"/>
        </w:tabs>
      </w:pPr>
    </w:lvl>
    <w:lvl w:ilvl="1">
      <w:start w:val="1"/>
      <w:numFmt w:val="decimal"/>
      <w:lvlText w:val="%2."/>
      <w:lvlJc w:val="left"/>
      <w:pPr>
        <w:tabs>
          <w:tab w:val="num" w:pos="2974"/>
        </w:tabs>
      </w:pPr>
    </w:lvl>
    <w:lvl w:ilvl="2">
      <w:start w:val="1"/>
      <w:numFmt w:val="decimal"/>
      <w:lvlText w:val="%3."/>
      <w:lvlJc w:val="left"/>
      <w:pPr>
        <w:tabs>
          <w:tab w:val="num" w:pos="2974"/>
        </w:tabs>
      </w:pPr>
    </w:lvl>
    <w:lvl w:ilvl="3">
      <w:start w:val="1"/>
      <w:numFmt w:val="decimal"/>
      <w:lvlText w:val="%4."/>
      <w:lvlJc w:val="left"/>
      <w:pPr>
        <w:tabs>
          <w:tab w:val="num" w:pos="2974"/>
        </w:tabs>
      </w:pPr>
    </w:lvl>
    <w:lvl w:ilvl="4">
      <w:start w:val="1"/>
      <w:numFmt w:val="decimal"/>
      <w:lvlText w:val="%5."/>
      <w:lvlJc w:val="left"/>
      <w:pPr>
        <w:tabs>
          <w:tab w:val="num" w:pos="2974"/>
        </w:tabs>
      </w:pPr>
    </w:lvl>
    <w:lvl w:ilvl="5">
      <w:start w:val="1"/>
      <w:numFmt w:val="decimal"/>
      <w:lvlText w:val="%6."/>
      <w:lvlJc w:val="left"/>
      <w:pPr>
        <w:tabs>
          <w:tab w:val="num" w:pos="2974"/>
        </w:tabs>
      </w:pPr>
    </w:lvl>
    <w:lvl w:ilvl="6">
      <w:start w:val="1"/>
      <w:numFmt w:val="decimal"/>
      <w:lvlText w:val="%7."/>
      <w:lvlJc w:val="left"/>
      <w:pPr>
        <w:tabs>
          <w:tab w:val="num" w:pos="2974"/>
        </w:tabs>
      </w:pPr>
    </w:lvl>
    <w:lvl w:ilvl="7">
      <w:start w:val="1"/>
      <w:numFmt w:val="decimal"/>
      <w:lvlText w:val="%8."/>
      <w:lvlJc w:val="left"/>
      <w:pPr>
        <w:tabs>
          <w:tab w:val="num" w:pos="2974"/>
        </w:tabs>
      </w:pPr>
    </w:lvl>
    <w:lvl w:ilvl="8">
      <w:start w:val="1"/>
      <w:numFmt w:val="decimal"/>
      <w:lvlText w:val="%9."/>
      <w:lvlJc w:val="left"/>
      <w:pPr>
        <w:tabs>
          <w:tab w:val="num" w:pos="2974"/>
        </w:tabs>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F7"/>
    <w:rsid w:val="00001449"/>
    <w:rsid w:val="000029CE"/>
    <w:rsid w:val="00005A6C"/>
    <w:rsid w:val="000063EC"/>
    <w:rsid w:val="00007245"/>
    <w:rsid w:val="00010B99"/>
    <w:rsid w:val="00015DB8"/>
    <w:rsid w:val="00020C64"/>
    <w:rsid w:val="00031197"/>
    <w:rsid w:val="0003557D"/>
    <w:rsid w:val="00036714"/>
    <w:rsid w:val="00041D88"/>
    <w:rsid w:val="00041DD1"/>
    <w:rsid w:val="000429F2"/>
    <w:rsid w:val="00053E68"/>
    <w:rsid w:val="00060987"/>
    <w:rsid w:val="00060A38"/>
    <w:rsid w:val="00061D24"/>
    <w:rsid w:val="00062D3C"/>
    <w:rsid w:val="00064F56"/>
    <w:rsid w:val="00066B76"/>
    <w:rsid w:val="00070086"/>
    <w:rsid w:val="00074830"/>
    <w:rsid w:val="0007672A"/>
    <w:rsid w:val="00077727"/>
    <w:rsid w:val="00080125"/>
    <w:rsid w:val="00085FD8"/>
    <w:rsid w:val="00095D6F"/>
    <w:rsid w:val="000967C9"/>
    <w:rsid w:val="000970D2"/>
    <w:rsid w:val="000A13D4"/>
    <w:rsid w:val="000A45B5"/>
    <w:rsid w:val="000A7858"/>
    <w:rsid w:val="000B0401"/>
    <w:rsid w:val="000B05A9"/>
    <w:rsid w:val="000B5B25"/>
    <w:rsid w:val="000C5CC3"/>
    <w:rsid w:val="000E42BE"/>
    <w:rsid w:val="000E629E"/>
    <w:rsid w:val="000E767C"/>
    <w:rsid w:val="000F2C36"/>
    <w:rsid w:val="000F349A"/>
    <w:rsid w:val="000F3C7E"/>
    <w:rsid w:val="000F3CBE"/>
    <w:rsid w:val="00100A7C"/>
    <w:rsid w:val="00103C13"/>
    <w:rsid w:val="0010511E"/>
    <w:rsid w:val="001077EE"/>
    <w:rsid w:val="00112F0D"/>
    <w:rsid w:val="00113EFA"/>
    <w:rsid w:val="001161E6"/>
    <w:rsid w:val="001238B6"/>
    <w:rsid w:val="0013006D"/>
    <w:rsid w:val="001331C8"/>
    <w:rsid w:val="001377E9"/>
    <w:rsid w:val="00141941"/>
    <w:rsid w:val="001424C0"/>
    <w:rsid w:val="00146588"/>
    <w:rsid w:val="00153E96"/>
    <w:rsid w:val="00154267"/>
    <w:rsid w:val="0015455B"/>
    <w:rsid w:val="001637D1"/>
    <w:rsid w:val="00167536"/>
    <w:rsid w:val="00173C13"/>
    <w:rsid w:val="0017709D"/>
    <w:rsid w:val="00184206"/>
    <w:rsid w:val="00184DCC"/>
    <w:rsid w:val="00185308"/>
    <w:rsid w:val="00186B1D"/>
    <w:rsid w:val="00190C17"/>
    <w:rsid w:val="00192E26"/>
    <w:rsid w:val="00196156"/>
    <w:rsid w:val="001962FC"/>
    <w:rsid w:val="001A11FA"/>
    <w:rsid w:val="001A2D7A"/>
    <w:rsid w:val="001A3A8D"/>
    <w:rsid w:val="001A449E"/>
    <w:rsid w:val="001A4680"/>
    <w:rsid w:val="001A591E"/>
    <w:rsid w:val="001A6374"/>
    <w:rsid w:val="001B1C32"/>
    <w:rsid w:val="001B531D"/>
    <w:rsid w:val="001B6BD5"/>
    <w:rsid w:val="001C423A"/>
    <w:rsid w:val="001C5123"/>
    <w:rsid w:val="001C69E9"/>
    <w:rsid w:val="001D29BD"/>
    <w:rsid w:val="001E3A69"/>
    <w:rsid w:val="001F20FF"/>
    <w:rsid w:val="001F3486"/>
    <w:rsid w:val="001F457B"/>
    <w:rsid w:val="001F4F80"/>
    <w:rsid w:val="001F78FE"/>
    <w:rsid w:val="00201844"/>
    <w:rsid w:val="00210EDA"/>
    <w:rsid w:val="00211C5D"/>
    <w:rsid w:val="00213E81"/>
    <w:rsid w:val="00216CE8"/>
    <w:rsid w:val="00226032"/>
    <w:rsid w:val="002267E1"/>
    <w:rsid w:val="002316A6"/>
    <w:rsid w:val="00234647"/>
    <w:rsid w:val="0023584B"/>
    <w:rsid w:val="00237DE7"/>
    <w:rsid w:val="00241A45"/>
    <w:rsid w:val="00242EA1"/>
    <w:rsid w:val="00243BBE"/>
    <w:rsid w:val="0024494F"/>
    <w:rsid w:val="00244FD3"/>
    <w:rsid w:val="00246276"/>
    <w:rsid w:val="002471DA"/>
    <w:rsid w:val="002506CD"/>
    <w:rsid w:val="002516E1"/>
    <w:rsid w:val="0026136B"/>
    <w:rsid w:val="00261B4C"/>
    <w:rsid w:val="002650F7"/>
    <w:rsid w:val="00266B3C"/>
    <w:rsid w:val="0027177A"/>
    <w:rsid w:val="0027258D"/>
    <w:rsid w:val="002764A7"/>
    <w:rsid w:val="002802D3"/>
    <w:rsid w:val="00280D6A"/>
    <w:rsid w:val="00280F10"/>
    <w:rsid w:val="0029235D"/>
    <w:rsid w:val="00296C35"/>
    <w:rsid w:val="002A0278"/>
    <w:rsid w:val="002A11D7"/>
    <w:rsid w:val="002A2BC4"/>
    <w:rsid w:val="002A3D44"/>
    <w:rsid w:val="002A7D55"/>
    <w:rsid w:val="002B0427"/>
    <w:rsid w:val="002B662C"/>
    <w:rsid w:val="002B6F6C"/>
    <w:rsid w:val="002C002C"/>
    <w:rsid w:val="002C0DD1"/>
    <w:rsid w:val="002C14E2"/>
    <w:rsid w:val="002C1DE9"/>
    <w:rsid w:val="002C3B5A"/>
    <w:rsid w:val="002C727F"/>
    <w:rsid w:val="002D4338"/>
    <w:rsid w:val="002D6845"/>
    <w:rsid w:val="002E3024"/>
    <w:rsid w:val="002F0987"/>
    <w:rsid w:val="002F0BD3"/>
    <w:rsid w:val="002F7AA7"/>
    <w:rsid w:val="003050C7"/>
    <w:rsid w:val="00305488"/>
    <w:rsid w:val="00305FF3"/>
    <w:rsid w:val="003102D1"/>
    <w:rsid w:val="00311B11"/>
    <w:rsid w:val="00315291"/>
    <w:rsid w:val="00317CF7"/>
    <w:rsid w:val="003322C4"/>
    <w:rsid w:val="003327A4"/>
    <w:rsid w:val="003366CE"/>
    <w:rsid w:val="003410F6"/>
    <w:rsid w:val="00341719"/>
    <w:rsid w:val="00342C84"/>
    <w:rsid w:val="00343DC1"/>
    <w:rsid w:val="0034486D"/>
    <w:rsid w:val="00351FE0"/>
    <w:rsid w:val="00360862"/>
    <w:rsid w:val="0036757D"/>
    <w:rsid w:val="003745E4"/>
    <w:rsid w:val="0038752B"/>
    <w:rsid w:val="0038782A"/>
    <w:rsid w:val="003A2929"/>
    <w:rsid w:val="003B03C2"/>
    <w:rsid w:val="003B20B5"/>
    <w:rsid w:val="003B62D1"/>
    <w:rsid w:val="003C1E60"/>
    <w:rsid w:val="003C753D"/>
    <w:rsid w:val="003D3604"/>
    <w:rsid w:val="003D4E54"/>
    <w:rsid w:val="003D6CF0"/>
    <w:rsid w:val="003D7783"/>
    <w:rsid w:val="003E3ADA"/>
    <w:rsid w:val="003E4452"/>
    <w:rsid w:val="00401FD5"/>
    <w:rsid w:val="0040242B"/>
    <w:rsid w:val="004027EC"/>
    <w:rsid w:val="00404F58"/>
    <w:rsid w:val="004071F2"/>
    <w:rsid w:val="0041238E"/>
    <w:rsid w:val="00412A12"/>
    <w:rsid w:val="00414590"/>
    <w:rsid w:val="00417EDA"/>
    <w:rsid w:val="0042161D"/>
    <w:rsid w:val="00426D90"/>
    <w:rsid w:val="00427BA1"/>
    <w:rsid w:val="00427BF7"/>
    <w:rsid w:val="004319B4"/>
    <w:rsid w:val="004322EB"/>
    <w:rsid w:val="004329B3"/>
    <w:rsid w:val="00436F7B"/>
    <w:rsid w:val="00441368"/>
    <w:rsid w:val="00443F61"/>
    <w:rsid w:val="00445B55"/>
    <w:rsid w:val="00446252"/>
    <w:rsid w:val="00450360"/>
    <w:rsid w:val="004523EB"/>
    <w:rsid w:val="00453DE8"/>
    <w:rsid w:val="00463CC1"/>
    <w:rsid w:val="00470500"/>
    <w:rsid w:val="004719A3"/>
    <w:rsid w:val="00472CC9"/>
    <w:rsid w:val="00473530"/>
    <w:rsid w:val="00474DA4"/>
    <w:rsid w:val="00477380"/>
    <w:rsid w:val="00481641"/>
    <w:rsid w:val="00482BAA"/>
    <w:rsid w:val="004856C9"/>
    <w:rsid w:val="00486191"/>
    <w:rsid w:val="004863CB"/>
    <w:rsid w:val="00487238"/>
    <w:rsid w:val="0048759D"/>
    <w:rsid w:val="00491BE9"/>
    <w:rsid w:val="0049347D"/>
    <w:rsid w:val="0049485D"/>
    <w:rsid w:val="004A09D4"/>
    <w:rsid w:val="004A258F"/>
    <w:rsid w:val="004A6CCA"/>
    <w:rsid w:val="004B2224"/>
    <w:rsid w:val="004C4C23"/>
    <w:rsid w:val="004D27F7"/>
    <w:rsid w:val="004D4E92"/>
    <w:rsid w:val="004D7E6B"/>
    <w:rsid w:val="004E3316"/>
    <w:rsid w:val="004E58C9"/>
    <w:rsid w:val="004E5D42"/>
    <w:rsid w:val="004F247A"/>
    <w:rsid w:val="004F2D1E"/>
    <w:rsid w:val="004F43E6"/>
    <w:rsid w:val="004F4C59"/>
    <w:rsid w:val="00507B70"/>
    <w:rsid w:val="00511786"/>
    <w:rsid w:val="0051759A"/>
    <w:rsid w:val="005223F3"/>
    <w:rsid w:val="00526ABB"/>
    <w:rsid w:val="0052758E"/>
    <w:rsid w:val="00531172"/>
    <w:rsid w:val="00532C80"/>
    <w:rsid w:val="00540EBF"/>
    <w:rsid w:val="00543169"/>
    <w:rsid w:val="00543BFE"/>
    <w:rsid w:val="00545B24"/>
    <w:rsid w:val="00545B7B"/>
    <w:rsid w:val="00557A86"/>
    <w:rsid w:val="00560418"/>
    <w:rsid w:val="00561118"/>
    <w:rsid w:val="0056547B"/>
    <w:rsid w:val="005654DC"/>
    <w:rsid w:val="005816B9"/>
    <w:rsid w:val="00581DEA"/>
    <w:rsid w:val="00592132"/>
    <w:rsid w:val="005A2EE5"/>
    <w:rsid w:val="005A4E82"/>
    <w:rsid w:val="005A55FC"/>
    <w:rsid w:val="005A5C61"/>
    <w:rsid w:val="005A77E4"/>
    <w:rsid w:val="005B47B9"/>
    <w:rsid w:val="005B6692"/>
    <w:rsid w:val="005C68E2"/>
    <w:rsid w:val="005C7A54"/>
    <w:rsid w:val="005D13B4"/>
    <w:rsid w:val="005D1972"/>
    <w:rsid w:val="005D2B89"/>
    <w:rsid w:val="005D4393"/>
    <w:rsid w:val="005D77AE"/>
    <w:rsid w:val="005E2475"/>
    <w:rsid w:val="005E49FD"/>
    <w:rsid w:val="005F529C"/>
    <w:rsid w:val="005F7BEB"/>
    <w:rsid w:val="00600F12"/>
    <w:rsid w:val="0060639A"/>
    <w:rsid w:val="00614CCB"/>
    <w:rsid w:val="00617E68"/>
    <w:rsid w:val="00620789"/>
    <w:rsid w:val="00624781"/>
    <w:rsid w:val="00626768"/>
    <w:rsid w:val="00630404"/>
    <w:rsid w:val="006310AB"/>
    <w:rsid w:val="00631546"/>
    <w:rsid w:val="00633CDF"/>
    <w:rsid w:val="00634182"/>
    <w:rsid w:val="006342AD"/>
    <w:rsid w:val="00635F4E"/>
    <w:rsid w:val="006401DF"/>
    <w:rsid w:val="00640A42"/>
    <w:rsid w:val="00646631"/>
    <w:rsid w:val="0064778B"/>
    <w:rsid w:val="00647A75"/>
    <w:rsid w:val="00654A2A"/>
    <w:rsid w:val="0065558C"/>
    <w:rsid w:val="00657234"/>
    <w:rsid w:val="00657EE0"/>
    <w:rsid w:val="006624C5"/>
    <w:rsid w:val="00665963"/>
    <w:rsid w:val="00665BA8"/>
    <w:rsid w:val="00667781"/>
    <w:rsid w:val="00677618"/>
    <w:rsid w:val="00690B13"/>
    <w:rsid w:val="00690E7E"/>
    <w:rsid w:val="00691689"/>
    <w:rsid w:val="0069251F"/>
    <w:rsid w:val="006942ED"/>
    <w:rsid w:val="00697217"/>
    <w:rsid w:val="006B0BBF"/>
    <w:rsid w:val="006B19FF"/>
    <w:rsid w:val="006C558E"/>
    <w:rsid w:val="006C7E38"/>
    <w:rsid w:val="006D26E3"/>
    <w:rsid w:val="006D2960"/>
    <w:rsid w:val="006D52D1"/>
    <w:rsid w:val="006D57C0"/>
    <w:rsid w:val="006F199B"/>
    <w:rsid w:val="006F47A7"/>
    <w:rsid w:val="006F5605"/>
    <w:rsid w:val="006F56D2"/>
    <w:rsid w:val="00705CC1"/>
    <w:rsid w:val="00706AF5"/>
    <w:rsid w:val="0071586D"/>
    <w:rsid w:val="00722C6D"/>
    <w:rsid w:val="00725326"/>
    <w:rsid w:val="00726E4F"/>
    <w:rsid w:val="007271E0"/>
    <w:rsid w:val="00727E72"/>
    <w:rsid w:val="00727FC5"/>
    <w:rsid w:val="0073140D"/>
    <w:rsid w:val="007403EA"/>
    <w:rsid w:val="007408E4"/>
    <w:rsid w:val="0074198E"/>
    <w:rsid w:val="007427C5"/>
    <w:rsid w:val="00743E2B"/>
    <w:rsid w:val="00745A37"/>
    <w:rsid w:val="007523FF"/>
    <w:rsid w:val="00754448"/>
    <w:rsid w:val="00755519"/>
    <w:rsid w:val="00756B88"/>
    <w:rsid w:val="00757BDD"/>
    <w:rsid w:val="00764FFC"/>
    <w:rsid w:val="00770074"/>
    <w:rsid w:val="00771044"/>
    <w:rsid w:val="00785EF3"/>
    <w:rsid w:val="00794762"/>
    <w:rsid w:val="00794E39"/>
    <w:rsid w:val="00794EF3"/>
    <w:rsid w:val="007960D9"/>
    <w:rsid w:val="007A0126"/>
    <w:rsid w:val="007A6C4F"/>
    <w:rsid w:val="007C00B7"/>
    <w:rsid w:val="007C1CA8"/>
    <w:rsid w:val="007C5F6F"/>
    <w:rsid w:val="007D3CFE"/>
    <w:rsid w:val="007D57FE"/>
    <w:rsid w:val="007D61FB"/>
    <w:rsid w:val="007D6292"/>
    <w:rsid w:val="007E015B"/>
    <w:rsid w:val="007E584D"/>
    <w:rsid w:val="007E6AF3"/>
    <w:rsid w:val="00815847"/>
    <w:rsid w:val="008159A3"/>
    <w:rsid w:val="008247C6"/>
    <w:rsid w:val="0082622D"/>
    <w:rsid w:val="0082795C"/>
    <w:rsid w:val="00832DD0"/>
    <w:rsid w:val="008344B7"/>
    <w:rsid w:val="00835D8C"/>
    <w:rsid w:val="0083722B"/>
    <w:rsid w:val="00845E85"/>
    <w:rsid w:val="0085393F"/>
    <w:rsid w:val="0086021A"/>
    <w:rsid w:val="008602F5"/>
    <w:rsid w:val="0086131F"/>
    <w:rsid w:val="00872343"/>
    <w:rsid w:val="008740B1"/>
    <w:rsid w:val="00874E85"/>
    <w:rsid w:val="00881A0E"/>
    <w:rsid w:val="00881D7B"/>
    <w:rsid w:val="00883CC4"/>
    <w:rsid w:val="00883F17"/>
    <w:rsid w:val="00886FE2"/>
    <w:rsid w:val="00890C0D"/>
    <w:rsid w:val="008950D8"/>
    <w:rsid w:val="0089531E"/>
    <w:rsid w:val="00895D0B"/>
    <w:rsid w:val="008969C3"/>
    <w:rsid w:val="00897387"/>
    <w:rsid w:val="008A006F"/>
    <w:rsid w:val="008A22C5"/>
    <w:rsid w:val="008A6082"/>
    <w:rsid w:val="008B7F10"/>
    <w:rsid w:val="008C27D0"/>
    <w:rsid w:val="008C47A1"/>
    <w:rsid w:val="008D1C9F"/>
    <w:rsid w:val="008D267B"/>
    <w:rsid w:val="008D3BD2"/>
    <w:rsid w:val="008E28F9"/>
    <w:rsid w:val="008E5AF6"/>
    <w:rsid w:val="008F1F95"/>
    <w:rsid w:val="00900F7A"/>
    <w:rsid w:val="009010C4"/>
    <w:rsid w:val="009049E2"/>
    <w:rsid w:val="00904D42"/>
    <w:rsid w:val="00912D2E"/>
    <w:rsid w:val="009161DF"/>
    <w:rsid w:val="0091742F"/>
    <w:rsid w:val="009222B9"/>
    <w:rsid w:val="00923149"/>
    <w:rsid w:val="00925DD7"/>
    <w:rsid w:val="00926CC0"/>
    <w:rsid w:val="0093351E"/>
    <w:rsid w:val="00935DEE"/>
    <w:rsid w:val="00937B03"/>
    <w:rsid w:val="009455C0"/>
    <w:rsid w:val="00947B63"/>
    <w:rsid w:val="00947B83"/>
    <w:rsid w:val="00954499"/>
    <w:rsid w:val="00960792"/>
    <w:rsid w:val="00963B67"/>
    <w:rsid w:val="00967558"/>
    <w:rsid w:val="0097430A"/>
    <w:rsid w:val="00975C62"/>
    <w:rsid w:val="009766A8"/>
    <w:rsid w:val="00980B13"/>
    <w:rsid w:val="009857F6"/>
    <w:rsid w:val="00991A7D"/>
    <w:rsid w:val="00995CE8"/>
    <w:rsid w:val="009974F9"/>
    <w:rsid w:val="009A0844"/>
    <w:rsid w:val="009A09DD"/>
    <w:rsid w:val="009A14B4"/>
    <w:rsid w:val="009A2192"/>
    <w:rsid w:val="009A2F72"/>
    <w:rsid w:val="009A64FA"/>
    <w:rsid w:val="009A669A"/>
    <w:rsid w:val="009A6A56"/>
    <w:rsid w:val="009B00AE"/>
    <w:rsid w:val="009B50F3"/>
    <w:rsid w:val="009C5314"/>
    <w:rsid w:val="009C5609"/>
    <w:rsid w:val="009C6B3B"/>
    <w:rsid w:val="009C73E6"/>
    <w:rsid w:val="009D2E60"/>
    <w:rsid w:val="009D5BCD"/>
    <w:rsid w:val="009D6B42"/>
    <w:rsid w:val="009D7A96"/>
    <w:rsid w:val="009D7F6F"/>
    <w:rsid w:val="009E1120"/>
    <w:rsid w:val="009E1F56"/>
    <w:rsid w:val="009E57D4"/>
    <w:rsid w:val="009E6DE9"/>
    <w:rsid w:val="009F03DE"/>
    <w:rsid w:val="009F28BB"/>
    <w:rsid w:val="009F2C05"/>
    <w:rsid w:val="009F398A"/>
    <w:rsid w:val="00A016EB"/>
    <w:rsid w:val="00A03A6F"/>
    <w:rsid w:val="00A1050C"/>
    <w:rsid w:val="00A105D1"/>
    <w:rsid w:val="00A1282B"/>
    <w:rsid w:val="00A1298E"/>
    <w:rsid w:val="00A137EC"/>
    <w:rsid w:val="00A1383C"/>
    <w:rsid w:val="00A13B71"/>
    <w:rsid w:val="00A15B28"/>
    <w:rsid w:val="00A27F14"/>
    <w:rsid w:val="00A4552F"/>
    <w:rsid w:val="00A47812"/>
    <w:rsid w:val="00A47B3F"/>
    <w:rsid w:val="00A50EAB"/>
    <w:rsid w:val="00A5418F"/>
    <w:rsid w:val="00A561EB"/>
    <w:rsid w:val="00A57C8B"/>
    <w:rsid w:val="00A621F9"/>
    <w:rsid w:val="00A638A7"/>
    <w:rsid w:val="00A649E2"/>
    <w:rsid w:val="00A6508B"/>
    <w:rsid w:val="00A67DD9"/>
    <w:rsid w:val="00A75E77"/>
    <w:rsid w:val="00A82D26"/>
    <w:rsid w:val="00A86333"/>
    <w:rsid w:val="00A871C2"/>
    <w:rsid w:val="00A87DC8"/>
    <w:rsid w:val="00A91A3C"/>
    <w:rsid w:val="00A96354"/>
    <w:rsid w:val="00A96F28"/>
    <w:rsid w:val="00AA20FB"/>
    <w:rsid w:val="00AA23E8"/>
    <w:rsid w:val="00AA6636"/>
    <w:rsid w:val="00AA68D4"/>
    <w:rsid w:val="00AB15C4"/>
    <w:rsid w:val="00AB18AC"/>
    <w:rsid w:val="00AB1B74"/>
    <w:rsid w:val="00AB37BE"/>
    <w:rsid w:val="00AC372A"/>
    <w:rsid w:val="00AD034B"/>
    <w:rsid w:val="00AD14CE"/>
    <w:rsid w:val="00AD273B"/>
    <w:rsid w:val="00AE01CB"/>
    <w:rsid w:val="00AE2576"/>
    <w:rsid w:val="00AE5993"/>
    <w:rsid w:val="00AE6D1F"/>
    <w:rsid w:val="00AF5F4B"/>
    <w:rsid w:val="00B01CF6"/>
    <w:rsid w:val="00B04C2E"/>
    <w:rsid w:val="00B056B4"/>
    <w:rsid w:val="00B07F35"/>
    <w:rsid w:val="00B10938"/>
    <w:rsid w:val="00B1241B"/>
    <w:rsid w:val="00B13C0A"/>
    <w:rsid w:val="00B16490"/>
    <w:rsid w:val="00B2225B"/>
    <w:rsid w:val="00B226A4"/>
    <w:rsid w:val="00B24DCC"/>
    <w:rsid w:val="00B309F0"/>
    <w:rsid w:val="00B34F8A"/>
    <w:rsid w:val="00B377BB"/>
    <w:rsid w:val="00B37E69"/>
    <w:rsid w:val="00B43B46"/>
    <w:rsid w:val="00B51D39"/>
    <w:rsid w:val="00B51F9F"/>
    <w:rsid w:val="00B52FAC"/>
    <w:rsid w:val="00B5333F"/>
    <w:rsid w:val="00B540DF"/>
    <w:rsid w:val="00B55DAB"/>
    <w:rsid w:val="00B57999"/>
    <w:rsid w:val="00B61222"/>
    <w:rsid w:val="00B666FD"/>
    <w:rsid w:val="00B8354F"/>
    <w:rsid w:val="00B92E06"/>
    <w:rsid w:val="00B9344C"/>
    <w:rsid w:val="00B93A10"/>
    <w:rsid w:val="00B9488C"/>
    <w:rsid w:val="00B952EA"/>
    <w:rsid w:val="00B979AA"/>
    <w:rsid w:val="00BA0CAF"/>
    <w:rsid w:val="00BA3C7B"/>
    <w:rsid w:val="00BA4F39"/>
    <w:rsid w:val="00BB269A"/>
    <w:rsid w:val="00BB39D2"/>
    <w:rsid w:val="00BB4DB9"/>
    <w:rsid w:val="00BB58F7"/>
    <w:rsid w:val="00BB6C65"/>
    <w:rsid w:val="00BC013B"/>
    <w:rsid w:val="00BC4AA8"/>
    <w:rsid w:val="00BC54BF"/>
    <w:rsid w:val="00BD2341"/>
    <w:rsid w:val="00BD2626"/>
    <w:rsid w:val="00BD3399"/>
    <w:rsid w:val="00BD55D9"/>
    <w:rsid w:val="00BD698D"/>
    <w:rsid w:val="00BE2D7C"/>
    <w:rsid w:val="00BE37C1"/>
    <w:rsid w:val="00BE63EA"/>
    <w:rsid w:val="00BF152A"/>
    <w:rsid w:val="00BF1654"/>
    <w:rsid w:val="00BF2394"/>
    <w:rsid w:val="00BF285F"/>
    <w:rsid w:val="00BF3694"/>
    <w:rsid w:val="00BF4D22"/>
    <w:rsid w:val="00BF603D"/>
    <w:rsid w:val="00BF60FA"/>
    <w:rsid w:val="00C00553"/>
    <w:rsid w:val="00C00C93"/>
    <w:rsid w:val="00C00FF6"/>
    <w:rsid w:val="00C022ED"/>
    <w:rsid w:val="00C0300A"/>
    <w:rsid w:val="00C05A4A"/>
    <w:rsid w:val="00C06BD8"/>
    <w:rsid w:val="00C11F8D"/>
    <w:rsid w:val="00C16A81"/>
    <w:rsid w:val="00C17BBC"/>
    <w:rsid w:val="00C21867"/>
    <w:rsid w:val="00C260FB"/>
    <w:rsid w:val="00C273D0"/>
    <w:rsid w:val="00C27CD2"/>
    <w:rsid w:val="00C33FDB"/>
    <w:rsid w:val="00C34C87"/>
    <w:rsid w:val="00C40BC8"/>
    <w:rsid w:val="00C44988"/>
    <w:rsid w:val="00C45E42"/>
    <w:rsid w:val="00C468E7"/>
    <w:rsid w:val="00C5002F"/>
    <w:rsid w:val="00C55676"/>
    <w:rsid w:val="00C616D2"/>
    <w:rsid w:val="00C65D5E"/>
    <w:rsid w:val="00C708FF"/>
    <w:rsid w:val="00C71961"/>
    <w:rsid w:val="00C7402A"/>
    <w:rsid w:val="00C74764"/>
    <w:rsid w:val="00C815F6"/>
    <w:rsid w:val="00C84BAC"/>
    <w:rsid w:val="00C91B97"/>
    <w:rsid w:val="00C93C28"/>
    <w:rsid w:val="00C97B4D"/>
    <w:rsid w:val="00CB189C"/>
    <w:rsid w:val="00CB1E96"/>
    <w:rsid w:val="00CB34F2"/>
    <w:rsid w:val="00CB3B1A"/>
    <w:rsid w:val="00CB4094"/>
    <w:rsid w:val="00CC0C06"/>
    <w:rsid w:val="00CC25B8"/>
    <w:rsid w:val="00CC2608"/>
    <w:rsid w:val="00CC7A68"/>
    <w:rsid w:val="00CD01E2"/>
    <w:rsid w:val="00CD43B1"/>
    <w:rsid w:val="00CE04C9"/>
    <w:rsid w:val="00CE6B72"/>
    <w:rsid w:val="00CF21EA"/>
    <w:rsid w:val="00CF3D9E"/>
    <w:rsid w:val="00CF6D0D"/>
    <w:rsid w:val="00CF766F"/>
    <w:rsid w:val="00CF7B1D"/>
    <w:rsid w:val="00D04547"/>
    <w:rsid w:val="00D04A33"/>
    <w:rsid w:val="00D13CF1"/>
    <w:rsid w:val="00D1500D"/>
    <w:rsid w:val="00D2060F"/>
    <w:rsid w:val="00D218F0"/>
    <w:rsid w:val="00D24C56"/>
    <w:rsid w:val="00D24CEA"/>
    <w:rsid w:val="00D27AC9"/>
    <w:rsid w:val="00D3499F"/>
    <w:rsid w:val="00D37C0C"/>
    <w:rsid w:val="00D40C4F"/>
    <w:rsid w:val="00D41CDE"/>
    <w:rsid w:val="00D4232D"/>
    <w:rsid w:val="00D42DE0"/>
    <w:rsid w:val="00D438F7"/>
    <w:rsid w:val="00D444DD"/>
    <w:rsid w:val="00D45444"/>
    <w:rsid w:val="00D454A4"/>
    <w:rsid w:val="00D61ED5"/>
    <w:rsid w:val="00D66F60"/>
    <w:rsid w:val="00D70D21"/>
    <w:rsid w:val="00D72B21"/>
    <w:rsid w:val="00D77646"/>
    <w:rsid w:val="00D80C43"/>
    <w:rsid w:val="00D81C1A"/>
    <w:rsid w:val="00D83EE9"/>
    <w:rsid w:val="00D92586"/>
    <w:rsid w:val="00D9300E"/>
    <w:rsid w:val="00D931C4"/>
    <w:rsid w:val="00D955BD"/>
    <w:rsid w:val="00D95D66"/>
    <w:rsid w:val="00DC5D6F"/>
    <w:rsid w:val="00DD35F8"/>
    <w:rsid w:val="00DD40F8"/>
    <w:rsid w:val="00DD6732"/>
    <w:rsid w:val="00DE14BA"/>
    <w:rsid w:val="00DE1853"/>
    <w:rsid w:val="00DE226D"/>
    <w:rsid w:val="00DE7B0E"/>
    <w:rsid w:val="00DF6523"/>
    <w:rsid w:val="00DF6A93"/>
    <w:rsid w:val="00E006AA"/>
    <w:rsid w:val="00E02CBD"/>
    <w:rsid w:val="00E13B82"/>
    <w:rsid w:val="00E17905"/>
    <w:rsid w:val="00E20C28"/>
    <w:rsid w:val="00E22036"/>
    <w:rsid w:val="00E24D58"/>
    <w:rsid w:val="00E31E2C"/>
    <w:rsid w:val="00E321F6"/>
    <w:rsid w:val="00E359FE"/>
    <w:rsid w:val="00E400CD"/>
    <w:rsid w:val="00E401AC"/>
    <w:rsid w:val="00E40752"/>
    <w:rsid w:val="00E44841"/>
    <w:rsid w:val="00E474AC"/>
    <w:rsid w:val="00E50E45"/>
    <w:rsid w:val="00E53D58"/>
    <w:rsid w:val="00E54BD4"/>
    <w:rsid w:val="00E57FBF"/>
    <w:rsid w:val="00E60EBC"/>
    <w:rsid w:val="00E61C99"/>
    <w:rsid w:val="00E63F59"/>
    <w:rsid w:val="00E657FE"/>
    <w:rsid w:val="00E65C17"/>
    <w:rsid w:val="00E82F0D"/>
    <w:rsid w:val="00E8307E"/>
    <w:rsid w:val="00E836AD"/>
    <w:rsid w:val="00E83A67"/>
    <w:rsid w:val="00E85980"/>
    <w:rsid w:val="00E86AD8"/>
    <w:rsid w:val="00E8783E"/>
    <w:rsid w:val="00E90B2B"/>
    <w:rsid w:val="00E91923"/>
    <w:rsid w:val="00E92727"/>
    <w:rsid w:val="00E9283B"/>
    <w:rsid w:val="00E94025"/>
    <w:rsid w:val="00EA1AA6"/>
    <w:rsid w:val="00EA1D36"/>
    <w:rsid w:val="00EA223C"/>
    <w:rsid w:val="00EB06E3"/>
    <w:rsid w:val="00EB1562"/>
    <w:rsid w:val="00EB61DB"/>
    <w:rsid w:val="00EB74CE"/>
    <w:rsid w:val="00EC2353"/>
    <w:rsid w:val="00EC7B78"/>
    <w:rsid w:val="00ED37A1"/>
    <w:rsid w:val="00ED3D50"/>
    <w:rsid w:val="00ED57C9"/>
    <w:rsid w:val="00ED75FF"/>
    <w:rsid w:val="00EE0D92"/>
    <w:rsid w:val="00EE4E31"/>
    <w:rsid w:val="00EF18EA"/>
    <w:rsid w:val="00EF4E68"/>
    <w:rsid w:val="00EF5500"/>
    <w:rsid w:val="00F00E73"/>
    <w:rsid w:val="00F0516B"/>
    <w:rsid w:val="00F069D0"/>
    <w:rsid w:val="00F1286D"/>
    <w:rsid w:val="00F12D8A"/>
    <w:rsid w:val="00F13774"/>
    <w:rsid w:val="00F1493B"/>
    <w:rsid w:val="00F16D1A"/>
    <w:rsid w:val="00F178C1"/>
    <w:rsid w:val="00F31DB1"/>
    <w:rsid w:val="00F420BF"/>
    <w:rsid w:val="00F45406"/>
    <w:rsid w:val="00F45CD4"/>
    <w:rsid w:val="00F462AE"/>
    <w:rsid w:val="00F53A0C"/>
    <w:rsid w:val="00F5767C"/>
    <w:rsid w:val="00F63801"/>
    <w:rsid w:val="00F6418B"/>
    <w:rsid w:val="00F65600"/>
    <w:rsid w:val="00F65CE9"/>
    <w:rsid w:val="00F67D63"/>
    <w:rsid w:val="00F741BE"/>
    <w:rsid w:val="00F74A66"/>
    <w:rsid w:val="00F77523"/>
    <w:rsid w:val="00F81577"/>
    <w:rsid w:val="00F8186B"/>
    <w:rsid w:val="00F86685"/>
    <w:rsid w:val="00F87F81"/>
    <w:rsid w:val="00F926DA"/>
    <w:rsid w:val="00F947A4"/>
    <w:rsid w:val="00FA3FDF"/>
    <w:rsid w:val="00FA44AF"/>
    <w:rsid w:val="00FB00BD"/>
    <w:rsid w:val="00FB442B"/>
    <w:rsid w:val="00FB498C"/>
    <w:rsid w:val="00FB6045"/>
    <w:rsid w:val="00FB7639"/>
    <w:rsid w:val="00FC0043"/>
    <w:rsid w:val="00FC5456"/>
    <w:rsid w:val="00FC5F8F"/>
    <w:rsid w:val="00FD0B39"/>
    <w:rsid w:val="00FD35B2"/>
    <w:rsid w:val="00FD4A38"/>
    <w:rsid w:val="00FD56FA"/>
    <w:rsid w:val="00FD6626"/>
    <w:rsid w:val="00FD7CB3"/>
    <w:rsid w:val="00FE6A64"/>
    <w:rsid w:val="00FE6CBC"/>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DEBE0"/>
  <w15:chartTrackingRefBased/>
  <w15:docId w15:val="{448921C5-222B-47D8-AF7E-88218A74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color w:val="000000"/>
      <w:sz w:val="22"/>
    </w:rPr>
  </w:style>
  <w:style w:type="paragraph" w:styleId="Ttulo1">
    <w:name w:val="heading 1"/>
    <w:basedOn w:val="Normal"/>
    <w:next w:val="Normal"/>
    <w:link w:val="Ttulo1Car"/>
    <w:qFormat/>
    <w:pPr>
      <w:keepNext/>
      <w:spacing w:before="240" w:after="60"/>
      <w:outlineLvl w:val="0"/>
    </w:pPr>
    <w:rPr>
      <w:b/>
      <w:kern w:val="28"/>
      <w:sz w:val="28"/>
    </w:rPr>
  </w:style>
  <w:style w:type="paragraph" w:styleId="Ttulo2">
    <w:name w:val="heading 2"/>
    <w:basedOn w:val="Normal"/>
    <w:next w:val="Normal"/>
    <w:link w:val="Ttulo2Car"/>
    <w:qFormat/>
    <w:pPr>
      <w:keepNext/>
      <w:ind w:left="709" w:hanging="1"/>
      <w:outlineLvl w:val="1"/>
    </w:pPr>
    <w:rPr>
      <w:sz w:val="24"/>
    </w:rPr>
  </w:style>
  <w:style w:type="paragraph" w:styleId="Ttulo3">
    <w:name w:val="heading 3"/>
    <w:basedOn w:val="Normal"/>
    <w:next w:val="Normal"/>
    <w:link w:val="Ttulo3Car"/>
    <w:qFormat/>
    <w:pPr>
      <w:keepNext/>
      <w:ind w:firstLine="708"/>
      <w:outlineLvl w:val="2"/>
    </w:pPr>
    <w:rPr>
      <w:b/>
      <w:bCs/>
      <w:sz w:val="24"/>
    </w:rPr>
  </w:style>
  <w:style w:type="paragraph" w:styleId="Ttulo4">
    <w:name w:val="heading 4"/>
    <w:basedOn w:val="Normal"/>
    <w:next w:val="Normal"/>
    <w:link w:val="Ttulo4Car"/>
    <w:qFormat/>
    <w:pPr>
      <w:keepNext/>
      <w:jc w:val="center"/>
      <w:outlineLvl w:val="3"/>
    </w:pPr>
    <w:rPr>
      <w:i/>
    </w:rPr>
  </w:style>
  <w:style w:type="paragraph" w:styleId="Ttulo5">
    <w:name w:val="heading 5"/>
    <w:basedOn w:val="Normal"/>
    <w:next w:val="Normal"/>
    <w:link w:val="Ttulo5Car"/>
    <w:qFormat/>
    <w:pPr>
      <w:keepNext/>
      <w:outlineLvl w:val="4"/>
    </w:pPr>
    <w:rPr>
      <w:rFonts w:ascii="Bookman Old Style" w:hAnsi="Bookman Old Style"/>
      <w:b/>
      <w:i/>
      <w:sz w:val="24"/>
      <w:lang w:val="es-ES"/>
    </w:rPr>
  </w:style>
  <w:style w:type="paragraph" w:styleId="Ttulo6">
    <w:name w:val="heading 6"/>
    <w:basedOn w:val="Normal"/>
    <w:next w:val="Normal"/>
    <w:link w:val="Ttulo6Car"/>
    <w:uiPriority w:val="99"/>
    <w:qFormat/>
    <w:pPr>
      <w:keepNext/>
      <w:spacing w:after="120"/>
      <w:outlineLvl w:val="5"/>
    </w:pPr>
    <w:rPr>
      <w:rFonts w:ascii="Bookman Old Style" w:hAnsi="Bookman Old Style"/>
      <w:i/>
    </w:rPr>
  </w:style>
  <w:style w:type="paragraph" w:styleId="Ttulo7">
    <w:name w:val="heading 7"/>
    <w:basedOn w:val="Normal"/>
    <w:next w:val="Normal"/>
    <w:link w:val="Ttulo7Car"/>
    <w:qFormat/>
    <w:pPr>
      <w:keepNext/>
      <w:widowControl w:val="0"/>
      <w:autoSpaceDE w:val="0"/>
      <w:autoSpaceDN w:val="0"/>
      <w:ind w:firstLine="709"/>
      <w:jc w:val="center"/>
      <w:outlineLvl w:val="6"/>
    </w:pPr>
    <w:rPr>
      <w:rFonts w:ascii="Arial Narrow" w:hAnsi="Arial Narrow" w:cs="Tahoma"/>
      <w:b/>
      <w:bCs/>
      <w:sz w:val="24"/>
      <w:szCs w:val="22"/>
    </w:rPr>
  </w:style>
  <w:style w:type="paragraph" w:styleId="Ttulo8">
    <w:name w:val="heading 8"/>
    <w:basedOn w:val="Normal"/>
    <w:next w:val="Normal"/>
    <w:link w:val="Ttulo8Car"/>
    <w:qFormat/>
    <w:pPr>
      <w:keepNext/>
      <w:jc w:val="center"/>
      <w:outlineLvl w:val="7"/>
    </w:pPr>
    <w:rPr>
      <w:b/>
      <w:i/>
      <w:sz w:val="26"/>
      <w:lang w:val="es-ES"/>
    </w:rPr>
  </w:style>
  <w:style w:type="paragraph" w:styleId="Ttulo9">
    <w:name w:val="heading 9"/>
    <w:basedOn w:val="Normal"/>
    <w:next w:val="Normal"/>
    <w:link w:val="Ttulo9Car"/>
    <w:qFormat/>
    <w:pPr>
      <w:keepNext/>
      <w:outlineLvl w:val="8"/>
    </w:pPr>
    <w:rPr>
      <w:rFonts w:ascii="Arial Narrow" w:hAnsi="Arial Narrow" w:cs="Tahoma"/>
      <w:b/>
      <w:bCs/>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Ttulo">
    <w:name w:val="Title"/>
    <w:basedOn w:val="Normal"/>
    <w:link w:val="PuestoCar"/>
    <w:qFormat/>
    <w:pPr>
      <w:jc w:val="center"/>
    </w:pPr>
    <w:rPr>
      <w:b/>
    </w:rPr>
  </w:style>
  <w:style w:type="paragraph" w:styleId="Textoindependiente">
    <w:name w:val="Body Text"/>
    <w:basedOn w:val="Normal"/>
    <w:link w:val="TextoindependienteCar"/>
    <w:qFormat/>
    <w:rPr>
      <w:sz w:val="24"/>
    </w:rPr>
  </w:style>
  <w:style w:type="paragraph" w:styleId="Subttulo">
    <w:name w:val="Subtitle"/>
    <w:basedOn w:val="Normal"/>
    <w:link w:val="SubttuloCar"/>
    <w:qFormat/>
    <w:pPr>
      <w:spacing w:after="60"/>
      <w:jc w:val="center"/>
      <w:outlineLvl w:val="1"/>
    </w:pPr>
    <w:rPr>
      <w:sz w:val="24"/>
    </w:rPr>
  </w:style>
  <w:style w:type="paragraph" w:styleId="Textoindependiente2">
    <w:name w:val="Body Text 2"/>
    <w:basedOn w:val="Normal"/>
    <w:link w:val="Textoindependiente2Car"/>
    <w:pPr>
      <w:tabs>
        <w:tab w:val="left" w:pos="1134"/>
      </w:tabs>
    </w:pPr>
    <w:rPr>
      <w:i/>
      <w:sz w:val="24"/>
    </w:rPr>
  </w:style>
  <w:style w:type="paragraph" w:styleId="Sangradetextonormal">
    <w:name w:val="Body Text Indent"/>
    <w:basedOn w:val="Normal"/>
    <w:link w:val="SangradetextonormalCar"/>
    <w:uiPriority w:val="99"/>
    <w:pPr>
      <w:ind w:firstLine="708"/>
    </w:pPr>
    <w:rPr>
      <w:bCs/>
      <w:caps/>
      <w:sz w:val="24"/>
      <w:lang w:val="es-ES"/>
    </w:rPr>
  </w:style>
  <w:style w:type="paragraph" w:styleId="Textoindependiente3">
    <w:name w:val="Body Text 3"/>
    <w:basedOn w:val="Normal"/>
    <w:link w:val="Textoindependiente3Car"/>
    <w:rPr>
      <w:smallCaps/>
      <w:lang w:val="es-ES"/>
    </w:rPr>
  </w:style>
  <w:style w:type="paragraph" w:styleId="Sangra2detindependiente">
    <w:name w:val="Body Text Indent 2"/>
    <w:basedOn w:val="Normal"/>
    <w:link w:val="Sangra2detindependienteCar"/>
    <w:pPr>
      <w:ind w:left="4956" w:hanging="4956"/>
    </w:pPr>
    <w:rPr>
      <w:sz w:val="26"/>
    </w:rPr>
  </w:style>
  <w:style w:type="paragraph" w:styleId="Sangra3detindependiente">
    <w:name w:val="Body Text Indent 3"/>
    <w:basedOn w:val="Normal"/>
    <w:link w:val="Sangra3detindependienteCar"/>
    <w:pPr>
      <w:ind w:firstLine="708"/>
    </w:pPr>
  </w:style>
  <w:style w:type="paragraph" w:styleId="Encabezado">
    <w:name w:val="header"/>
    <w:basedOn w:val="Normal"/>
    <w:link w:val="EncabezadoCar"/>
    <w:uiPriority w:val="99"/>
    <w:pPr>
      <w:tabs>
        <w:tab w:val="center" w:pos="4252"/>
        <w:tab w:val="right" w:pos="8504"/>
      </w:tabs>
    </w:pPr>
    <w:rPr>
      <w:lang w:val="es-ES"/>
    </w:rPr>
  </w:style>
  <w:style w:type="character" w:styleId="Hipervnculo">
    <w:name w:val="Hyperlink"/>
    <w:uiPriority w:val="99"/>
    <w:rPr>
      <w:color w:val="0000FF"/>
      <w:u w:val="single"/>
    </w:rPr>
  </w:style>
  <w:style w:type="paragraph" w:customStyle="1" w:styleId="normsmall">
    <w:name w:val="normsmall"/>
    <w:basedOn w:val="Normal"/>
    <w:pPr>
      <w:spacing w:before="100" w:beforeAutospacing="1" w:after="100" w:afterAutospacing="1"/>
    </w:pPr>
    <w:rPr>
      <w:rFonts w:eastAsia="Arial Unicode MS" w:cs="Arial"/>
      <w:lang w:val="es-ES"/>
    </w:rPr>
  </w:style>
  <w:style w:type="paragraph" w:styleId="Textonotapie">
    <w:name w:val="footnote text"/>
    <w:basedOn w:val="Normal"/>
    <w:semiHidden/>
  </w:style>
  <w:style w:type="paragraph" w:customStyle="1" w:styleId="Texto">
    <w:name w:val="Texto"/>
    <w:basedOn w:val="Normal"/>
    <w:link w:val="TextoCar"/>
    <w:qFormat/>
    <w:pPr>
      <w:spacing w:after="101" w:line="216" w:lineRule="exact"/>
      <w:ind w:firstLine="288"/>
    </w:pPr>
    <w:rPr>
      <w:rFonts w:cs="Arial"/>
      <w:sz w:val="18"/>
      <w:szCs w:val="18"/>
      <w:lang w:val="es-ES"/>
    </w:rPr>
  </w:style>
  <w:style w:type="paragraph" w:customStyle="1" w:styleId="Anotacion">
    <w:name w:val="Anotacion"/>
    <w:basedOn w:val="Normal"/>
    <w:pPr>
      <w:spacing w:before="101" w:after="101"/>
      <w:jc w:val="center"/>
    </w:pPr>
    <w:rPr>
      <w:rFonts w:cs="Arial"/>
      <w:b/>
      <w:sz w:val="18"/>
      <w:szCs w:val="18"/>
      <w:lang w:val="es-ES"/>
    </w:rPr>
  </w:style>
  <w:style w:type="paragraph" w:customStyle="1" w:styleId="ROMANOS">
    <w:name w:val="ROMANOS"/>
    <w:basedOn w:val="Normal"/>
    <w:pPr>
      <w:tabs>
        <w:tab w:val="left" w:pos="720"/>
      </w:tabs>
      <w:spacing w:after="101" w:line="216" w:lineRule="exact"/>
      <w:ind w:left="720" w:hanging="432"/>
    </w:pPr>
    <w:rPr>
      <w:rFonts w:cs="Arial"/>
      <w:sz w:val="18"/>
      <w:szCs w:val="18"/>
      <w:lang w:val="es-ES"/>
    </w:rPr>
  </w:style>
  <w:style w:type="paragraph" w:styleId="Piedepgina">
    <w:name w:val="footer"/>
    <w:basedOn w:val="Normal"/>
    <w:link w:val="PiedepginaCar"/>
    <w:uiPriority w:val="99"/>
    <w:pPr>
      <w:tabs>
        <w:tab w:val="center" w:pos="4252"/>
        <w:tab w:val="right" w:pos="8504"/>
      </w:tabs>
    </w:pPr>
    <w:rPr>
      <w:sz w:val="24"/>
      <w:szCs w:val="24"/>
      <w:lang w:val="es-ES"/>
    </w:rPr>
  </w:style>
  <w:style w:type="paragraph" w:styleId="NormalWeb">
    <w:name w:val="Normal (Web)"/>
    <w:basedOn w:val="Normal"/>
    <w:uiPriority w:val="99"/>
    <w:pPr>
      <w:spacing w:before="100" w:beforeAutospacing="1" w:after="100" w:afterAutospacing="1"/>
    </w:pPr>
    <w:rPr>
      <w:rFonts w:ascii="Arial Unicode MS" w:eastAsia="Arial Unicode MS" w:hAnsi="Arial Unicode MS" w:hint="eastAsia"/>
      <w:sz w:val="24"/>
      <w:szCs w:val="24"/>
      <w:lang w:val="es-ES"/>
    </w:rPr>
  </w:style>
  <w:style w:type="paragraph" w:styleId="Textosinformato">
    <w:name w:val="Plain Text"/>
    <w:basedOn w:val="Normal"/>
    <w:link w:val="TextosinformatoCar"/>
    <w:rPr>
      <w:rFonts w:ascii="Courier New" w:hAnsi="Courier New" w:cs="Courier New"/>
      <w:lang w:val="es-ES"/>
    </w:rPr>
  </w:style>
  <w:style w:type="character" w:styleId="Nmerodepgina">
    <w:name w:val="page number"/>
    <w:basedOn w:val="Fuentedeprrafopredeter"/>
  </w:style>
  <w:style w:type="paragraph" w:customStyle="1" w:styleId="Textoindependiente21">
    <w:name w:val="Texto independiente 21"/>
    <w:basedOn w:val="Normal"/>
    <w:rsid w:val="007A0126"/>
    <w:pPr>
      <w:suppressAutoHyphens/>
    </w:pPr>
    <w:rPr>
      <w:caps/>
      <w:lang w:eastAsia="ar-SA"/>
    </w:rPr>
  </w:style>
  <w:style w:type="character" w:customStyle="1" w:styleId="WW8Num2z1">
    <w:name w:val="WW8Num2z1"/>
    <w:rsid w:val="00AC372A"/>
    <w:rPr>
      <w:rFonts w:ascii="Courier New" w:hAnsi="Courier New"/>
    </w:rPr>
  </w:style>
  <w:style w:type="paragraph" w:styleId="Textodeglobo">
    <w:name w:val="Balloon Text"/>
    <w:basedOn w:val="Normal"/>
    <w:link w:val="TextodegloboCar"/>
    <w:uiPriority w:val="99"/>
    <w:semiHidden/>
    <w:rsid w:val="009A14B4"/>
    <w:rPr>
      <w:rFonts w:ascii="Tahoma" w:hAnsi="Tahoma" w:cs="Tahoma"/>
      <w:sz w:val="16"/>
      <w:szCs w:val="16"/>
    </w:rPr>
  </w:style>
  <w:style w:type="character" w:customStyle="1" w:styleId="WW8Num2z2">
    <w:name w:val="WW8Num2z2"/>
    <w:rsid w:val="00967558"/>
    <w:rPr>
      <w:rFonts w:ascii="Wingdings" w:hAnsi="Wingdings"/>
    </w:rPr>
  </w:style>
  <w:style w:type="character" w:customStyle="1" w:styleId="WW8Num1z2">
    <w:name w:val="WW8Num1z2"/>
    <w:rsid w:val="00B16490"/>
    <w:rPr>
      <w:rFonts w:ascii="Wingdings" w:hAnsi="Wingdings"/>
    </w:rPr>
  </w:style>
  <w:style w:type="character" w:customStyle="1" w:styleId="WW8Num3z0">
    <w:name w:val="WW8Num3z0"/>
    <w:rsid w:val="002650F7"/>
    <w:rPr>
      <w:rFonts w:ascii="Symbol" w:hAnsi="Symbol"/>
    </w:rPr>
  </w:style>
  <w:style w:type="character" w:customStyle="1" w:styleId="WW-Absatz-Standardschriftart11">
    <w:name w:val="WW-Absatz-Standardschriftart11"/>
    <w:rsid w:val="005B47B9"/>
  </w:style>
  <w:style w:type="paragraph" w:customStyle="1" w:styleId="a">
    <w:basedOn w:val="Normal"/>
    <w:next w:val="Sangradetextonormal"/>
    <w:rsid w:val="00A47812"/>
    <w:pPr>
      <w:ind w:firstLine="708"/>
    </w:pPr>
    <w:rPr>
      <w:bCs/>
      <w:caps/>
      <w:sz w:val="24"/>
      <w:lang w:val="es-ES"/>
    </w:rPr>
  </w:style>
  <w:style w:type="character" w:customStyle="1" w:styleId="EncabezadoCar">
    <w:name w:val="Encabezado Car"/>
    <w:link w:val="Encabezado"/>
    <w:uiPriority w:val="99"/>
    <w:rsid w:val="00FE6CBC"/>
    <w:rPr>
      <w:lang w:val="es-ES" w:eastAsia="es-ES"/>
    </w:rPr>
  </w:style>
  <w:style w:type="paragraph" w:styleId="Prrafodelista">
    <w:name w:val="List Paragraph"/>
    <w:basedOn w:val="Normal"/>
    <w:link w:val="PrrafodelistaCar"/>
    <w:uiPriority w:val="34"/>
    <w:qFormat/>
    <w:rsid w:val="00077727"/>
    <w:pPr>
      <w:spacing w:after="200" w:line="276" w:lineRule="auto"/>
      <w:ind w:left="720"/>
      <w:contextualSpacing/>
    </w:pPr>
    <w:rPr>
      <w:rFonts w:ascii="Calibri" w:eastAsia="Calibri" w:hAnsi="Calibri"/>
      <w:szCs w:val="22"/>
      <w:lang w:eastAsia="en-US"/>
    </w:rPr>
  </w:style>
  <w:style w:type="paragraph" w:customStyle="1" w:styleId="Default">
    <w:name w:val="Default"/>
    <w:rsid w:val="00201844"/>
    <w:pPr>
      <w:autoSpaceDE w:val="0"/>
      <w:autoSpaceDN w:val="0"/>
      <w:adjustRightInd w:val="0"/>
      <w:spacing w:line="360" w:lineRule="auto"/>
      <w:jc w:val="both"/>
    </w:pPr>
    <w:rPr>
      <w:rFonts w:ascii="Century Gothic" w:hAnsi="Century Gothic" w:cs="Century Gothic"/>
      <w:color w:val="000000"/>
      <w:sz w:val="24"/>
      <w:szCs w:val="24"/>
      <w:lang w:val="es-ES" w:eastAsia="es-ES"/>
    </w:rPr>
  </w:style>
  <w:style w:type="table" w:styleId="Tablaconcuadrcula">
    <w:name w:val="Table Grid"/>
    <w:basedOn w:val="Tablanormal"/>
    <w:uiPriority w:val="39"/>
    <w:rsid w:val="002B042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E006AA"/>
    <w:pPr>
      <w:spacing w:before="200" w:after="160"/>
      <w:ind w:left="864" w:right="864"/>
      <w:jc w:val="center"/>
    </w:pPr>
    <w:rPr>
      <w:i/>
      <w:iCs/>
      <w:color w:val="404040"/>
      <w:sz w:val="24"/>
      <w:szCs w:val="24"/>
      <w:lang w:val="es-ES"/>
    </w:rPr>
  </w:style>
  <w:style w:type="character" w:customStyle="1" w:styleId="CitaCar">
    <w:name w:val="Cita Car"/>
    <w:link w:val="Cita"/>
    <w:uiPriority w:val="29"/>
    <w:rsid w:val="00E006AA"/>
    <w:rPr>
      <w:i/>
      <w:iCs/>
      <w:color w:val="404040"/>
      <w:sz w:val="24"/>
      <w:szCs w:val="24"/>
      <w:lang w:val="es-ES" w:eastAsia="es-ES"/>
    </w:rPr>
  </w:style>
  <w:style w:type="character" w:customStyle="1" w:styleId="PiedepginaCar">
    <w:name w:val="Pie de página Car"/>
    <w:link w:val="Piedepgina"/>
    <w:uiPriority w:val="99"/>
    <w:rsid w:val="00B24DCC"/>
    <w:rPr>
      <w:sz w:val="24"/>
      <w:szCs w:val="24"/>
      <w:lang w:val="es-ES" w:eastAsia="es-ES"/>
    </w:rPr>
  </w:style>
  <w:style w:type="table" w:customStyle="1" w:styleId="TableNormal">
    <w:name w:val="Table Normal"/>
    <w:uiPriority w:val="2"/>
    <w:semiHidden/>
    <w:unhideWhenUsed/>
    <w:qFormat/>
    <w:rsid w:val="00B24DCC"/>
    <w:pPr>
      <w:widowControl w:val="0"/>
      <w:spacing w:line="360" w:lineRule="auto"/>
      <w:jc w:val="both"/>
    </w:pPr>
    <w:rPr>
      <w:rFonts w:ascii="Calibri" w:eastAsia="Calibri" w:hAnsi="Calibri"/>
      <w:color w:val="000000"/>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DCC"/>
    <w:pPr>
      <w:widowControl w:val="0"/>
    </w:pPr>
    <w:rPr>
      <w:rFonts w:ascii="Calibri" w:eastAsia="Calibri" w:hAnsi="Calibri"/>
      <w:szCs w:val="22"/>
      <w:lang w:eastAsia="en-US"/>
    </w:rPr>
  </w:style>
  <w:style w:type="character" w:customStyle="1" w:styleId="TextoindependienteCar">
    <w:name w:val="Texto independiente Car"/>
    <w:link w:val="Textoindependiente"/>
    <w:rsid w:val="00B24DCC"/>
    <w:rPr>
      <w:sz w:val="24"/>
      <w:lang w:val="es-ES_tradnl" w:eastAsia="es-ES"/>
    </w:rPr>
  </w:style>
  <w:style w:type="character" w:customStyle="1" w:styleId="TextodegloboCar">
    <w:name w:val="Texto de globo Car"/>
    <w:link w:val="Textodeglobo"/>
    <w:uiPriority w:val="99"/>
    <w:semiHidden/>
    <w:rsid w:val="00B24DCC"/>
    <w:rPr>
      <w:rFonts w:ascii="Tahoma" w:hAnsi="Tahoma" w:cs="Tahoma"/>
      <w:sz w:val="16"/>
      <w:szCs w:val="16"/>
      <w:lang w:val="es-ES_tradnl" w:eastAsia="es-ES"/>
    </w:rPr>
  </w:style>
  <w:style w:type="character" w:customStyle="1" w:styleId="Ttulo1Car">
    <w:name w:val="Título 1 Car"/>
    <w:link w:val="Ttulo1"/>
    <w:rsid w:val="00B24DCC"/>
    <w:rPr>
      <w:rFonts w:ascii="Arial" w:hAnsi="Arial"/>
      <w:b/>
      <w:kern w:val="28"/>
      <w:sz w:val="28"/>
      <w:lang w:val="es-ES_tradnl" w:eastAsia="es-ES"/>
    </w:rPr>
  </w:style>
  <w:style w:type="character" w:customStyle="1" w:styleId="Ttulo2Car">
    <w:name w:val="Título 2 Car"/>
    <w:link w:val="Ttulo2"/>
    <w:rsid w:val="00B24DCC"/>
    <w:rPr>
      <w:sz w:val="24"/>
      <w:lang w:val="es-ES_tradnl" w:eastAsia="es-ES"/>
    </w:rPr>
  </w:style>
  <w:style w:type="character" w:customStyle="1" w:styleId="Ttulo3Car">
    <w:name w:val="Título 3 Car"/>
    <w:link w:val="Ttulo3"/>
    <w:rsid w:val="00B24DCC"/>
    <w:rPr>
      <w:b/>
      <w:bCs/>
      <w:sz w:val="24"/>
      <w:lang w:val="es-ES_tradnl" w:eastAsia="es-ES"/>
    </w:rPr>
  </w:style>
  <w:style w:type="character" w:customStyle="1" w:styleId="Ttulo4Car">
    <w:name w:val="Título 4 Car"/>
    <w:link w:val="Ttulo4"/>
    <w:rsid w:val="00B24DCC"/>
    <w:rPr>
      <w:i/>
      <w:lang w:val="es-ES_tradnl" w:eastAsia="es-ES"/>
    </w:rPr>
  </w:style>
  <w:style w:type="character" w:customStyle="1" w:styleId="Ttulo5Car">
    <w:name w:val="Título 5 Car"/>
    <w:link w:val="Ttulo5"/>
    <w:rsid w:val="00B24DCC"/>
    <w:rPr>
      <w:rFonts w:ascii="Bookman Old Style" w:hAnsi="Bookman Old Style"/>
      <w:b/>
      <w:i/>
      <w:sz w:val="24"/>
      <w:lang w:val="es-ES" w:eastAsia="es-ES"/>
    </w:rPr>
  </w:style>
  <w:style w:type="character" w:customStyle="1" w:styleId="Ttulo6Car">
    <w:name w:val="Título 6 Car"/>
    <w:link w:val="Ttulo6"/>
    <w:uiPriority w:val="99"/>
    <w:rsid w:val="00B24DCC"/>
    <w:rPr>
      <w:rFonts w:ascii="Bookman Old Style" w:hAnsi="Bookman Old Style"/>
      <w:i/>
      <w:lang w:val="es-ES_tradnl" w:eastAsia="es-ES"/>
    </w:rPr>
  </w:style>
  <w:style w:type="numbering" w:customStyle="1" w:styleId="Sinlista1">
    <w:name w:val="Sin lista1"/>
    <w:next w:val="Sinlista"/>
    <w:uiPriority w:val="99"/>
    <w:semiHidden/>
    <w:unhideWhenUsed/>
    <w:rsid w:val="00B24DCC"/>
  </w:style>
  <w:style w:type="table" w:customStyle="1" w:styleId="TableNormal1">
    <w:name w:val="Table Normal1"/>
    <w:rsid w:val="00B24DCC"/>
    <w:pPr>
      <w:spacing w:line="360" w:lineRule="auto"/>
      <w:jc w:val="both"/>
    </w:pPr>
    <w:rPr>
      <w:color w:val="000000"/>
      <w:sz w:val="22"/>
    </w:rPr>
    <w:tblPr>
      <w:tblCellMar>
        <w:top w:w="0" w:type="dxa"/>
        <w:left w:w="0" w:type="dxa"/>
        <w:bottom w:w="0" w:type="dxa"/>
        <w:right w:w="0" w:type="dxa"/>
      </w:tblCellMar>
    </w:tblPr>
  </w:style>
  <w:style w:type="character" w:customStyle="1" w:styleId="PuestoCar">
    <w:name w:val="Puesto Car"/>
    <w:link w:val="Ttulo"/>
    <w:rsid w:val="00B24DCC"/>
    <w:rPr>
      <w:b/>
      <w:lang w:val="es-ES_tradnl" w:eastAsia="es-ES"/>
    </w:rPr>
  </w:style>
  <w:style w:type="character" w:customStyle="1" w:styleId="SubttuloCar">
    <w:name w:val="Subtítulo Car"/>
    <w:link w:val="Subttulo"/>
    <w:rsid w:val="00B24DCC"/>
    <w:rPr>
      <w:rFonts w:ascii="Arial" w:hAnsi="Arial"/>
      <w:sz w:val="24"/>
      <w:lang w:val="es-ES_tradnl" w:eastAsia="es-ES"/>
    </w:rPr>
  </w:style>
  <w:style w:type="character" w:customStyle="1" w:styleId="Ttulo7Car">
    <w:name w:val="Título 7 Car"/>
    <w:link w:val="Ttulo7"/>
    <w:rsid w:val="00F6418B"/>
    <w:rPr>
      <w:rFonts w:ascii="Arial Narrow" w:hAnsi="Arial Narrow" w:cs="Tahoma"/>
      <w:b/>
      <w:bCs/>
      <w:sz w:val="24"/>
      <w:szCs w:val="22"/>
      <w:lang w:val="es-ES_tradnl" w:eastAsia="es-ES"/>
    </w:rPr>
  </w:style>
  <w:style w:type="character" w:customStyle="1" w:styleId="Ttulo8Car">
    <w:name w:val="Título 8 Car"/>
    <w:link w:val="Ttulo8"/>
    <w:rsid w:val="00F6418B"/>
    <w:rPr>
      <w:b/>
      <w:i/>
      <w:sz w:val="26"/>
      <w:lang w:val="es-ES" w:eastAsia="es-ES"/>
    </w:rPr>
  </w:style>
  <w:style w:type="character" w:customStyle="1" w:styleId="Ttulo9Car">
    <w:name w:val="Título 9 Car"/>
    <w:link w:val="Ttulo9"/>
    <w:rsid w:val="00F6418B"/>
    <w:rPr>
      <w:rFonts w:ascii="Arial Narrow" w:hAnsi="Arial Narrow" w:cs="Tahoma"/>
      <w:b/>
      <w:bCs/>
      <w:sz w:val="18"/>
      <w:lang w:val="es-ES_tradnl" w:eastAsia="es-ES"/>
    </w:rPr>
  </w:style>
  <w:style w:type="character" w:customStyle="1" w:styleId="SangradetextonormalCar">
    <w:name w:val="Sangría de texto normal Car"/>
    <w:link w:val="Sangradetextonormal"/>
    <w:uiPriority w:val="99"/>
    <w:rsid w:val="00F6418B"/>
    <w:rPr>
      <w:bCs/>
      <w:caps/>
      <w:sz w:val="24"/>
      <w:lang w:val="es-ES" w:eastAsia="es-ES"/>
    </w:rPr>
  </w:style>
  <w:style w:type="character" w:customStyle="1" w:styleId="Textoindependiente3Car">
    <w:name w:val="Texto independiente 3 Car"/>
    <w:link w:val="Textoindependiente3"/>
    <w:rsid w:val="00F6418B"/>
    <w:rPr>
      <w:rFonts w:ascii="Arial" w:hAnsi="Arial"/>
      <w:smallCaps/>
      <w:sz w:val="22"/>
      <w:lang w:val="es-ES" w:eastAsia="es-ES"/>
    </w:rPr>
  </w:style>
  <w:style w:type="character" w:customStyle="1" w:styleId="Sangra3detindependienteCar">
    <w:name w:val="Sangría 3 de t. independiente Car"/>
    <w:link w:val="Sangra3detindependiente"/>
    <w:rsid w:val="00F6418B"/>
    <w:rPr>
      <w:sz w:val="22"/>
      <w:lang w:val="es-ES_tradnl" w:eastAsia="es-ES"/>
    </w:rPr>
  </w:style>
  <w:style w:type="character" w:customStyle="1" w:styleId="Sangra2detindependienteCar">
    <w:name w:val="Sangría 2 de t. independiente Car"/>
    <w:link w:val="Sangra2detindependiente"/>
    <w:rsid w:val="00F6418B"/>
    <w:rPr>
      <w:sz w:val="26"/>
      <w:lang w:val="es-ES_tradnl" w:eastAsia="es-ES"/>
    </w:rPr>
  </w:style>
  <w:style w:type="character" w:customStyle="1" w:styleId="Textoindependiente2Car">
    <w:name w:val="Texto independiente 2 Car"/>
    <w:link w:val="Textoindependiente2"/>
    <w:rsid w:val="00F6418B"/>
    <w:rPr>
      <w:i/>
      <w:sz w:val="24"/>
      <w:lang w:val="es-ES_tradnl" w:eastAsia="es-ES"/>
    </w:rPr>
  </w:style>
  <w:style w:type="paragraph" w:customStyle="1" w:styleId="xl25">
    <w:name w:val="xl25"/>
    <w:basedOn w:val="Normal"/>
    <w:rsid w:val="00F6418B"/>
    <w:pPr>
      <w:spacing w:before="100" w:beforeAutospacing="1" w:after="100" w:afterAutospacing="1"/>
    </w:pPr>
    <w:rPr>
      <w:rFonts w:eastAsia="Arial Unicode MS" w:cs="Arial"/>
      <w:sz w:val="14"/>
      <w:szCs w:val="14"/>
      <w:lang w:val="es-ES"/>
    </w:rPr>
  </w:style>
  <w:style w:type="paragraph" w:customStyle="1" w:styleId="xl24">
    <w:name w:val="xl24"/>
    <w:basedOn w:val="Normal"/>
    <w:rsid w:val="00F6418B"/>
    <w:pPr>
      <w:spacing w:before="100" w:beforeAutospacing="1" w:after="100" w:afterAutospacing="1"/>
    </w:pPr>
    <w:rPr>
      <w:rFonts w:eastAsia="Arial Unicode MS" w:cs="Arial"/>
      <w:sz w:val="14"/>
      <w:szCs w:val="14"/>
      <w:lang w:val="es-ES"/>
    </w:rPr>
  </w:style>
  <w:style w:type="paragraph" w:customStyle="1" w:styleId="xl26">
    <w:name w:val="xl26"/>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4"/>
      <w:szCs w:val="14"/>
      <w:lang w:val="es-ES"/>
    </w:rPr>
  </w:style>
  <w:style w:type="paragraph" w:customStyle="1" w:styleId="xl27">
    <w:name w:val="xl27"/>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4"/>
      <w:szCs w:val="14"/>
      <w:lang w:val="es-ES"/>
    </w:rPr>
  </w:style>
  <w:style w:type="paragraph" w:customStyle="1" w:styleId="xl28">
    <w:name w:val="xl2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sz w:val="14"/>
      <w:szCs w:val="14"/>
      <w:lang w:val="es-ES"/>
    </w:rPr>
  </w:style>
  <w:style w:type="paragraph" w:customStyle="1" w:styleId="xl29">
    <w:name w:val="xl29"/>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sz w:val="14"/>
      <w:szCs w:val="14"/>
      <w:lang w:val="es-ES"/>
    </w:rPr>
  </w:style>
  <w:style w:type="paragraph" w:customStyle="1" w:styleId="xl30">
    <w:name w:val="xl30"/>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eastAsia="Arial Unicode MS" w:cs="Arial"/>
      <w:b/>
      <w:bCs/>
      <w:sz w:val="14"/>
      <w:szCs w:val="14"/>
      <w:lang w:val="es-ES"/>
    </w:rPr>
  </w:style>
  <w:style w:type="paragraph" w:customStyle="1" w:styleId="xl31">
    <w:name w:val="xl31"/>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4"/>
      <w:szCs w:val="14"/>
      <w:lang w:val="es-ES"/>
    </w:rPr>
  </w:style>
  <w:style w:type="paragraph" w:customStyle="1" w:styleId="xl32">
    <w:name w:val="xl32"/>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sz w:val="14"/>
      <w:szCs w:val="14"/>
      <w:lang w:val="es-ES"/>
    </w:rPr>
  </w:style>
  <w:style w:type="paragraph" w:customStyle="1" w:styleId="xl33">
    <w:name w:val="xl33"/>
    <w:basedOn w:val="Normal"/>
    <w:rsid w:val="00F6418B"/>
    <w:pPr>
      <w:spacing w:before="100" w:beforeAutospacing="1" w:after="100" w:afterAutospacing="1"/>
    </w:pPr>
    <w:rPr>
      <w:rFonts w:eastAsia="Arial Unicode MS" w:cs="Arial"/>
      <w:sz w:val="14"/>
      <w:szCs w:val="14"/>
      <w:lang w:val="es-ES"/>
    </w:rPr>
  </w:style>
  <w:style w:type="paragraph" w:customStyle="1" w:styleId="xl34">
    <w:name w:val="xl34"/>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4"/>
      <w:szCs w:val="14"/>
      <w:lang w:val="es-ES"/>
    </w:rPr>
  </w:style>
  <w:style w:type="paragraph" w:customStyle="1" w:styleId="xl35">
    <w:name w:val="xl35"/>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cs="Arial"/>
      <w:sz w:val="14"/>
      <w:szCs w:val="14"/>
      <w:lang w:val="es-ES"/>
    </w:rPr>
  </w:style>
  <w:style w:type="paragraph" w:customStyle="1" w:styleId="xl36">
    <w:name w:val="xl36"/>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cs="Arial"/>
      <w:sz w:val="14"/>
      <w:szCs w:val="14"/>
      <w:lang w:val="es-ES"/>
    </w:rPr>
  </w:style>
  <w:style w:type="paragraph" w:customStyle="1" w:styleId="xl37">
    <w:name w:val="xl37"/>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cs="Arial"/>
      <w:sz w:val="14"/>
      <w:szCs w:val="14"/>
      <w:lang w:val="es-ES"/>
    </w:rPr>
  </w:style>
  <w:style w:type="paragraph" w:customStyle="1" w:styleId="xl38">
    <w:name w:val="xl3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sz w:val="14"/>
      <w:szCs w:val="14"/>
      <w:lang w:val="es-ES"/>
    </w:rPr>
  </w:style>
  <w:style w:type="paragraph" w:customStyle="1" w:styleId="xl22">
    <w:name w:val="xl22"/>
    <w:basedOn w:val="Normal"/>
    <w:uiPriority w:val="99"/>
    <w:rsid w:val="00F6418B"/>
    <w:pPr>
      <w:spacing w:before="100" w:beforeAutospacing="1" w:after="100" w:afterAutospacing="1"/>
      <w:jc w:val="center"/>
    </w:pPr>
    <w:rPr>
      <w:sz w:val="24"/>
      <w:szCs w:val="24"/>
      <w:lang w:val="es-ES"/>
    </w:rPr>
  </w:style>
  <w:style w:type="character" w:styleId="Refdecomentario">
    <w:name w:val="annotation reference"/>
    <w:uiPriority w:val="99"/>
    <w:unhideWhenUsed/>
    <w:rsid w:val="00F6418B"/>
    <w:rPr>
      <w:sz w:val="16"/>
      <w:szCs w:val="16"/>
    </w:rPr>
  </w:style>
  <w:style w:type="paragraph" w:styleId="Textocomentario">
    <w:name w:val="annotation text"/>
    <w:basedOn w:val="Normal"/>
    <w:link w:val="TextocomentarioCar"/>
    <w:uiPriority w:val="99"/>
    <w:unhideWhenUsed/>
    <w:rsid w:val="00F6418B"/>
    <w:rPr>
      <w:lang w:val="es-ES"/>
    </w:rPr>
  </w:style>
  <w:style w:type="character" w:customStyle="1" w:styleId="TextocomentarioCar">
    <w:name w:val="Texto comentario Car"/>
    <w:link w:val="Textocomentario"/>
    <w:uiPriority w:val="99"/>
    <w:rsid w:val="00F6418B"/>
    <w:rPr>
      <w:lang w:val="es-ES" w:eastAsia="es-ES"/>
    </w:rPr>
  </w:style>
  <w:style w:type="paragraph" w:styleId="Asuntodelcomentario">
    <w:name w:val="annotation subject"/>
    <w:basedOn w:val="Textocomentario"/>
    <w:next w:val="Textocomentario"/>
    <w:link w:val="AsuntodelcomentarioCar"/>
    <w:uiPriority w:val="99"/>
    <w:unhideWhenUsed/>
    <w:rsid w:val="00F6418B"/>
    <w:rPr>
      <w:b/>
      <w:bCs/>
    </w:rPr>
  </w:style>
  <w:style w:type="character" w:customStyle="1" w:styleId="AsuntodelcomentarioCar">
    <w:name w:val="Asunto del comentario Car"/>
    <w:link w:val="Asuntodelcomentario"/>
    <w:uiPriority w:val="99"/>
    <w:rsid w:val="00F6418B"/>
    <w:rPr>
      <w:b/>
      <w:bCs/>
      <w:lang w:val="es-ES" w:eastAsia="es-ES"/>
    </w:rPr>
  </w:style>
  <w:style w:type="paragraph" w:customStyle="1" w:styleId="ecxmsonormal">
    <w:name w:val="ecxmsonormal"/>
    <w:basedOn w:val="Normal"/>
    <w:rsid w:val="00F6418B"/>
    <w:pPr>
      <w:spacing w:before="100" w:beforeAutospacing="1" w:after="100" w:afterAutospacing="1"/>
    </w:pPr>
    <w:rPr>
      <w:sz w:val="24"/>
      <w:szCs w:val="24"/>
    </w:rPr>
  </w:style>
  <w:style w:type="table" w:customStyle="1" w:styleId="Tablaconcuadrcula1">
    <w:name w:val="Tabla con cuadrícula1"/>
    <w:basedOn w:val="Tablanormal"/>
    <w:next w:val="Tablaconcuadrcula"/>
    <w:uiPriority w:val="39"/>
    <w:rsid w:val="00F64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qFormat/>
    <w:rsid w:val="00C00FF6"/>
    <w:pPr>
      <w:spacing w:line="360" w:lineRule="auto"/>
      <w:jc w:val="both"/>
    </w:pPr>
    <w:rPr>
      <w:rFonts w:ascii="Calibri" w:eastAsia="Calibri" w:hAnsi="Calibri"/>
      <w:color w:val="000000"/>
      <w:sz w:val="22"/>
      <w:szCs w:val="22"/>
      <w:lang w:eastAsia="en-US"/>
    </w:rPr>
  </w:style>
  <w:style w:type="character" w:styleId="Textoennegrita">
    <w:name w:val="Strong"/>
    <w:uiPriority w:val="22"/>
    <w:qFormat/>
    <w:rsid w:val="00B51D39"/>
    <w:rPr>
      <w:b/>
      <w:bCs/>
    </w:rPr>
  </w:style>
  <w:style w:type="paragraph" w:customStyle="1" w:styleId="Standard">
    <w:name w:val="Standard"/>
    <w:rsid w:val="008D267B"/>
    <w:pPr>
      <w:suppressAutoHyphens/>
      <w:autoSpaceDN w:val="0"/>
      <w:spacing w:after="200" w:line="276" w:lineRule="auto"/>
      <w:jc w:val="both"/>
      <w:textAlignment w:val="baseline"/>
    </w:pPr>
    <w:rPr>
      <w:rFonts w:ascii="Calibri" w:eastAsia="SimSun" w:hAnsi="Calibri" w:cs="Calibri"/>
      <w:color w:val="000000"/>
      <w:kern w:val="3"/>
      <w:sz w:val="22"/>
      <w:szCs w:val="22"/>
      <w:lang w:val="es-ES" w:eastAsia="en-US"/>
    </w:rPr>
  </w:style>
  <w:style w:type="paragraph" w:customStyle="1" w:styleId="Text">
    <w:name w:val="Text"/>
    <w:basedOn w:val="Standard"/>
    <w:rsid w:val="008D267B"/>
    <w:pPr>
      <w:spacing w:after="101" w:line="216" w:lineRule="exact"/>
      <w:ind w:firstLine="288"/>
    </w:pPr>
    <w:rPr>
      <w:rFonts w:ascii="Arial" w:hAnsi="Arial" w:cs="Arial"/>
      <w:sz w:val="18"/>
      <w:szCs w:val="20"/>
    </w:rPr>
  </w:style>
  <w:style w:type="character" w:customStyle="1" w:styleId="StrongEmphasis">
    <w:name w:val="Strong Emphasis"/>
    <w:rsid w:val="008D267B"/>
    <w:rPr>
      <w:b/>
      <w:bCs/>
    </w:rPr>
  </w:style>
  <w:style w:type="character" w:customStyle="1" w:styleId="SinespaciadoCar">
    <w:name w:val="Sin espaciado Car"/>
    <w:link w:val="Sinespaciado"/>
    <w:uiPriority w:val="99"/>
    <w:locked/>
    <w:rsid w:val="008D267B"/>
    <w:rPr>
      <w:rFonts w:ascii="Calibri" w:eastAsia="Calibri" w:hAnsi="Calibri"/>
      <w:sz w:val="22"/>
      <w:szCs w:val="22"/>
      <w:lang w:eastAsia="en-US"/>
    </w:rPr>
  </w:style>
  <w:style w:type="character" w:customStyle="1" w:styleId="TtuloCar">
    <w:name w:val="Título Car"/>
    <w:rsid w:val="00CF3D9E"/>
    <w:rPr>
      <w:rFonts w:ascii="Cambria" w:hAnsi="Cambria" w:cs="Cambria"/>
      <w:b/>
      <w:bCs/>
      <w:kern w:val="28"/>
      <w:sz w:val="32"/>
      <w:szCs w:val="32"/>
      <w:lang w:val="es-ES" w:eastAsia="es-ES"/>
    </w:rPr>
  </w:style>
  <w:style w:type="character" w:customStyle="1" w:styleId="apple-converted-space">
    <w:name w:val="apple-converted-space"/>
    <w:rsid w:val="00CF3D9E"/>
  </w:style>
  <w:style w:type="character" w:styleId="nfasissutil">
    <w:name w:val="Subtle Emphasis"/>
    <w:uiPriority w:val="19"/>
    <w:qFormat/>
    <w:rsid w:val="00CF3D9E"/>
    <w:rPr>
      <w:i/>
      <w:iCs/>
      <w:color w:val="404040"/>
    </w:rPr>
  </w:style>
  <w:style w:type="character" w:styleId="nfasis">
    <w:name w:val="Emphasis"/>
    <w:qFormat/>
    <w:rsid w:val="00CF3D9E"/>
    <w:rPr>
      <w:i/>
      <w:iCs/>
    </w:rPr>
  </w:style>
  <w:style w:type="character" w:customStyle="1" w:styleId="TextoCar">
    <w:name w:val="Texto Car"/>
    <w:link w:val="Texto"/>
    <w:locked/>
    <w:rsid w:val="00F926DA"/>
    <w:rPr>
      <w:rFonts w:cs="Arial"/>
      <w:color w:val="000000"/>
      <w:sz w:val="18"/>
      <w:szCs w:val="18"/>
      <w:lang w:val="es-ES"/>
    </w:rPr>
  </w:style>
  <w:style w:type="paragraph" w:customStyle="1" w:styleId="Body1">
    <w:name w:val="Body 1"/>
    <w:rsid w:val="006401DF"/>
    <w:pPr>
      <w:outlineLvl w:val="0"/>
    </w:pPr>
    <w:rPr>
      <w:rFonts w:ascii="Times New Roman" w:eastAsia="Arial Unicode MS" w:hAnsi="Times New Roman"/>
      <w:color w:val="000000"/>
      <w:sz w:val="24"/>
      <w:u w:color="000000"/>
    </w:rPr>
  </w:style>
  <w:style w:type="character" w:customStyle="1" w:styleId="PrrafodelistaCar">
    <w:name w:val="Párrafo de lista Car"/>
    <w:link w:val="Prrafodelista"/>
    <w:uiPriority w:val="34"/>
    <w:locked/>
    <w:rsid w:val="006401DF"/>
    <w:rPr>
      <w:rFonts w:ascii="Calibri" w:eastAsia="Calibri" w:hAnsi="Calibri"/>
      <w:color w:val="000000"/>
      <w:sz w:val="22"/>
      <w:szCs w:val="22"/>
      <w:lang w:eastAsia="en-US"/>
    </w:rPr>
  </w:style>
  <w:style w:type="character" w:customStyle="1" w:styleId="TextosinformatoCar">
    <w:name w:val="Texto sin formato Car"/>
    <w:link w:val="Textosinformato"/>
    <w:rsid w:val="006401DF"/>
    <w:rPr>
      <w:rFonts w:ascii="Courier New" w:hAnsi="Courier New" w:cs="Courier New"/>
      <w:color w:val="000000"/>
      <w:sz w:val="22"/>
      <w:lang w:val="es-ES"/>
    </w:rPr>
  </w:style>
  <w:style w:type="paragraph" w:customStyle="1" w:styleId="ANOTACION0">
    <w:name w:val="ANOTACION"/>
    <w:basedOn w:val="Normal"/>
    <w:link w:val="ANOTACIONCar"/>
    <w:rsid w:val="006401DF"/>
    <w:pPr>
      <w:spacing w:before="101" w:after="101" w:line="216" w:lineRule="atLeast"/>
      <w:jc w:val="center"/>
    </w:pPr>
    <w:rPr>
      <w:rFonts w:ascii="Times New Roman" w:hAnsi="Times New Roman"/>
      <w:b/>
      <w:color w:val="auto"/>
      <w:sz w:val="18"/>
      <w:lang w:val="es-ES_tradnl" w:eastAsia="es-ES"/>
    </w:rPr>
  </w:style>
  <w:style w:type="character" w:customStyle="1" w:styleId="ANOTACIONCar">
    <w:name w:val="ANOTACION Car"/>
    <w:link w:val="ANOTACION0"/>
    <w:locked/>
    <w:rsid w:val="006401DF"/>
    <w:rPr>
      <w:rFonts w:ascii="Times New Roman" w:hAnsi="Times New Roman"/>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7984">
      <w:bodyDiv w:val="1"/>
      <w:marLeft w:val="0"/>
      <w:marRight w:val="0"/>
      <w:marTop w:val="0"/>
      <w:marBottom w:val="0"/>
      <w:divBdr>
        <w:top w:val="none" w:sz="0" w:space="0" w:color="auto"/>
        <w:left w:val="none" w:sz="0" w:space="0" w:color="auto"/>
        <w:bottom w:val="none" w:sz="0" w:space="0" w:color="auto"/>
        <w:right w:val="none" w:sz="0" w:space="0" w:color="auto"/>
      </w:divBdr>
    </w:div>
    <w:div w:id="640352523">
      <w:bodyDiv w:val="1"/>
      <w:marLeft w:val="0"/>
      <w:marRight w:val="0"/>
      <w:marTop w:val="0"/>
      <w:marBottom w:val="0"/>
      <w:divBdr>
        <w:top w:val="none" w:sz="0" w:space="0" w:color="auto"/>
        <w:left w:val="none" w:sz="0" w:space="0" w:color="auto"/>
        <w:bottom w:val="none" w:sz="0" w:space="0" w:color="auto"/>
        <w:right w:val="none" w:sz="0" w:space="0" w:color="auto"/>
      </w:divBdr>
    </w:div>
    <w:div w:id="804197701">
      <w:bodyDiv w:val="1"/>
      <w:marLeft w:val="0"/>
      <w:marRight w:val="0"/>
      <w:marTop w:val="0"/>
      <w:marBottom w:val="0"/>
      <w:divBdr>
        <w:top w:val="none" w:sz="0" w:space="0" w:color="auto"/>
        <w:left w:val="none" w:sz="0" w:space="0" w:color="auto"/>
        <w:bottom w:val="none" w:sz="0" w:space="0" w:color="auto"/>
        <w:right w:val="none" w:sz="0" w:space="0" w:color="auto"/>
      </w:divBdr>
    </w:div>
    <w:div w:id="1344014732">
      <w:bodyDiv w:val="1"/>
      <w:marLeft w:val="0"/>
      <w:marRight w:val="0"/>
      <w:marTop w:val="0"/>
      <w:marBottom w:val="0"/>
      <w:divBdr>
        <w:top w:val="none" w:sz="0" w:space="0" w:color="auto"/>
        <w:left w:val="none" w:sz="0" w:space="0" w:color="auto"/>
        <w:bottom w:val="none" w:sz="0" w:space="0" w:color="auto"/>
        <w:right w:val="none" w:sz="0" w:space="0" w:color="auto"/>
      </w:divBdr>
    </w:div>
    <w:div w:id="1947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AD0EA-D24A-427C-8723-ABC7C573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3070</Words>
  <Characters>16886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D E C R E T O</vt:lpstr>
    </vt:vector>
  </TitlesOfParts>
  <Company>H.CONGRESO DEL ESTADO DE N.L.</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subject/>
  <dc:creator>INFORMATICA</dc:creator>
  <cp:keywords/>
  <dc:description/>
  <cp:lastModifiedBy>MARIA DIANA CASTILLO RUIZ</cp:lastModifiedBy>
  <cp:revision>4</cp:revision>
  <cp:lastPrinted>2017-12-13T00:35:00Z</cp:lastPrinted>
  <dcterms:created xsi:type="dcterms:W3CDTF">2018-01-09T17:09:00Z</dcterms:created>
  <dcterms:modified xsi:type="dcterms:W3CDTF">2018-01-09T17:16:00Z</dcterms:modified>
</cp:coreProperties>
</file>